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67DF6" w14:textId="77777777" w:rsidR="00E17A3E" w:rsidRDefault="00E17A3E" w:rsidP="00E17A3E">
      <w:pPr>
        <w:rPr>
          <w:sz w:val="28"/>
          <w:szCs w:val="28"/>
        </w:rPr>
      </w:pPr>
      <w:r>
        <w:rPr>
          <w:noProof/>
          <w:sz w:val="28"/>
          <w:szCs w:val="28"/>
        </w:rPr>
        <w:drawing>
          <wp:inline distT="0" distB="0" distL="0" distR="0" wp14:anchorId="27B0EEA1" wp14:editId="49BF5B32">
            <wp:extent cx="5270500" cy="5495290"/>
            <wp:effectExtent l="0" t="0" r="6350" b="0"/>
            <wp:docPr id="44667714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677143" name="图片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70500" cy="5495290"/>
                    </a:xfrm>
                    <a:prstGeom prst="rect">
                      <a:avLst/>
                    </a:prstGeom>
                    <a:noFill/>
                    <a:ln>
                      <a:noFill/>
                    </a:ln>
                  </pic:spPr>
                </pic:pic>
              </a:graphicData>
            </a:graphic>
          </wp:inline>
        </w:drawing>
      </w:r>
    </w:p>
    <w:p w14:paraId="6D1B126B" w14:textId="77777777" w:rsidR="00E17A3E" w:rsidRDefault="00E17A3E" w:rsidP="00E17A3E">
      <w:pPr>
        <w:rPr>
          <w:b/>
          <w:bCs/>
          <w:sz w:val="28"/>
          <w:szCs w:val="28"/>
        </w:rPr>
      </w:pPr>
      <w:r>
        <w:rPr>
          <w:b/>
          <w:bCs/>
          <w:sz w:val="28"/>
          <w:szCs w:val="28"/>
        </w:rPr>
        <w:t>Supplementary Fig. S1</w:t>
      </w:r>
      <w:r>
        <w:rPr>
          <w:sz w:val="28"/>
          <w:szCs w:val="28"/>
        </w:rPr>
        <w:t xml:space="preserve"> | </w:t>
      </w:r>
      <w:r>
        <w:rPr>
          <w:b/>
          <w:bCs/>
          <w:sz w:val="28"/>
          <w:szCs w:val="28"/>
        </w:rPr>
        <w:t>Expression patterns of CTSB-associated genes and their correlation with immune cell infiltration.</w:t>
      </w:r>
    </w:p>
    <w:p w14:paraId="429E7AB9" w14:textId="77777777" w:rsidR="00E17A3E" w:rsidRDefault="00E17A3E" w:rsidP="00E17A3E">
      <w:pPr>
        <w:rPr>
          <w:sz w:val="28"/>
          <w:szCs w:val="28"/>
        </w:rPr>
      </w:pPr>
      <w:r>
        <w:rPr>
          <w:b/>
          <w:bCs/>
          <w:sz w:val="28"/>
          <w:szCs w:val="28"/>
        </w:rPr>
        <w:t>(A)</w:t>
      </w:r>
      <w:r>
        <w:rPr>
          <w:sz w:val="28"/>
          <w:szCs w:val="28"/>
        </w:rPr>
        <w:t xml:space="preserve"> Heatmap showing the expression profiles of CTSB and selected CTSB-associated genes across samples from the diabetic wound (DW) group. Color intensity represents relative gene expression levels.</w:t>
      </w:r>
      <w:r>
        <w:rPr>
          <w:rFonts w:hint="eastAsia"/>
          <w:sz w:val="28"/>
          <w:szCs w:val="28"/>
        </w:rPr>
        <w:t xml:space="preserve"> </w:t>
      </w:r>
      <w:r>
        <w:rPr>
          <w:b/>
          <w:bCs/>
          <w:sz w:val="28"/>
          <w:szCs w:val="28"/>
        </w:rPr>
        <w:t>(</w:t>
      </w:r>
      <w:r>
        <w:rPr>
          <w:rFonts w:hint="eastAsia"/>
          <w:b/>
          <w:bCs/>
          <w:sz w:val="28"/>
          <w:szCs w:val="28"/>
        </w:rPr>
        <w:t>B</w:t>
      </w:r>
      <w:r>
        <w:rPr>
          <w:b/>
          <w:bCs/>
          <w:sz w:val="28"/>
          <w:szCs w:val="28"/>
        </w:rPr>
        <w:t>)</w:t>
      </w:r>
      <w:r>
        <w:rPr>
          <w:sz w:val="28"/>
          <w:szCs w:val="28"/>
        </w:rPr>
        <w:t xml:space="preserve">  Correlation matrix illustrating the relationships among immune cell subsets estimated by immune infiltration analysis. Red indicates positive correlation and blue indicates negative correlation between immune cell populations.</w:t>
      </w:r>
      <w:r>
        <w:rPr>
          <w:rFonts w:hint="eastAsia"/>
          <w:sz w:val="28"/>
          <w:szCs w:val="28"/>
        </w:rPr>
        <w:t xml:space="preserve"> </w:t>
      </w:r>
      <w:r>
        <w:rPr>
          <w:b/>
          <w:bCs/>
          <w:sz w:val="28"/>
          <w:szCs w:val="28"/>
        </w:rPr>
        <w:t>(</w:t>
      </w:r>
      <w:r>
        <w:rPr>
          <w:rFonts w:hint="eastAsia"/>
          <w:b/>
          <w:bCs/>
          <w:sz w:val="28"/>
          <w:szCs w:val="28"/>
        </w:rPr>
        <w:t>C</w:t>
      </w:r>
      <w:r>
        <w:rPr>
          <w:b/>
          <w:bCs/>
          <w:sz w:val="28"/>
          <w:szCs w:val="28"/>
        </w:rPr>
        <w:t>)</w:t>
      </w:r>
      <w:r>
        <w:rPr>
          <w:sz w:val="28"/>
          <w:szCs w:val="28"/>
        </w:rPr>
        <w:t xml:space="preserve"> Bubble plot showing the correlations between key </w:t>
      </w:r>
      <w:r>
        <w:rPr>
          <w:rFonts w:hint="eastAsia"/>
          <w:sz w:val="28"/>
          <w:szCs w:val="28"/>
        </w:rPr>
        <w:t>IRAFs</w:t>
      </w:r>
      <w:r>
        <w:rPr>
          <w:sz w:val="28"/>
          <w:szCs w:val="28"/>
        </w:rPr>
        <w:t xml:space="preserve"> (including BIRC5, CCL2, CTSB, CXCR4, EGFR, FOS, HSPA5 and HSPA8) and immune cell infiltration levels. The color scale represents correlation coefficients and the size of the squares indicates the strength of the correlation.</w:t>
      </w:r>
    </w:p>
    <w:p w14:paraId="54D6DBC1" w14:textId="77777777" w:rsidR="00E17A3E" w:rsidRDefault="00E17A3E" w:rsidP="00E17A3E">
      <w:pPr>
        <w:widowControl/>
        <w:jc w:val="left"/>
        <w:rPr>
          <w:sz w:val="28"/>
          <w:szCs w:val="28"/>
        </w:rPr>
      </w:pPr>
      <w:r>
        <w:rPr>
          <w:sz w:val="28"/>
          <w:szCs w:val="28"/>
        </w:rPr>
        <w:br w:type="page"/>
      </w:r>
    </w:p>
    <w:p w14:paraId="51B95F11" w14:textId="77777777" w:rsidR="00E17A3E" w:rsidRDefault="00E17A3E" w:rsidP="00E17A3E">
      <w:pPr>
        <w:rPr>
          <w:sz w:val="28"/>
          <w:szCs w:val="28"/>
        </w:rPr>
      </w:pPr>
      <w:r>
        <w:rPr>
          <w:rFonts w:hint="eastAsia"/>
          <w:noProof/>
          <w:sz w:val="28"/>
          <w:szCs w:val="28"/>
        </w:rPr>
        <w:lastRenderedPageBreak/>
        <w:drawing>
          <wp:inline distT="0" distB="0" distL="0" distR="0" wp14:anchorId="4D1A7CA8" wp14:editId="0C2D1DAA">
            <wp:extent cx="5270500" cy="6064250"/>
            <wp:effectExtent l="0" t="0" r="6350" b="0"/>
            <wp:docPr id="24899204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992040" name="图片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70500" cy="6064250"/>
                    </a:xfrm>
                    <a:prstGeom prst="rect">
                      <a:avLst/>
                    </a:prstGeom>
                    <a:noFill/>
                    <a:ln>
                      <a:noFill/>
                    </a:ln>
                  </pic:spPr>
                </pic:pic>
              </a:graphicData>
            </a:graphic>
          </wp:inline>
        </w:drawing>
      </w:r>
    </w:p>
    <w:p w14:paraId="4F80F4DA" w14:textId="77777777" w:rsidR="00E17A3E" w:rsidRDefault="00E17A3E" w:rsidP="00E17A3E">
      <w:pPr>
        <w:rPr>
          <w:b/>
          <w:bCs/>
          <w:sz w:val="28"/>
          <w:szCs w:val="28"/>
        </w:rPr>
      </w:pPr>
      <w:r>
        <w:rPr>
          <w:b/>
          <w:bCs/>
          <w:sz w:val="28"/>
          <w:szCs w:val="28"/>
        </w:rPr>
        <w:t>Supplementary Fig. S2 | Cell-type distribution across clusters and UMI statistics in single-cell RNA sequencing data.</w:t>
      </w:r>
    </w:p>
    <w:p w14:paraId="213E3BB2" w14:textId="77777777" w:rsidR="00E17A3E" w:rsidRDefault="00E17A3E" w:rsidP="00E17A3E">
      <w:pPr>
        <w:rPr>
          <w:sz w:val="28"/>
          <w:szCs w:val="28"/>
        </w:rPr>
      </w:pPr>
      <w:r>
        <w:rPr>
          <w:b/>
          <w:bCs/>
          <w:sz w:val="28"/>
          <w:szCs w:val="28"/>
        </w:rPr>
        <w:t>(</w:t>
      </w:r>
      <w:r>
        <w:rPr>
          <w:rFonts w:hint="eastAsia"/>
          <w:b/>
          <w:bCs/>
          <w:sz w:val="28"/>
          <w:szCs w:val="28"/>
        </w:rPr>
        <w:t>A</w:t>
      </w:r>
      <w:r>
        <w:rPr>
          <w:b/>
          <w:bCs/>
          <w:sz w:val="28"/>
          <w:szCs w:val="28"/>
        </w:rPr>
        <w:t>)</w:t>
      </w:r>
      <w:r>
        <w:rPr>
          <w:sz w:val="28"/>
          <w:szCs w:val="28"/>
        </w:rPr>
        <w:t xml:space="preserve"> Heat map showing the distribution of annotated cell types across transcriptional clusters. Columns represent individual clusters (0–28) and the coloured bar above indicates cluster identity. Colour intensity denotes the relative proportion of each cell type within a given cluster (blue, low; red, high).</w:t>
      </w:r>
    </w:p>
    <w:p w14:paraId="6B84CFBD" w14:textId="77777777" w:rsidR="00E17A3E" w:rsidRDefault="00E17A3E" w:rsidP="00E17A3E">
      <w:pPr>
        <w:rPr>
          <w:sz w:val="28"/>
          <w:szCs w:val="28"/>
        </w:rPr>
      </w:pPr>
      <w:r>
        <w:rPr>
          <w:b/>
          <w:bCs/>
          <w:sz w:val="28"/>
          <w:szCs w:val="28"/>
        </w:rPr>
        <w:t>(</w:t>
      </w:r>
      <w:r>
        <w:rPr>
          <w:rFonts w:hint="eastAsia"/>
          <w:b/>
          <w:bCs/>
          <w:sz w:val="28"/>
          <w:szCs w:val="28"/>
        </w:rPr>
        <w:t>B</w:t>
      </w:r>
      <w:r>
        <w:rPr>
          <w:b/>
          <w:bCs/>
          <w:sz w:val="28"/>
          <w:szCs w:val="28"/>
        </w:rPr>
        <w:t>)</w:t>
      </w:r>
      <w:r>
        <w:rPr>
          <w:sz w:val="28"/>
          <w:szCs w:val="28"/>
        </w:rPr>
        <w:t xml:space="preserve"> </w:t>
      </w:r>
      <w:r>
        <w:rPr>
          <w:rFonts w:hint="eastAsia"/>
          <w:sz w:val="28"/>
          <w:szCs w:val="28"/>
        </w:rPr>
        <w:t>N</w:t>
      </w:r>
      <w:r>
        <w:rPr>
          <w:sz w:val="28"/>
          <w:szCs w:val="28"/>
        </w:rPr>
        <w:t>ique molecular identifier</w:t>
      </w:r>
      <w:r>
        <w:rPr>
          <w:rFonts w:hint="eastAsia"/>
          <w:sz w:val="28"/>
          <w:szCs w:val="28"/>
        </w:rPr>
        <w:t xml:space="preserve"> </w:t>
      </w:r>
      <w:r>
        <w:rPr>
          <w:sz w:val="28"/>
          <w:szCs w:val="28"/>
        </w:rPr>
        <w:t>(UMI) count distribution across major cell types in control and DFU samples. Box plots show the number of UMI detected per cell for each cell type in the Control (blue) and diabetic foot ulcer (DFU; red) groups. Boxes indicate the interquartile range, centre lines indicate medians and whiskers represent the distribution range. This analysis evaluates sequencing depth and transcript capture efficiency across cell types between conditions.</w:t>
      </w:r>
    </w:p>
    <w:p w14:paraId="612268B7" w14:textId="77777777" w:rsidR="00E17A3E" w:rsidRDefault="00E17A3E" w:rsidP="00E17A3E">
      <w:pPr>
        <w:widowControl/>
        <w:jc w:val="left"/>
        <w:rPr>
          <w:sz w:val="28"/>
          <w:szCs w:val="28"/>
        </w:rPr>
      </w:pPr>
      <w:r>
        <w:rPr>
          <w:sz w:val="28"/>
          <w:szCs w:val="28"/>
        </w:rPr>
        <w:br w:type="page"/>
      </w:r>
    </w:p>
    <w:p w14:paraId="0018136B" w14:textId="77777777" w:rsidR="00E17A3E" w:rsidRDefault="00E17A3E" w:rsidP="00E17A3E">
      <w:pPr>
        <w:rPr>
          <w:sz w:val="28"/>
          <w:szCs w:val="28"/>
        </w:rPr>
      </w:pPr>
      <w:r>
        <w:rPr>
          <w:rFonts w:hint="eastAsia"/>
          <w:noProof/>
          <w:sz w:val="28"/>
          <w:szCs w:val="28"/>
        </w:rPr>
        <w:lastRenderedPageBreak/>
        <w:drawing>
          <wp:inline distT="0" distB="0" distL="0" distR="0" wp14:anchorId="39D7B410" wp14:editId="23239139">
            <wp:extent cx="3355975" cy="1388745"/>
            <wp:effectExtent l="0" t="0" r="0" b="1905"/>
            <wp:docPr id="123720943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209435" name="图片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355975" cy="1388745"/>
                    </a:xfrm>
                    <a:prstGeom prst="rect">
                      <a:avLst/>
                    </a:prstGeom>
                    <a:noFill/>
                    <a:ln>
                      <a:noFill/>
                    </a:ln>
                  </pic:spPr>
                </pic:pic>
              </a:graphicData>
            </a:graphic>
          </wp:inline>
        </w:drawing>
      </w:r>
    </w:p>
    <w:p w14:paraId="36ADA8AB" w14:textId="77777777" w:rsidR="00E17A3E" w:rsidRDefault="00E17A3E" w:rsidP="00E17A3E">
      <w:pPr>
        <w:rPr>
          <w:b/>
          <w:bCs/>
          <w:sz w:val="28"/>
          <w:szCs w:val="28"/>
        </w:rPr>
      </w:pPr>
      <w:r>
        <w:rPr>
          <w:b/>
          <w:bCs/>
          <w:sz w:val="28"/>
          <w:szCs w:val="28"/>
        </w:rPr>
        <w:t>Supplementary Fig. S</w:t>
      </w:r>
      <w:r>
        <w:rPr>
          <w:rFonts w:hint="eastAsia"/>
          <w:b/>
          <w:bCs/>
          <w:sz w:val="28"/>
          <w:szCs w:val="28"/>
        </w:rPr>
        <w:t>3</w:t>
      </w:r>
      <w:r>
        <w:rPr>
          <w:b/>
          <w:bCs/>
          <w:sz w:val="28"/>
          <w:szCs w:val="28"/>
        </w:rPr>
        <w:t xml:space="preserve"> | High glucose induces intracellular ROS accumulation.</w:t>
      </w:r>
    </w:p>
    <w:p w14:paraId="3F2C75D3" w14:textId="77777777" w:rsidR="00E17A3E" w:rsidRDefault="00E17A3E" w:rsidP="00E17A3E">
      <w:pPr>
        <w:rPr>
          <w:sz w:val="28"/>
          <w:szCs w:val="28"/>
        </w:rPr>
      </w:pPr>
      <w:r>
        <w:rPr>
          <w:sz w:val="28"/>
          <w:szCs w:val="28"/>
        </w:rPr>
        <w:t>Representative fluorescence images showing intracellular reactive oxygen species (ROS) levels under different treatment conditions. Cells cultured under normal glucose (NG), high glucose (HG) and Ca-074Me (ME) conditions were stained with a ROS-sensitive fluorescent probe. Green fluorescence indicates intracellular ROS levels. Compared with the NG group, cells exposed to HG exhibit markedly increased ROS fluorescence intensity, whereas ROS levels are partially reduced in the ME group.</w:t>
      </w:r>
    </w:p>
    <w:p w14:paraId="702C4CE5" w14:textId="77777777" w:rsidR="00DC2479" w:rsidRDefault="00DC2479"/>
    <w:sectPr w:rsidR="00DC24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A3E"/>
    <w:rsid w:val="000D6372"/>
    <w:rsid w:val="005B6877"/>
    <w:rsid w:val="00AA0C39"/>
    <w:rsid w:val="00DC2479"/>
    <w:rsid w:val="00E17A3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05C8A"/>
  <w15:chartTrackingRefBased/>
  <w15:docId w15:val="{B779214B-8E58-435A-BE30-58F212EFC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A3E"/>
    <w:pPr>
      <w:widowControl w:val="0"/>
      <w:spacing w:after="0" w:line="240" w:lineRule="auto"/>
      <w:jc w:val="both"/>
    </w:pPr>
    <w:rPr>
      <w:rFonts w:ascii="Times New Roman" w:eastAsiaTheme="minorEastAsia" w:hAnsi="Times New Roman" w:cs="Times New Roman"/>
      <w:sz w:val="16"/>
      <w:szCs w:val="16"/>
      <w:lang w:val="en-US" w:eastAsia="zh-CN"/>
    </w:rPr>
  </w:style>
  <w:style w:type="paragraph" w:styleId="Heading1">
    <w:name w:val="heading 1"/>
    <w:basedOn w:val="Normal"/>
    <w:next w:val="Normal"/>
    <w:link w:val="Heading1Char"/>
    <w:uiPriority w:val="9"/>
    <w:qFormat/>
    <w:rsid w:val="00E17A3E"/>
    <w:pPr>
      <w:keepNext/>
      <w:keepLines/>
      <w:widowControl/>
      <w:spacing w:before="360" w:after="80" w:line="278" w:lineRule="auto"/>
      <w:jc w:val="left"/>
      <w:outlineLvl w:val="0"/>
    </w:pPr>
    <w:rPr>
      <w:rFonts w:asciiTheme="majorHAnsi" w:eastAsiaTheme="majorEastAsia" w:hAnsiTheme="majorHAnsi" w:cstheme="majorBidi"/>
      <w:color w:val="0F4761" w:themeColor="accent1" w:themeShade="BF"/>
      <w:sz w:val="40"/>
      <w:szCs w:val="40"/>
      <w:lang w:val="en-IN" w:eastAsia="en-US"/>
    </w:rPr>
  </w:style>
  <w:style w:type="paragraph" w:styleId="Heading2">
    <w:name w:val="heading 2"/>
    <w:basedOn w:val="Normal"/>
    <w:next w:val="Normal"/>
    <w:link w:val="Heading2Char"/>
    <w:uiPriority w:val="9"/>
    <w:semiHidden/>
    <w:unhideWhenUsed/>
    <w:qFormat/>
    <w:rsid w:val="00E17A3E"/>
    <w:pPr>
      <w:keepNext/>
      <w:keepLines/>
      <w:widowControl/>
      <w:spacing w:before="160" w:after="80" w:line="278" w:lineRule="auto"/>
      <w:jc w:val="left"/>
      <w:outlineLvl w:val="1"/>
    </w:pPr>
    <w:rPr>
      <w:rFonts w:asciiTheme="majorHAnsi" w:eastAsiaTheme="majorEastAsia" w:hAnsiTheme="majorHAnsi" w:cstheme="majorBidi"/>
      <w:color w:val="0F4761" w:themeColor="accent1" w:themeShade="BF"/>
      <w:sz w:val="32"/>
      <w:szCs w:val="32"/>
      <w:lang w:val="en-IN" w:eastAsia="en-US"/>
    </w:rPr>
  </w:style>
  <w:style w:type="paragraph" w:styleId="Heading3">
    <w:name w:val="heading 3"/>
    <w:basedOn w:val="Normal"/>
    <w:next w:val="Normal"/>
    <w:link w:val="Heading3Char"/>
    <w:uiPriority w:val="9"/>
    <w:semiHidden/>
    <w:unhideWhenUsed/>
    <w:qFormat/>
    <w:rsid w:val="00E17A3E"/>
    <w:pPr>
      <w:keepNext/>
      <w:keepLines/>
      <w:widowControl/>
      <w:spacing w:before="160" w:after="80" w:line="278" w:lineRule="auto"/>
      <w:jc w:val="left"/>
      <w:outlineLvl w:val="2"/>
    </w:pPr>
    <w:rPr>
      <w:rFonts w:asciiTheme="minorHAnsi" w:eastAsiaTheme="majorEastAsia" w:hAnsiTheme="minorHAnsi" w:cstheme="majorBidi"/>
      <w:color w:val="0F4761" w:themeColor="accent1" w:themeShade="BF"/>
      <w:sz w:val="28"/>
      <w:szCs w:val="28"/>
      <w:lang w:val="en-IN" w:eastAsia="en-US"/>
    </w:rPr>
  </w:style>
  <w:style w:type="paragraph" w:styleId="Heading4">
    <w:name w:val="heading 4"/>
    <w:basedOn w:val="Normal"/>
    <w:next w:val="Normal"/>
    <w:link w:val="Heading4Char"/>
    <w:uiPriority w:val="9"/>
    <w:semiHidden/>
    <w:unhideWhenUsed/>
    <w:qFormat/>
    <w:rsid w:val="00E17A3E"/>
    <w:pPr>
      <w:keepNext/>
      <w:keepLines/>
      <w:widowControl/>
      <w:spacing w:before="80" w:after="40" w:line="278" w:lineRule="auto"/>
      <w:jc w:val="left"/>
      <w:outlineLvl w:val="3"/>
    </w:pPr>
    <w:rPr>
      <w:rFonts w:asciiTheme="minorHAnsi" w:eastAsiaTheme="majorEastAsia" w:hAnsiTheme="minorHAnsi" w:cstheme="majorBidi"/>
      <w:i/>
      <w:iCs/>
      <w:color w:val="0F4761" w:themeColor="accent1" w:themeShade="BF"/>
      <w:sz w:val="24"/>
      <w:szCs w:val="24"/>
      <w:lang w:val="en-IN" w:eastAsia="en-US"/>
    </w:rPr>
  </w:style>
  <w:style w:type="paragraph" w:styleId="Heading5">
    <w:name w:val="heading 5"/>
    <w:basedOn w:val="Normal"/>
    <w:next w:val="Normal"/>
    <w:link w:val="Heading5Char"/>
    <w:uiPriority w:val="9"/>
    <w:semiHidden/>
    <w:unhideWhenUsed/>
    <w:qFormat/>
    <w:rsid w:val="00E17A3E"/>
    <w:pPr>
      <w:keepNext/>
      <w:keepLines/>
      <w:widowControl/>
      <w:spacing w:before="80" w:after="40" w:line="278" w:lineRule="auto"/>
      <w:jc w:val="left"/>
      <w:outlineLvl w:val="4"/>
    </w:pPr>
    <w:rPr>
      <w:rFonts w:asciiTheme="minorHAnsi" w:eastAsiaTheme="majorEastAsia" w:hAnsiTheme="minorHAnsi" w:cstheme="majorBidi"/>
      <w:color w:val="0F4761" w:themeColor="accent1" w:themeShade="BF"/>
      <w:sz w:val="24"/>
      <w:szCs w:val="24"/>
      <w:lang w:val="en-IN" w:eastAsia="en-US"/>
    </w:rPr>
  </w:style>
  <w:style w:type="paragraph" w:styleId="Heading6">
    <w:name w:val="heading 6"/>
    <w:basedOn w:val="Normal"/>
    <w:next w:val="Normal"/>
    <w:link w:val="Heading6Char"/>
    <w:uiPriority w:val="9"/>
    <w:semiHidden/>
    <w:unhideWhenUsed/>
    <w:qFormat/>
    <w:rsid w:val="00E17A3E"/>
    <w:pPr>
      <w:keepNext/>
      <w:keepLines/>
      <w:widowControl/>
      <w:spacing w:before="40" w:line="278" w:lineRule="auto"/>
      <w:jc w:val="left"/>
      <w:outlineLvl w:val="5"/>
    </w:pPr>
    <w:rPr>
      <w:rFonts w:asciiTheme="minorHAnsi" w:eastAsiaTheme="majorEastAsia" w:hAnsiTheme="minorHAnsi" w:cstheme="majorBidi"/>
      <w:i/>
      <w:iCs/>
      <w:color w:val="595959" w:themeColor="text1" w:themeTint="A6"/>
      <w:sz w:val="24"/>
      <w:szCs w:val="24"/>
      <w:lang w:val="en-IN" w:eastAsia="en-US"/>
    </w:rPr>
  </w:style>
  <w:style w:type="paragraph" w:styleId="Heading7">
    <w:name w:val="heading 7"/>
    <w:basedOn w:val="Normal"/>
    <w:next w:val="Normal"/>
    <w:link w:val="Heading7Char"/>
    <w:uiPriority w:val="9"/>
    <w:semiHidden/>
    <w:unhideWhenUsed/>
    <w:qFormat/>
    <w:rsid w:val="00E17A3E"/>
    <w:pPr>
      <w:keepNext/>
      <w:keepLines/>
      <w:widowControl/>
      <w:spacing w:before="40" w:line="278" w:lineRule="auto"/>
      <w:jc w:val="left"/>
      <w:outlineLvl w:val="6"/>
    </w:pPr>
    <w:rPr>
      <w:rFonts w:asciiTheme="minorHAnsi" w:eastAsiaTheme="majorEastAsia" w:hAnsiTheme="minorHAnsi" w:cstheme="majorBidi"/>
      <w:color w:val="595959" w:themeColor="text1" w:themeTint="A6"/>
      <w:sz w:val="24"/>
      <w:szCs w:val="24"/>
      <w:lang w:val="en-IN" w:eastAsia="en-US"/>
    </w:rPr>
  </w:style>
  <w:style w:type="paragraph" w:styleId="Heading8">
    <w:name w:val="heading 8"/>
    <w:basedOn w:val="Normal"/>
    <w:next w:val="Normal"/>
    <w:link w:val="Heading8Char"/>
    <w:uiPriority w:val="9"/>
    <w:semiHidden/>
    <w:unhideWhenUsed/>
    <w:qFormat/>
    <w:rsid w:val="00E17A3E"/>
    <w:pPr>
      <w:keepNext/>
      <w:keepLines/>
      <w:widowControl/>
      <w:spacing w:line="278" w:lineRule="auto"/>
      <w:jc w:val="left"/>
      <w:outlineLvl w:val="7"/>
    </w:pPr>
    <w:rPr>
      <w:rFonts w:asciiTheme="minorHAnsi" w:eastAsiaTheme="majorEastAsia" w:hAnsiTheme="minorHAnsi" w:cstheme="majorBidi"/>
      <w:i/>
      <w:iCs/>
      <w:color w:val="272727" w:themeColor="text1" w:themeTint="D8"/>
      <w:sz w:val="24"/>
      <w:szCs w:val="24"/>
      <w:lang w:val="en-IN" w:eastAsia="en-US"/>
    </w:rPr>
  </w:style>
  <w:style w:type="paragraph" w:styleId="Heading9">
    <w:name w:val="heading 9"/>
    <w:basedOn w:val="Normal"/>
    <w:next w:val="Normal"/>
    <w:link w:val="Heading9Char"/>
    <w:uiPriority w:val="9"/>
    <w:semiHidden/>
    <w:unhideWhenUsed/>
    <w:qFormat/>
    <w:rsid w:val="00E17A3E"/>
    <w:pPr>
      <w:keepNext/>
      <w:keepLines/>
      <w:widowControl/>
      <w:spacing w:line="278" w:lineRule="auto"/>
      <w:jc w:val="left"/>
      <w:outlineLvl w:val="8"/>
    </w:pPr>
    <w:rPr>
      <w:rFonts w:asciiTheme="minorHAnsi" w:eastAsiaTheme="majorEastAsia" w:hAnsiTheme="minorHAnsi" w:cstheme="majorBidi"/>
      <w:color w:val="272727" w:themeColor="text1" w:themeTint="D8"/>
      <w:sz w:val="24"/>
      <w:szCs w:val="24"/>
      <w:lang w:val="en-I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7A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7A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7A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7A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7A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7A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7A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7A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7A3E"/>
    <w:rPr>
      <w:rFonts w:eastAsiaTheme="majorEastAsia" w:cstheme="majorBidi"/>
      <w:color w:val="272727" w:themeColor="text1" w:themeTint="D8"/>
    </w:rPr>
  </w:style>
  <w:style w:type="paragraph" w:styleId="Title">
    <w:name w:val="Title"/>
    <w:basedOn w:val="Normal"/>
    <w:next w:val="Normal"/>
    <w:link w:val="TitleChar"/>
    <w:uiPriority w:val="10"/>
    <w:qFormat/>
    <w:rsid w:val="00E17A3E"/>
    <w:pPr>
      <w:widowControl/>
      <w:spacing w:after="80"/>
      <w:contextualSpacing/>
      <w:jc w:val="left"/>
    </w:pPr>
    <w:rPr>
      <w:rFonts w:asciiTheme="majorHAnsi" w:eastAsiaTheme="majorEastAsia" w:hAnsiTheme="majorHAnsi" w:cstheme="majorBidi"/>
      <w:spacing w:val="-10"/>
      <w:kern w:val="28"/>
      <w:sz w:val="56"/>
      <w:szCs w:val="56"/>
      <w:lang w:val="en-IN" w:eastAsia="en-US"/>
    </w:rPr>
  </w:style>
  <w:style w:type="character" w:customStyle="1" w:styleId="TitleChar">
    <w:name w:val="Title Char"/>
    <w:basedOn w:val="DefaultParagraphFont"/>
    <w:link w:val="Title"/>
    <w:uiPriority w:val="10"/>
    <w:rsid w:val="00E17A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7A3E"/>
    <w:pPr>
      <w:widowControl/>
      <w:numPr>
        <w:ilvl w:val="1"/>
      </w:numPr>
      <w:spacing w:after="160" w:line="278" w:lineRule="auto"/>
      <w:jc w:val="left"/>
    </w:pPr>
    <w:rPr>
      <w:rFonts w:asciiTheme="minorHAnsi" w:eastAsiaTheme="majorEastAsia" w:hAnsiTheme="minorHAnsi" w:cstheme="majorBidi"/>
      <w:color w:val="595959" w:themeColor="text1" w:themeTint="A6"/>
      <w:spacing w:val="15"/>
      <w:sz w:val="28"/>
      <w:szCs w:val="28"/>
      <w:lang w:val="en-IN" w:eastAsia="en-US"/>
    </w:rPr>
  </w:style>
  <w:style w:type="character" w:customStyle="1" w:styleId="SubtitleChar">
    <w:name w:val="Subtitle Char"/>
    <w:basedOn w:val="DefaultParagraphFont"/>
    <w:link w:val="Subtitle"/>
    <w:uiPriority w:val="11"/>
    <w:rsid w:val="00E17A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7A3E"/>
    <w:pPr>
      <w:widowControl/>
      <w:spacing w:before="160" w:after="160" w:line="278" w:lineRule="auto"/>
      <w:jc w:val="center"/>
    </w:pPr>
    <w:rPr>
      <w:rFonts w:asciiTheme="minorHAnsi" w:eastAsiaTheme="minorHAnsi" w:hAnsiTheme="minorHAnsi" w:cstheme="minorBidi"/>
      <w:i/>
      <w:iCs/>
      <w:color w:val="404040" w:themeColor="text1" w:themeTint="BF"/>
      <w:sz w:val="24"/>
      <w:szCs w:val="24"/>
      <w:lang w:val="en-IN" w:eastAsia="en-US"/>
    </w:rPr>
  </w:style>
  <w:style w:type="character" w:customStyle="1" w:styleId="QuoteChar">
    <w:name w:val="Quote Char"/>
    <w:basedOn w:val="DefaultParagraphFont"/>
    <w:link w:val="Quote"/>
    <w:uiPriority w:val="29"/>
    <w:rsid w:val="00E17A3E"/>
    <w:rPr>
      <w:i/>
      <w:iCs/>
      <w:color w:val="404040" w:themeColor="text1" w:themeTint="BF"/>
    </w:rPr>
  </w:style>
  <w:style w:type="paragraph" w:styleId="ListParagraph">
    <w:name w:val="List Paragraph"/>
    <w:basedOn w:val="Normal"/>
    <w:uiPriority w:val="34"/>
    <w:qFormat/>
    <w:rsid w:val="00E17A3E"/>
    <w:pPr>
      <w:widowControl/>
      <w:spacing w:after="160" w:line="278" w:lineRule="auto"/>
      <w:ind w:left="720"/>
      <w:contextualSpacing/>
      <w:jc w:val="left"/>
    </w:pPr>
    <w:rPr>
      <w:rFonts w:asciiTheme="minorHAnsi" w:eastAsiaTheme="minorHAnsi" w:hAnsiTheme="minorHAnsi" w:cstheme="minorBidi"/>
      <w:sz w:val="24"/>
      <w:szCs w:val="24"/>
      <w:lang w:val="en-IN" w:eastAsia="en-US"/>
    </w:rPr>
  </w:style>
  <w:style w:type="character" w:styleId="IntenseEmphasis">
    <w:name w:val="Intense Emphasis"/>
    <w:basedOn w:val="DefaultParagraphFont"/>
    <w:uiPriority w:val="21"/>
    <w:qFormat/>
    <w:rsid w:val="00E17A3E"/>
    <w:rPr>
      <w:i/>
      <w:iCs/>
      <w:color w:val="0F4761" w:themeColor="accent1" w:themeShade="BF"/>
    </w:rPr>
  </w:style>
  <w:style w:type="paragraph" w:styleId="IntenseQuote">
    <w:name w:val="Intense Quote"/>
    <w:basedOn w:val="Normal"/>
    <w:next w:val="Normal"/>
    <w:link w:val="IntenseQuoteChar"/>
    <w:uiPriority w:val="30"/>
    <w:qFormat/>
    <w:rsid w:val="00E17A3E"/>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sz w:val="24"/>
      <w:szCs w:val="24"/>
      <w:lang w:val="en-IN" w:eastAsia="en-US"/>
    </w:rPr>
  </w:style>
  <w:style w:type="character" w:customStyle="1" w:styleId="IntenseQuoteChar">
    <w:name w:val="Intense Quote Char"/>
    <w:basedOn w:val="DefaultParagraphFont"/>
    <w:link w:val="IntenseQuote"/>
    <w:uiPriority w:val="30"/>
    <w:rsid w:val="00E17A3E"/>
    <w:rPr>
      <w:i/>
      <w:iCs/>
      <w:color w:val="0F4761" w:themeColor="accent1" w:themeShade="BF"/>
    </w:rPr>
  </w:style>
  <w:style w:type="character" w:styleId="IntenseReference">
    <w:name w:val="Intense Reference"/>
    <w:basedOn w:val="DefaultParagraphFont"/>
    <w:uiPriority w:val="32"/>
    <w:qFormat/>
    <w:rsid w:val="00E17A3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345</Words>
  <Characters>1969</Characters>
  <Application>Microsoft Office Word</Application>
  <DocSecurity>0</DocSecurity>
  <Lines>16</Lines>
  <Paragraphs>4</Paragraphs>
  <ScaleCrop>false</ScaleCrop>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2026-08-24T16:09:00Z</dcterms:created>
  <dcterms:modified xsi:type="dcterms:W3CDTF">2026-08-24T16:09:00Z</dcterms:modified>
</cp:coreProperties>
</file>