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27A87" w14:textId="77777777" w:rsidR="003B44EE" w:rsidRPr="00946117" w:rsidRDefault="003B44EE" w:rsidP="003B44EE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Table 1</w:t>
      </w:r>
      <w:r>
        <w:rPr>
          <w:rFonts w:ascii="Times New Roman" w:hAnsi="Times New Roman" w:cs="Times New Roman"/>
        </w:rPr>
        <w:t xml:space="preserve"> Comparison of the Agentic AI Intensity Index with existing disclosure-based technology constructs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495"/>
        <w:gridCol w:w="1228"/>
        <w:gridCol w:w="1629"/>
        <w:gridCol w:w="1629"/>
        <w:gridCol w:w="1336"/>
        <w:gridCol w:w="1709"/>
      </w:tblGrid>
      <w:tr w:rsidR="003B44EE" w:rsidRPr="00946117" w14:paraId="6A859921" w14:textId="77777777" w:rsidTr="006011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EA359B2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Property</w:t>
            </w:r>
          </w:p>
        </w:tc>
        <w:tc>
          <w:tcPr>
            <w:tcW w:w="0" w:type="auto"/>
          </w:tcPr>
          <w:p w14:paraId="4BB4D489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 adoption reviews [7]</w:t>
            </w:r>
          </w:p>
        </w:tc>
        <w:tc>
          <w:tcPr>
            <w:tcW w:w="0" w:type="auto"/>
          </w:tcPr>
          <w:p w14:paraId="734A618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Bank digital transformation index [8]</w:t>
            </w:r>
          </w:p>
        </w:tc>
        <w:tc>
          <w:tcPr>
            <w:tcW w:w="0" w:type="auto"/>
          </w:tcPr>
          <w:p w14:paraId="078DAA55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transformation measures [6]</w:t>
            </w:r>
          </w:p>
        </w:tc>
        <w:tc>
          <w:tcPr>
            <w:tcW w:w="0" w:type="auto"/>
          </w:tcPr>
          <w:p w14:paraId="60CC2A43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Text-based economic indices [9, 10]</w:t>
            </w:r>
          </w:p>
        </w:tc>
        <w:tc>
          <w:tcPr>
            <w:tcW w:w="0" w:type="auto"/>
          </w:tcPr>
          <w:p w14:paraId="137E2CB3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AAII (this article)</w:t>
            </w:r>
          </w:p>
        </w:tc>
      </w:tr>
      <w:tr w:rsidR="003B44EE" w:rsidRPr="00946117" w14:paraId="4027AFC4" w14:textId="77777777" w:rsidTr="00601110">
        <w:tc>
          <w:tcPr>
            <w:tcW w:w="0" w:type="auto"/>
          </w:tcPr>
          <w:p w14:paraId="2250797B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 of measurement</w:t>
            </w:r>
          </w:p>
        </w:tc>
        <w:tc>
          <w:tcPr>
            <w:tcW w:w="0" w:type="auto"/>
          </w:tcPr>
          <w:p w14:paraId="04512C25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Firm, qualitative</w:t>
            </w:r>
          </w:p>
        </w:tc>
        <w:tc>
          <w:tcPr>
            <w:tcW w:w="0" w:type="auto"/>
          </w:tcPr>
          <w:p w14:paraId="39172D5B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Bank-year</w:t>
            </w:r>
          </w:p>
        </w:tc>
        <w:tc>
          <w:tcPr>
            <w:tcW w:w="0" w:type="auto"/>
          </w:tcPr>
          <w:p w14:paraId="4933D273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Bank-year</w:t>
            </w:r>
          </w:p>
        </w:tc>
        <w:tc>
          <w:tcPr>
            <w:tcW w:w="0" w:type="auto"/>
          </w:tcPr>
          <w:p w14:paraId="641D702C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Firm-quarter or country-month</w:t>
            </w:r>
          </w:p>
        </w:tc>
        <w:tc>
          <w:tcPr>
            <w:tcW w:w="0" w:type="auto"/>
          </w:tcPr>
          <w:p w14:paraId="5865457D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Bank-year and disclosure-date</w:t>
            </w:r>
          </w:p>
        </w:tc>
      </w:tr>
      <w:tr w:rsidR="003B44EE" w:rsidRPr="00946117" w14:paraId="7991AA17" w14:textId="77777777" w:rsidTr="00601110">
        <w:tc>
          <w:tcPr>
            <w:tcW w:w="0" w:type="auto"/>
          </w:tcPr>
          <w:p w14:paraId="4D8EC67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Source text</w:t>
            </w:r>
          </w:p>
        </w:tc>
        <w:tc>
          <w:tcPr>
            <w:tcW w:w="0" w:type="auto"/>
          </w:tcPr>
          <w:p w14:paraId="7961DD3C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Mixed secondary</w:t>
            </w:r>
          </w:p>
        </w:tc>
        <w:tc>
          <w:tcPr>
            <w:tcW w:w="0" w:type="auto"/>
          </w:tcPr>
          <w:p w14:paraId="3A71449A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Annual reports</w:t>
            </w:r>
          </w:p>
        </w:tc>
        <w:tc>
          <w:tcPr>
            <w:tcW w:w="0" w:type="auto"/>
          </w:tcPr>
          <w:p w14:paraId="2661A0E3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Annual reports, financial data</w:t>
            </w:r>
          </w:p>
        </w:tc>
        <w:tc>
          <w:tcPr>
            <w:tcW w:w="0" w:type="auto"/>
          </w:tcPr>
          <w:p w14:paraId="0A65EF3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Earnings calls, newspapers</w:t>
            </w:r>
          </w:p>
        </w:tc>
        <w:tc>
          <w:tcPr>
            <w:tcW w:w="0" w:type="auto"/>
          </w:tcPr>
          <w:p w14:paraId="03980202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Annual report, MD&amp;A, earnings calls</w:t>
            </w:r>
          </w:p>
        </w:tc>
      </w:tr>
      <w:tr w:rsidR="003B44EE" w:rsidRPr="00946117" w14:paraId="7796881C" w14:textId="77777777" w:rsidTr="00601110">
        <w:tc>
          <w:tcPr>
            <w:tcW w:w="0" w:type="auto"/>
          </w:tcPr>
          <w:p w14:paraId="64372A5E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Separates autonomy from adoption</w:t>
            </w:r>
          </w:p>
        </w:tc>
        <w:tc>
          <w:tcPr>
            <w:tcW w:w="0" w:type="auto"/>
          </w:tcPr>
          <w:p w14:paraId="33613549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334602E5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1FE9C8B6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66C5A676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0" w:type="auto"/>
          </w:tcPr>
          <w:p w14:paraId="478FED7C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Yes, by authority weighting</w:t>
            </w:r>
          </w:p>
        </w:tc>
      </w:tr>
      <w:tr w:rsidR="003B44EE" w:rsidRPr="00946117" w14:paraId="019413BF" w14:textId="77777777" w:rsidTr="00601110">
        <w:tc>
          <w:tcPr>
            <w:tcW w:w="0" w:type="auto"/>
          </w:tcPr>
          <w:p w14:paraId="64F080B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Separates agentic from generative AI</w:t>
            </w:r>
          </w:p>
        </w:tc>
        <w:tc>
          <w:tcPr>
            <w:tcW w:w="0" w:type="auto"/>
          </w:tcPr>
          <w:p w14:paraId="798812D9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74480B83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0AEE8406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7B4B8F2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0" w:type="auto"/>
          </w:tcPr>
          <w:p w14:paraId="1CBFB51E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Yes, contrast dictionary</w:t>
            </w:r>
          </w:p>
        </w:tc>
      </w:tr>
      <w:tr w:rsidR="003B44EE" w:rsidRPr="00946117" w14:paraId="156C8E1B" w14:textId="77777777" w:rsidTr="00601110">
        <w:tc>
          <w:tcPr>
            <w:tcW w:w="0" w:type="auto"/>
          </w:tcPr>
          <w:p w14:paraId="28C643AE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Keyword derivation documented</w:t>
            </w:r>
          </w:p>
        </w:tc>
        <w:tc>
          <w:tcPr>
            <w:tcW w:w="0" w:type="auto"/>
          </w:tcPr>
          <w:p w14:paraId="591F3404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1D1B5F93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Partial</w:t>
            </w:r>
          </w:p>
        </w:tc>
        <w:tc>
          <w:tcPr>
            <w:tcW w:w="0" w:type="auto"/>
          </w:tcPr>
          <w:p w14:paraId="3E2E4B9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1116BAB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14:paraId="3006F18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Yes, Delphi protocol</w:t>
            </w:r>
          </w:p>
        </w:tc>
      </w:tr>
      <w:tr w:rsidR="003B44EE" w:rsidRPr="00946117" w14:paraId="553FCE45" w14:textId="77777777" w:rsidTr="00601110">
        <w:tc>
          <w:tcPr>
            <w:tcW w:w="0" w:type="auto"/>
          </w:tcPr>
          <w:p w14:paraId="00944EEB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Inter-rater reliability reported</w:t>
            </w:r>
          </w:p>
        </w:tc>
        <w:tc>
          <w:tcPr>
            <w:tcW w:w="0" w:type="auto"/>
          </w:tcPr>
          <w:p w14:paraId="54A44E2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3E583F7C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5A885841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3BAE9825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14:paraId="340F97D0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Yes, α and κ thresholds</w:t>
            </w:r>
          </w:p>
        </w:tc>
      </w:tr>
      <w:tr w:rsidR="003B44EE" w:rsidRPr="00946117" w14:paraId="4C1BE78A" w14:textId="77777777" w:rsidTr="00601110">
        <w:tc>
          <w:tcPr>
            <w:tcW w:w="0" w:type="auto"/>
          </w:tcPr>
          <w:p w14:paraId="0BD90064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Dimensional structure tested</w:t>
            </w:r>
          </w:p>
        </w:tc>
        <w:tc>
          <w:tcPr>
            <w:tcW w:w="0" w:type="auto"/>
          </w:tcPr>
          <w:p w14:paraId="1EF0AF35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127E448C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11185C7E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6EA11900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Partial</w:t>
            </w:r>
          </w:p>
        </w:tc>
        <w:tc>
          <w:tcPr>
            <w:tcW w:w="0" w:type="auto"/>
          </w:tcPr>
          <w:p w14:paraId="3548FCED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Yes, EFA and CFA</w:t>
            </w:r>
          </w:p>
        </w:tc>
      </w:tr>
      <w:tr w:rsidR="003B44EE" w:rsidRPr="00946117" w14:paraId="3B75D08E" w14:textId="77777777" w:rsidTr="00601110">
        <w:tc>
          <w:tcPr>
            <w:tcW w:w="0" w:type="auto"/>
          </w:tcPr>
          <w:p w14:paraId="658E71F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Construct validity </w:t>
            </w:r>
            <w:r>
              <w:rPr>
                <w:rFonts w:ascii="Times New Roman" w:hAnsi="Times New Roman" w:cs="Times New Roman"/>
              </w:rPr>
              <w:lastRenderedPageBreak/>
              <w:t>evidence</w:t>
            </w:r>
          </w:p>
        </w:tc>
        <w:tc>
          <w:tcPr>
            <w:tcW w:w="0" w:type="auto"/>
          </w:tcPr>
          <w:p w14:paraId="24B82DD0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No</w:t>
            </w:r>
          </w:p>
        </w:tc>
        <w:tc>
          <w:tcPr>
            <w:tcW w:w="0" w:type="auto"/>
          </w:tcPr>
          <w:p w14:paraId="48C246CD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6022EFD3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37576B30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Yes, criterion </w:t>
            </w:r>
            <w:r>
              <w:rPr>
                <w:rFonts w:ascii="Times New Roman" w:hAnsi="Times New Roman" w:cs="Times New Roman"/>
              </w:rPr>
              <w:lastRenderedPageBreak/>
              <w:t>only</w:t>
            </w:r>
          </w:p>
        </w:tc>
        <w:tc>
          <w:tcPr>
            <w:tcW w:w="0" w:type="auto"/>
          </w:tcPr>
          <w:p w14:paraId="2FB7DBBE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Yes, four-part assessment</w:t>
            </w:r>
          </w:p>
        </w:tc>
      </w:tr>
      <w:tr w:rsidR="003B44EE" w:rsidRPr="00946117" w14:paraId="33A9E9C3" w14:textId="77777777" w:rsidTr="00601110">
        <w:tc>
          <w:tcPr>
            <w:tcW w:w="0" w:type="auto"/>
          </w:tcPr>
          <w:p w14:paraId="31CEAAD5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Normalised</w:t>
            </w:r>
            <w:proofErr w:type="spellEnd"/>
            <w:r>
              <w:rPr>
                <w:rFonts w:ascii="Times New Roman" w:hAnsi="Times New Roman" w:cs="Times New Roman"/>
              </w:rPr>
              <w:t xml:space="preserve"> for disclosure length</w:t>
            </w:r>
          </w:p>
        </w:tc>
        <w:tc>
          <w:tcPr>
            <w:tcW w:w="0" w:type="auto"/>
          </w:tcPr>
          <w:p w14:paraId="607C7FA6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0" w:type="auto"/>
          </w:tcPr>
          <w:p w14:paraId="2339EE14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Partial</w:t>
            </w:r>
          </w:p>
        </w:tc>
        <w:tc>
          <w:tcPr>
            <w:tcW w:w="0" w:type="auto"/>
          </w:tcPr>
          <w:p w14:paraId="006F48E4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484BFB3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14:paraId="25F1432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Yes, plus AI-mention baseline</w:t>
            </w:r>
          </w:p>
        </w:tc>
      </w:tr>
      <w:tr w:rsidR="003B44EE" w:rsidRPr="00946117" w14:paraId="1E21DBA3" w14:textId="77777777" w:rsidTr="00601110">
        <w:tc>
          <w:tcPr>
            <w:tcW w:w="0" w:type="auto"/>
          </w:tcPr>
          <w:p w14:paraId="1879B954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AI-washing mitigation specified</w:t>
            </w:r>
          </w:p>
        </w:tc>
        <w:tc>
          <w:tcPr>
            <w:tcW w:w="0" w:type="auto"/>
          </w:tcPr>
          <w:p w14:paraId="10C79D0A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54E05416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3D06A676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432CC7D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Partial</w:t>
            </w:r>
          </w:p>
        </w:tc>
        <w:tc>
          <w:tcPr>
            <w:tcW w:w="0" w:type="auto"/>
          </w:tcPr>
          <w:p w14:paraId="27FC8909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Yes, specificity scoring</w:t>
            </w:r>
          </w:p>
        </w:tc>
      </w:tr>
      <w:tr w:rsidR="003B44EE" w:rsidRPr="00946117" w14:paraId="6D057CFF" w14:textId="77777777" w:rsidTr="00601110">
        <w:tc>
          <w:tcPr>
            <w:tcW w:w="0" w:type="auto"/>
          </w:tcPr>
          <w:p w14:paraId="13F3CCFE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Endogeneity strategy</w:t>
            </w:r>
          </w:p>
        </w:tc>
        <w:tc>
          <w:tcPr>
            <w:tcW w:w="0" w:type="auto"/>
          </w:tcPr>
          <w:p w14:paraId="0B0BD869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0" w:type="auto"/>
          </w:tcPr>
          <w:p w14:paraId="6079E718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Fixed effects</w:t>
            </w:r>
          </w:p>
        </w:tc>
        <w:tc>
          <w:tcPr>
            <w:tcW w:w="0" w:type="auto"/>
          </w:tcPr>
          <w:p w14:paraId="3FA3715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Fixed effects</w:t>
            </w:r>
          </w:p>
        </w:tc>
        <w:tc>
          <w:tcPr>
            <w:tcW w:w="0" w:type="auto"/>
          </w:tcPr>
          <w:p w14:paraId="7C3FE67A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Varies</w:t>
            </w:r>
          </w:p>
        </w:tc>
        <w:tc>
          <w:tcPr>
            <w:tcW w:w="0" w:type="auto"/>
          </w:tcPr>
          <w:p w14:paraId="3A79C849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Seven complementary designs</w:t>
            </w:r>
          </w:p>
        </w:tc>
      </w:tr>
    </w:tbl>
    <w:p w14:paraId="3EEABA0C" w14:textId="77777777" w:rsidR="0017148F" w:rsidRDefault="0017148F"/>
    <w:p w14:paraId="4ECCCE98" w14:textId="77777777" w:rsidR="003B44EE" w:rsidRPr="00946117" w:rsidRDefault="003B44EE" w:rsidP="003B44EE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Table 2.</w:t>
      </w:r>
      <w:r>
        <w:rPr>
          <w:rFonts w:ascii="Times New Roman" w:hAnsi="Times New Roman" w:cs="Times New Roman"/>
        </w:rPr>
        <w:t xml:space="preserve"> Hypothesis-to-test mapping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297"/>
        <w:gridCol w:w="1826"/>
        <w:gridCol w:w="1703"/>
        <w:gridCol w:w="1983"/>
        <w:gridCol w:w="2217"/>
      </w:tblGrid>
      <w:tr w:rsidR="003B44EE" w:rsidRPr="00946117" w14:paraId="45CAEEFC" w14:textId="77777777" w:rsidTr="006011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21E76FC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Hypothesis</w:t>
            </w:r>
          </w:p>
        </w:tc>
        <w:tc>
          <w:tcPr>
            <w:tcW w:w="0" w:type="auto"/>
          </w:tcPr>
          <w:p w14:paraId="05C76C41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Primary outcome</w:t>
            </w:r>
          </w:p>
        </w:tc>
        <w:tc>
          <w:tcPr>
            <w:tcW w:w="0" w:type="auto"/>
          </w:tcPr>
          <w:p w14:paraId="4E90B0C3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Estimator</w:t>
            </w:r>
          </w:p>
        </w:tc>
        <w:tc>
          <w:tcPr>
            <w:tcW w:w="0" w:type="auto"/>
          </w:tcPr>
          <w:p w14:paraId="1FD9F6B1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Identification support</w:t>
            </w:r>
          </w:p>
        </w:tc>
        <w:tc>
          <w:tcPr>
            <w:tcW w:w="0" w:type="auto"/>
          </w:tcPr>
          <w:p w14:paraId="07D9B394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Rejection criterion</w:t>
            </w:r>
          </w:p>
        </w:tc>
      </w:tr>
      <w:tr w:rsidR="003B44EE" w:rsidRPr="00946117" w14:paraId="2ED7A434" w14:textId="77777777" w:rsidTr="00601110">
        <w:tc>
          <w:tcPr>
            <w:tcW w:w="0" w:type="auto"/>
          </w:tcPr>
          <w:p w14:paraId="153F188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H1</w:t>
            </w:r>
          </w:p>
        </w:tc>
        <w:tc>
          <w:tcPr>
            <w:tcW w:w="0" w:type="auto"/>
          </w:tcPr>
          <w:p w14:paraId="309DE5B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Cost-to-income ratio</w:t>
            </w:r>
          </w:p>
        </w:tc>
        <w:tc>
          <w:tcPr>
            <w:tcW w:w="0" w:type="auto"/>
          </w:tcPr>
          <w:p w14:paraId="34826710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Two-way fixed effects</w:t>
            </w:r>
          </w:p>
        </w:tc>
        <w:tc>
          <w:tcPr>
            <w:tcW w:w="0" w:type="auto"/>
          </w:tcPr>
          <w:p w14:paraId="09B8928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IV, system GMM, PSM</w:t>
            </w:r>
          </w:p>
        </w:tc>
        <w:tc>
          <w:tcPr>
            <w:tcW w:w="0" w:type="auto"/>
          </w:tcPr>
          <w:p w14:paraId="08DA03FD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β ≥ 0 at 5%</w:t>
            </w:r>
          </w:p>
        </w:tc>
      </w:tr>
      <w:tr w:rsidR="003B44EE" w:rsidRPr="00946117" w14:paraId="4360F48D" w14:textId="77777777" w:rsidTr="00601110">
        <w:tc>
          <w:tcPr>
            <w:tcW w:w="0" w:type="auto"/>
          </w:tcPr>
          <w:p w14:paraId="21C32793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H1a</w:t>
            </w:r>
          </w:p>
        </w:tc>
        <w:tc>
          <w:tcPr>
            <w:tcW w:w="0" w:type="auto"/>
          </w:tcPr>
          <w:p w14:paraId="56D1ED38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Cost-to-income ratio</w:t>
            </w:r>
          </w:p>
        </w:tc>
        <w:tc>
          <w:tcPr>
            <w:tcW w:w="0" w:type="auto"/>
          </w:tcPr>
          <w:p w14:paraId="4E866DBC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 with AAII² and lags</w:t>
            </w:r>
          </w:p>
        </w:tc>
        <w:tc>
          <w:tcPr>
            <w:tcW w:w="0" w:type="auto"/>
          </w:tcPr>
          <w:p w14:paraId="162CB0D2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Distributed-lag specification</w:t>
            </w:r>
          </w:p>
        </w:tc>
        <w:tc>
          <w:tcPr>
            <w:tcW w:w="0" w:type="auto"/>
          </w:tcPr>
          <w:p w14:paraId="4B8834DE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Quadratic term not significant</w:t>
            </w:r>
          </w:p>
        </w:tc>
      </w:tr>
      <w:tr w:rsidR="003B44EE" w:rsidRPr="00946117" w14:paraId="0F8149AC" w14:textId="77777777" w:rsidTr="00601110">
        <w:tc>
          <w:tcPr>
            <w:tcW w:w="0" w:type="auto"/>
          </w:tcPr>
          <w:p w14:paraId="79929F22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H2</w:t>
            </w:r>
          </w:p>
        </w:tc>
        <w:tc>
          <w:tcPr>
            <w:tcW w:w="0" w:type="auto"/>
          </w:tcPr>
          <w:p w14:paraId="08EFDA5C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Fraud and AML false-positive rate</w:t>
            </w:r>
          </w:p>
        </w:tc>
        <w:tc>
          <w:tcPr>
            <w:tcW w:w="0" w:type="auto"/>
          </w:tcPr>
          <w:p w14:paraId="7498AA66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Two-way fixed effects</w:t>
            </w:r>
          </w:p>
        </w:tc>
        <w:tc>
          <w:tcPr>
            <w:tcW w:w="0" w:type="auto"/>
          </w:tcPr>
          <w:p w14:paraId="1FCE06FD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IV, PSM</w:t>
            </w:r>
          </w:p>
        </w:tc>
        <w:tc>
          <w:tcPr>
            <w:tcW w:w="0" w:type="auto"/>
          </w:tcPr>
          <w:p w14:paraId="3DEEDC2C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β ≥ 0 at 5%</w:t>
            </w:r>
          </w:p>
        </w:tc>
      </w:tr>
      <w:tr w:rsidR="003B44EE" w:rsidRPr="00946117" w14:paraId="5987780B" w14:textId="77777777" w:rsidTr="00601110">
        <w:tc>
          <w:tcPr>
            <w:tcW w:w="0" w:type="auto"/>
          </w:tcPr>
          <w:p w14:paraId="6DF3FC1C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H2a</w:t>
            </w:r>
          </w:p>
        </w:tc>
        <w:tc>
          <w:tcPr>
            <w:tcW w:w="0" w:type="auto"/>
          </w:tcPr>
          <w:p w14:paraId="441BB9F4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Subgroup approval-rate gap</w:t>
            </w:r>
          </w:p>
        </w:tc>
        <w:tc>
          <w:tcPr>
            <w:tcW w:w="0" w:type="auto"/>
          </w:tcPr>
          <w:p w14:paraId="76B9A22D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 with subgroup interaction</w:t>
            </w:r>
          </w:p>
        </w:tc>
        <w:tc>
          <w:tcPr>
            <w:tcW w:w="0" w:type="auto"/>
          </w:tcPr>
          <w:p w14:paraId="4A8F7EB3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</w:t>
            </w:r>
          </w:p>
        </w:tc>
        <w:tc>
          <w:tcPr>
            <w:tcW w:w="0" w:type="auto"/>
          </w:tcPr>
          <w:p w14:paraId="7DFC77A9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Gap not increasing in AAII</w:t>
            </w:r>
          </w:p>
        </w:tc>
      </w:tr>
      <w:tr w:rsidR="003B44EE" w:rsidRPr="00946117" w14:paraId="57164666" w14:textId="77777777" w:rsidTr="00601110">
        <w:tc>
          <w:tcPr>
            <w:tcW w:w="0" w:type="auto"/>
          </w:tcPr>
          <w:p w14:paraId="3D151C55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H3</w:t>
            </w:r>
          </w:p>
        </w:tc>
        <w:tc>
          <w:tcPr>
            <w:tcW w:w="0" w:type="auto"/>
          </w:tcPr>
          <w:p w14:paraId="6DECB6A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Operational-risk event count</w:t>
            </w:r>
          </w:p>
        </w:tc>
        <w:tc>
          <w:tcPr>
            <w:tcW w:w="0" w:type="auto"/>
          </w:tcPr>
          <w:p w14:paraId="2D28135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Negative binomial FE</w:t>
            </w:r>
          </w:p>
        </w:tc>
        <w:tc>
          <w:tcPr>
            <w:tcW w:w="0" w:type="auto"/>
          </w:tcPr>
          <w:p w14:paraId="757AAF05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System GMM, CS-</w:t>
            </w:r>
            <w:proofErr w:type="spellStart"/>
            <w:r>
              <w:rPr>
                <w:rFonts w:ascii="Times New Roman" w:hAnsi="Times New Roman" w:cs="Times New Roman"/>
              </w:rPr>
              <w:t>DiD</w:t>
            </w:r>
            <w:proofErr w:type="spellEnd"/>
          </w:p>
        </w:tc>
        <w:tc>
          <w:tcPr>
            <w:tcW w:w="0" w:type="auto"/>
          </w:tcPr>
          <w:p w14:paraId="7E99386A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β ≤ 0 at 5%</w:t>
            </w:r>
          </w:p>
        </w:tc>
      </w:tr>
      <w:tr w:rsidR="003B44EE" w:rsidRPr="00946117" w14:paraId="0E4BFF19" w14:textId="77777777" w:rsidTr="00601110">
        <w:tc>
          <w:tcPr>
            <w:tcW w:w="0" w:type="auto"/>
          </w:tcPr>
          <w:p w14:paraId="0C9795B1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H3a</w:t>
            </w:r>
          </w:p>
        </w:tc>
        <w:tc>
          <w:tcPr>
            <w:tcW w:w="0" w:type="auto"/>
          </w:tcPr>
          <w:p w14:paraId="2E566A96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Event count by </w:t>
            </w:r>
            <w:r>
              <w:rPr>
                <w:rFonts w:ascii="Times New Roman" w:hAnsi="Times New Roman" w:cs="Times New Roman"/>
              </w:rPr>
              <w:lastRenderedPageBreak/>
              <w:t>workflow class</w:t>
            </w:r>
          </w:p>
        </w:tc>
        <w:tc>
          <w:tcPr>
            <w:tcW w:w="0" w:type="auto"/>
          </w:tcPr>
          <w:p w14:paraId="4443DAAD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Stratified </w:t>
            </w:r>
            <w:r>
              <w:rPr>
                <w:rFonts w:ascii="Times New Roman" w:hAnsi="Times New Roman" w:cs="Times New Roman"/>
              </w:rPr>
              <w:lastRenderedPageBreak/>
              <w:t>negative binomial</w:t>
            </w:r>
          </w:p>
        </w:tc>
        <w:tc>
          <w:tcPr>
            <w:tcW w:w="0" w:type="auto"/>
          </w:tcPr>
          <w:p w14:paraId="7A29050C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Workflow-level </w:t>
            </w:r>
            <w:r>
              <w:rPr>
                <w:rFonts w:ascii="Times New Roman" w:hAnsi="Times New Roman" w:cs="Times New Roman"/>
              </w:rPr>
              <w:lastRenderedPageBreak/>
              <w:t>AAII</w:t>
            </w:r>
          </w:p>
        </w:tc>
        <w:tc>
          <w:tcPr>
            <w:tcW w:w="0" w:type="auto"/>
          </w:tcPr>
          <w:p w14:paraId="12B39446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Homogeneous across </w:t>
            </w:r>
            <w:r>
              <w:rPr>
                <w:rFonts w:ascii="Times New Roman" w:hAnsi="Times New Roman" w:cs="Times New Roman"/>
              </w:rPr>
              <w:lastRenderedPageBreak/>
              <w:t>classes</w:t>
            </w:r>
          </w:p>
        </w:tc>
      </w:tr>
      <w:tr w:rsidR="003B44EE" w:rsidRPr="00946117" w14:paraId="47CB67C7" w14:textId="77777777" w:rsidTr="00601110">
        <w:tc>
          <w:tcPr>
            <w:tcW w:w="0" w:type="auto"/>
          </w:tcPr>
          <w:p w14:paraId="1486285E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H4</w:t>
            </w:r>
          </w:p>
        </w:tc>
        <w:tc>
          <w:tcPr>
            <w:tcW w:w="0" w:type="auto"/>
          </w:tcPr>
          <w:p w14:paraId="79C76028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Cumulative abnormal returns</w:t>
            </w:r>
          </w:p>
        </w:tc>
        <w:tc>
          <w:tcPr>
            <w:tcW w:w="0" w:type="auto"/>
          </w:tcPr>
          <w:p w14:paraId="70C0DFB4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Market-model event study</w:t>
            </w:r>
          </w:p>
        </w:tc>
        <w:tc>
          <w:tcPr>
            <w:tcW w:w="0" w:type="auto"/>
          </w:tcPr>
          <w:p w14:paraId="3253024A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Placebo on generative-only events</w:t>
            </w:r>
          </w:p>
        </w:tc>
        <w:tc>
          <w:tcPr>
            <w:tcW w:w="0" w:type="auto"/>
          </w:tcPr>
          <w:p w14:paraId="358B9B23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 indistinguishable from zero</w:t>
            </w:r>
          </w:p>
        </w:tc>
      </w:tr>
      <w:tr w:rsidR="003B44EE" w:rsidRPr="00946117" w14:paraId="58D7C593" w14:textId="77777777" w:rsidTr="00601110">
        <w:tc>
          <w:tcPr>
            <w:tcW w:w="0" w:type="auto"/>
          </w:tcPr>
          <w:p w14:paraId="615923DE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H4a</w:t>
            </w:r>
          </w:p>
        </w:tc>
        <w:tc>
          <w:tcPr>
            <w:tcW w:w="0" w:type="auto"/>
          </w:tcPr>
          <w:p w14:paraId="33C1EF0A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 × deposit-franchise exposure</w:t>
            </w:r>
          </w:p>
        </w:tc>
        <w:tc>
          <w:tcPr>
            <w:tcW w:w="0" w:type="auto"/>
          </w:tcPr>
          <w:p w14:paraId="31FC21FC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Cross-sectional CAR regression</w:t>
            </w:r>
          </w:p>
        </w:tc>
        <w:tc>
          <w:tcPr>
            <w:tcW w:w="0" w:type="auto"/>
          </w:tcPr>
          <w:p w14:paraId="30B081BC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Sub-sample splits</w:t>
            </w:r>
          </w:p>
        </w:tc>
        <w:tc>
          <w:tcPr>
            <w:tcW w:w="0" w:type="auto"/>
          </w:tcPr>
          <w:p w14:paraId="7E6DE42E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Interaction not significant</w:t>
            </w:r>
          </w:p>
        </w:tc>
      </w:tr>
      <w:tr w:rsidR="003B44EE" w:rsidRPr="00946117" w14:paraId="69671133" w14:textId="77777777" w:rsidTr="00601110">
        <w:tc>
          <w:tcPr>
            <w:tcW w:w="0" w:type="auto"/>
          </w:tcPr>
          <w:p w14:paraId="68C384D2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H5</w:t>
            </w:r>
          </w:p>
        </w:tc>
        <w:tc>
          <w:tcPr>
            <w:tcW w:w="0" w:type="auto"/>
          </w:tcPr>
          <w:p w14:paraId="2FCB6620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 of H1–H3</w:t>
            </w:r>
          </w:p>
        </w:tc>
        <w:tc>
          <w:tcPr>
            <w:tcW w:w="0" w:type="auto"/>
          </w:tcPr>
          <w:p w14:paraId="29199A71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 with moderator interactions</w:t>
            </w:r>
          </w:p>
        </w:tc>
        <w:tc>
          <w:tcPr>
            <w:tcW w:w="0" w:type="auto"/>
          </w:tcPr>
          <w:p w14:paraId="56469919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Five-way decomposition</w:t>
            </w:r>
          </w:p>
        </w:tc>
        <w:tc>
          <w:tcPr>
            <w:tcW w:w="0" w:type="auto"/>
          </w:tcPr>
          <w:p w14:paraId="6D6C28D3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Composite interaction not significant</w:t>
            </w:r>
          </w:p>
        </w:tc>
      </w:tr>
    </w:tbl>
    <w:p w14:paraId="43527E87" w14:textId="77777777" w:rsidR="003B44EE" w:rsidRDefault="003B44EE"/>
    <w:p w14:paraId="2D288217" w14:textId="77777777" w:rsidR="003B44EE" w:rsidRPr="00684B8C" w:rsidRDefault="003B44EE" w:rsidP="003B44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val="en-IN" w:eastAsia="en-IN"/>
        </w:rPr>
      </w:pPr>
      <w:r w:rsidRPr="00684B8C">
        <w:rPr>
          <w:rFonts w:ascii="Times New Roman" w:eastAsia="Times New Roman" w:hAnsi="Times New Roman" w:cs="Times New Roman"/>
          <w:b/>
          <w:bCs/>
          <w:lang w:val="en-IN" w:eastAsia="en-IN"/>
        </w:rPr>
        <w:t>Table 3 Theoretical derivation and factor weights of AAII dimensions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2037"/>
        <w:gridCol w:w="2082"/>
        <w:gridCol w:w="1890"/>
        <w:gridCol w:w="959"/>
        <w:gridCol w:w="2058"/>
      </w:tblGrid>
      <w:tr w:rsidR="003B44EE" w:rsidRPr="00946117" w14:paraId="377F4AE1" w14:textId="77777777" w:rsidTr="006011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B3BF718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Dimension</w:t>
            </w:r>
          </w:p>
        </w:tc>
        <w:tc>
          <w:tcPr>
            <w:tcW w:w="0" w:type="auto"/>
          </w:tcPr>
          <w:p w14:paraId="76834562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Definition</w:t>
            </w:r>
          </w:p>
        </w:tc>
        <w:tc>
          <w:tcPr>
            <w:tcW w:w="0" w:type="auto"/>
          </w:tcPr>
          <w:p w14:paraId="2509AF93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Theoretical derivation</w:t>
            </w:r>
          </w:p>
        </w:tc>
        <w:tc>
          <w:tcPr>
            <w:tcW w:w="0" w:type="auto"/>
          </w:tcPr>
          <w:p w14:paraId="7FA14E53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Weight </w:t>
            </w:r>
            <w:r>
              <w:rPr>
                <w:rFonts w:ascii="Times New Roman" w:hAnsi="Times New Roman" w:cs="Times New Roman"/>
                <w:i/>
                <w:iCs/>
              </w:rPr>
              <w:t>w</w:t>
            </w:r>
            <w:r>
              <w:rPr>
                <w:rFonts w:ascii="Times New Roman" w:hAnsi="Times New Roman" w:cs="Times New Roman"/>
                <w:i/>
                <w:iCs/>
                <w:vertAlign w:val="subscript"/>
              </w:rPr>
              <w:t>d</w:t>
            </w:r>
          </w:p>
        </w:tc>
        <w:tc>
          <w:tcPr>
            <w:tcW w:w="0" w:type="auto"/>
          </w:tcPr>
          <w:p w14:paraId="6A46C1A2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Example disclosure evidence</w:t>
            </w:r>
          </w:p>
        </w:tc>
      </w:tr>
      <w:tr w:rsidR="003B44EE" w:rsidRPr="00946117" w14:paraId="3098F9B7" w14:textId="77777777" w:rsidTr="00601110">
        <w:tc>
          <w:tcPr>
            <w:tcW w:w="0" w:type="auto"/>
          </w:tcPr>
          <w:p w14:paraId="29686A3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D1 Execution authority</w:t>
            </w:r>
          </w:p>
        </w:tc>
        <w:tc>
          <w:tcPr>
            <w:tcW w:w="0" w:type="auto"/>
          </w:tcPr>
          <w:p w14:paraId="25BF769B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Systems that initiate or settle transactions within a delegated mandate</w:t>
            </w:r>
          </w:p>
        </w:tc>
        <w:tc>
          <w:tcPr>
            <w:tcW w:w="0" w:type="auto"/>
          </w:tcPr>
          <w:p w14:paraId="3D35DBB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DCT seizing</w:t>
            </w:r>
          </w:p>
        </w:tc>
        <w:tc>
          <w:tcPr>
            <w:tcW w:w="0" w:type="auto"/>
          </w:tcPr>
          <w:p w14:paraId="563BF425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0" w:type="auto"/>
          </w:tcPr>
          <w:p w14:paraId="55120D6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Autonomous payment release; automated limit-setting</w:t>
            </w:r>
          </w:p>
        </w:tc>
      </w:tr>
      <w:tr w:rsidR="003B44EE" w:rsidRPr="00946117" w14:paraId="34F29F4A" w14:textId="77777777" w:rsidTr="00601110">
        <w:tc>
          <w:tcPr>
            <w:tcW w:w="0" w:type="auto"/>
          </w:tcPr>
          <w:p w14:paraId="77B0BE63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D2 Decision autonomy</w:t>
            </w:r>
          </w:p>
        </w:tc>
        <w:tc>
          <w:tcPr>
            <w:tcW w:w="0" w:type="auto"/>
          </w:tcPr>
          <w:p w14:paraId="5284E528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Systems that make binding decisions without case-level human approval</w:t>
            </w:r>
          </w:p>
        </w:tc>
        <w:tc>
          <w:tcPr>
            <w:tcW w:w="0" w:type="auto"/>
          </w:tcPr>
          <w:p w14:paraId="4F581FD9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DCT seizing</w:t>
            </w:r>
          </w:p>
        </w:tc>
        <w:tc>
          <w:tcPr>
            <w:tcW w:w="0" w:type="auto"/>
          </w:tcPr>
          <w:p w14:paraId="02CAAC64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0" w:type="auto"/>
          </w:tcPr>
          <w:p w14:paraId="344422AA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Straight-through credit adjudication; automated case closure</w:t>
            </w:r>
          </w:p>
        </w:tc>
      </w:tr>
      <w:tr w:rsidR="003B44EE" w:rsidRPr="00946117" w14:paraId="1F36395A" w14:textId="77777777" w:rsidTr="00601110">
        <w:tc>
          <w:tcPr>
            <w:tcW w:w="0" w:type="auto"/>
          </w:tcPr>
          <w:p w14:paraId="5AD5A7F5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D3 </w:t>
            </w:r>
            <w:proofErr w:type="gramStart"/>
            <w:r>
              <w:rPr>
                <w:rFonts w:ascii="Times New Roman" w:hAnsi="Times New Roman" w:cs="Times New Roman"/>
              </w:rPr>
              <w:t>Multi-step</w:t>
            </w:r>
            <w:proofErr w:type="gramEnd"/>
            <w:r>
              <w:rPr>
                <w:rFonts w:ascii="Times New Roman" w:hAnsi="Times New Roman" w:cs="Times New Roman"/>
              </w:rPr>
              <w:t xml:space="preserve"> workflow scope</w:t>
            </w:r>
          </w:p>
        </w:tc>
        <w:tc>
          <w:tcPr>
            <w:tcW w:w="0" w:type="auto"/>
          </w:tcPr>
          <w:p w14:paraId="5199462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Breadth of chained tasks the system plans and self-corrects across</w:t>
            </w:r>
          </w:p>
        </w:tc>
        <w:tc>
          <w:tcPr>
            <w:tcW w:w="0" w:type="auto"/>
          </w:tcPr>
          <w:p w14:paraId="00264D4C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DCT transforming</w:t>
            </w:r>
          </w:p>
        </w:tc>
        <w:tc>
          <w:tcPr>
            <w:tcW w:w="0" w:type="auto"/>
          </w:tcPr>
          <w:p w14:paraId="58701661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0" w:type="auto"/>
          </w:tcPr>
          <w:p w14:paraId="5F1762CD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End-to-end onboarding; multi-agent orchestration</w:t>
            </w:r>
          </w:p>
        </w:tc>
      </w:tr>
      <w:tr w:rsidR="003B44EE" w:rsidRPr="00946117" w14:paraId="2D154723" w14:textId="77777777" w:rsidTr="00601110">
        <w:tc>
          <w:tcPr>
            <w:tcW w:w="0" w:type="auto"/>
          </w:tcPr>
          <w:p w14:paraId="7E42F43A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D4 Governance and oversight </w:t>
            </w:r>
            <w:r>
              <w:rPr>
                <w:rFonts w:ascii="Times New Roman" w:hAnsi="Times New Roman" w:cs="Times New Roman"/>
              </w:rPr>
              <w:lastRenderedPageBreak/>
              <w:t>architecture</w:t>
            </w:r>
          </w:p>
        </w:tc>
        <w:tc>
          <w:tcPr>
            <w:tcW w:w="0" w:type="auto"/>
          </w:tcPr>
          <w:p w14:paraId="69A060A9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Formal structures created specifically </w:t>
            </w:r>
            <w:r>
              <w:rPr>
                <w:rFonts w:ascii="Times New Roman" w:hAnsi="Times New Roman" w:cs="Times New Roman"/>
              </w:rPr>
              <w:lastRenderedPageBreak/>
              <w:t>to supervise autonomous systems</w:t>
            </w:r>
          </w:p>
        </w:tc>
        <w:tc>
          <w:tcPr>
            <w:tcW w:w="0" w:type="auto"/>
          </w:tcPr>
          <w:p w14:paraId="48A91C85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DCT transforming; </w:t>
            </w:r>
            <w:r>
              <w:rPr>
                <w:rFonts w:ascii="Times New Roman" w:hAnsi="Times New Roman" w:cs="Times New Roman"/>
              </w:rPr>
              <w:lastRenderedPageBreak/>
              <w:t xml:space="preserve">TOE </w:t>
            </w:r>
            <w:proofErr w:type="spellStart"/>
            <w:r>
              <w:rPr>
                <w:rFonts w:ascii="Times New Roman" w:hAnsi="Times New Roman" w:cs="Times New Roman"/>
              </w:rPr>
              <w:t>organisational</w:t>
            </w:r>
            <w:proofErr w:type="spellEnd"/>
          </w:p>
        </w:tc>
        <w:tc>
          <w:tcPr>
            <w:tcW w:w="0" w:type="auto"/>
          </w:tcPr>
          <w:p w14:paraId="1AB7EE1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0.15</w:t>
            </w:r>
          </w:p>
        </w:tc>
        <w:tc>
          <w:tcPr>
            <w:tcW w:w="0" w:type="auto"/>
          </w:tcPr>
          <w:p w14:paraId="1D359EAE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Agent-specific model-risk </w:t>
            </w:r>
            <w:r>
              <w:rPr>
                <w:rFonts w:ascii="Times New Roman" w:hAnsi="Times New Roman" w:cs="Times New Roman"/>
              </w:rPr>
              <w:lastRenderedPageBreak/>
              <w:t>committee; kill-switch protocol</w:t>
            </w:r>
          </w:p>
        </w:tc>
      </w:tr>
      <w:tr w:rsidR="003B44EE" w:rsidRPr="00946117" w14:paraId="76405BF4" w14:textId="77777777" w:rsidTr="00601110">
        <w:tc>
          <w:tcPr>
            <w:tcW w:w="0" w:type="auto"/>
          </w:tcPr>
          <w:p w14:paraId="2456DFF6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D5 Environmental and infrastructural embedding</w:t>
            </w:r>
          </w:p>
        </w:tc>
        <w:tc>
          <w:tcPr>
            <w:tcW w:w="0" w:type="auto"/>
          </w:tcPr>
          <w:p w14:paraId="33DA967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Integration into payment rails, vendor platforms and regulated processes</w:t>
            </w:r>
          </w:p>
        </w:tc>
        <w:tc>
          <w:tcPr>
            <w:tcW w:w="0" w:type="auto"/>
          </w:tcPr>
          <w:p w14:paraId="63CB329D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TOE environmental</w:t>
            </w:r>
          </w:p>
        </w:tc>
        <w:tc>
          <w:tcPr>
            <w:tcW w:w="0" w:type="auto"/>
          </w:tcPr>
          <w:p w14:paraId="056193A5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0" w:type="auto"/>
          </w:tcPr>
          <w:p w14:paraId="0B69D5EB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Agentic settlement integration; supervised sandbox participation</w:t>
            </w:r>
          </w:p>
        </w:tc>
      </w:tr>
    </w:tbl>
    <w:p w14:paraId="199013D6" w14:textId="77777777" w:rsidR="003B44EE" w:rsidRPr="00946117" w:rsidRDefault="003B44EE" w:rsidP="003B44EE">
      <w:pPr>
        <w:pStyle w:val="BodyTex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Table 4</w:t>
      </w:r>
      <w:r>
        <w:rPr>
          <w:rFonts w:ascii="Times New Roman" w:hAnsi="Times New Roman" w:cs="Times New Roman"/>
        </w:rPr>
        <w:t xml:space="preserve"> Validation acceptance thresholds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892"/>
        <w:gridCol w:w="2441"/>
        <w:gridCol w:w="1786"/>
        <w:gridCol w:w="2907"/>
      </w:tblGrid>
      <w:tr w:rsidR="003B44EE" w:rsidRPr="00946117" w14:paraId="32FF955C" w14:textId="77777777" w:rsidTr="006011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02EC86C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</w:t>
            </w:r>
          </w:p>
        </w:tc>
        <w:tc>
          <w:tcPr>
            <w:tcW w:w="0" w:type="auto"/>
          </w:tcPr>
          <w:p w14:paraId="6DCBA3F5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Statistic</w:t>
            </w:r>
          </w:p>
        </w:tc>
        <w:tc>
          <w:tcPr>
            <w:tcW w:w="0" w:type="auto"/>
          </w:tcPr>
          <w:p w14:paraId="385DEE35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Threshold</w:t>
            </w:r>
          </w:p>
        </w:tc>
        <w:tc>
          <w:tcPr>
            <w:tcW w:w="0" w:type="auto"/>
          </w:tcPr>
          <w:p w14:paraId="06883901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Action if not met</w:t>
            </w:r>
          </w:p>
        </w:tc>
      </w:tr>
      <w:tr w:rsidR="003B44EE" w:rsidRPr="00946117" w14:paraId="08BBD310" w14:textId="77777777" w:rsidTr="00601110">
        <w:tc>
          <w:tcPr>
            <w:tcW w:w="0" w:type="auto"/>
          </w:tcPr>
          <w:p w14:paraId="1211B48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Delphi</w:t>
            </w:r>
          </w:p>
        </w:tc>
        <w:tc>
          <w:tcPr>
            <w:tcW w:w="0" w:type="auto"/>
          </w:tcPr>
          <w:p w14:paraId="4C476B2B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Median </w:t>
            </w:r>
            <w:proofErr w:type="spellStart"/>
            <w:r>
              <w:rPr>
                <w:rFonts w:ascii="Times New Roman" w:hAnsi="Times New Roman" w:cs="Times New Roman"/>
              </w:rPr>
              <w:t>diagnosticity</w:t>
            </w:r>
            <w:proofErr w:type="spellEnd"/>
            <w:r>
              <w:rPr>
                <w:rFonts w:ascii="Times New Roman" w:hAnsi="Times New Roman" w:cs="Times New Roman"/>
              </w:rPr>
              <w:t xml:space="preserve"> rating</w:t>
            </w:r>
          </w:p>
        </w:tc>
        <w:tc>
          <w:tcPr>
            <w:tcW w:w="0" w:type="auto"/>
          </w:tcPr>
          <w:p w14:paraId="6AE73F70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5 of 7</w:t>
            </w:r>
          </w:p>
        </w:tc>
        <w:tc>
          <w:tcPr>
            <w:tcW w:w="0" w:type="auto"/>
          </w:tcPr>
          <w:p w14:paraId="44799E54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Drop term</w:t>
            </w:r>
          </w:p>
        </w:tc>
      </w:tr>
      <w:tr w:rsidR="003B44EE" w:rsidRPr="00946117" w14:paraId="3FF2BB5E" w14:textId="77777777" w:rsidTr="00601110">
        <w:tc>
          <w:tcPr>
            <w:tcW w:w="0" w:type="auto"/>
          </w:tcPr>
          <w:p w14:paraId="289CB86C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Delphi</w:t>
            </w:r>
          </w:p>
        </w:tc>
        <w:tc>
          <w:tcPr>
            <w:tcW w:w="0" w:type="auto"/>
          </w:tcPr>
          <w:p w14:paraId="1F5BD623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Interquartile range</w:t>
            </w:r>
          </w:p>
        </w:tc>
        <w:tc>
          <w:tcPr>
            <w:tcW w:w="0" w:type="auto"/>
          </w:tcPr>
          <w:p w14:paraId="2132BA75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≤ 2</w:t>
            </w:r>
          </w:p>
        </w:tc>
        <w:tc>
          <w:tcPr>
            <w:tcW w:w="0" w:type="auto"/>
          </w:tcPr>
          <w:p w14:paraId="3227E7C2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Return to supplementary round</w:t>
            </w:r>
          </w:p>
        </w:tc>
      </w:tr>
      <w:tr w:rsidR="003B44EE" w:rsidRPr="00946117" w14:paraId="545B4AE4" w14:textId="77777777" w:rsidTr="00601110">
        <w:tc>
          <w:tcPr>
            <w:tcW w:w="0" w:type="auto"/>
          </w:tcPr>
          <w:p w14:paraId="5E0AE056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Delphi</w:t>
            </w:r>
          </w:p>
        </w:tc>
        <w:tc>
          <w:tcPr>
            <w:tcW w:w="0" w:type="auto"/>
          </w:tcPr>
          <w:p w14:paraId="624D1F41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Dimension allocation</w:t>
            </w:r>
          </w:p>
        </w:tc>
        <w:tc>
          <w:tcPr>
            <w:tcW w:w="0" w:type="auto"/>
          </w:tcPr>
          <w:p w14:paraId="43B4DC8D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70% agreement</w:t>
            </w:r>
          </w:p>
        </w:tc>
        <w:tc>
          <w:tcPr>
            <w:tcW w:w="0" w:type="auto"/>
          </w:tcPr>
          <w:p w14:paraId="0C7DE232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Split term or drop</w:t>
            </w:r>
          </w:p>
        </w:tc>
      </w:tr>
      <w:tr w:rsidR="003B44EE" w:rsidRPr="00946117" w14:paraId="3AE6CEC5" w14:textId="77777777" w:rsidTr="00601110">
        <w:tc>
          <w:tcPr>
            <w:tcW w:w="0" w:type="auto"/>
          </w:tcPr>
          <w:p w14:paraId="4D54E58B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 coding</w:t>
            </w:r>
          </w:p>
        </w:tc>
        <w:tc>
          <w:tcPr>
            <w:tcW w:w="0" w:type="auto"/>
          </w:tcPr>
          <w:p w14:paraId="4CF6E1BB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Krippendorff’s</w:t>
            </w:r>
            <w:proofErr w:type="spellEnd"/>
            <w:r>
              <w:rPr>
                <w:rFonts w:ascii="Times New Roman" w:hAnsi="Times New Roman" w:cs="Times New Roman"/>
              </w:rPr>
              <w:t xml:space="preserve"> α, tier</w:t>
            </w:r>
          </w:p>
        </w:tc>
        <w:tc>
          <w:tcPr>
            <w:tcW w:w="0" w:type="auto"/>
          </w:tcPr>
          <w:p w14:paraId="363EB3C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0.80</w:t>
            </w:r>
          </w:p>
        </w:tc>
        <w:tc>
          <w:tcPr>
            <w:tcW w:w="0" w:type="auto"/>
          </w:tcPr>
          <w:p w14:paraId="1E83A1E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Revise manual, retrain, new sample</w:t>
            </w:r>
          </w:p>
        </w:tc>
      </w:tr>
      <w:tr w:rsidR="003B44EE" w:rsidRPr="00946117" w14:paraId="3C40830B" w14:textId="77777777" w:rsidTr="00601110">
        <w:tc>
          <w:tcPr>
            <w:tcW w:w="0" w:type="auto"/>
          </w:tcPr>
          <w:p w14:paraId="439729B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 coding</w:t>
            </w:r>
          </w:p>
        </w:tc>
        <w:tc>
          <w:tcPr>
            <w:tcW w:w="0" w:type="auto"/>
          </w:tcPr>
          <w:p w14:paraId="19283CA1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Krippendorff’s</w:t>
            </w:r>
            <w:proofErr w:type="spellEnd"/>
            <w:r>
              <w:rPr>
                <w:rFonts w:ascii="Times New Roman" w:hAnsi="Times New Roman" w:cs="Times New Roman"/>
              </w:rPr>
              <w:t xml:space="preserve"> α, dimension</w:t>
            </w:r>
          </w:p>
        </w:tc>
        <w:tc>
          <w:tcPr>
            <w:tcW w:w="0" w:type="auto"/>
          </w:tcPr>
          <w:p w14:paraId="37AABC96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0.75</w:t>
            </w:r>
          </w:p>
        </w:tc>
        <w:tc>
          <w:tcPr>
            <w:tcW w:w="0" w:type="auto"/>
          </w:tcPr>
          <w:p w14:paraId="2C11A700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Revise manual, retrain, new sample</w:t>
            </w:r>
          </w:p>
        </w:tc>
      </w:tr>
      <w:tr w:rsidR="003B44EE" w:rsidRPr="00946117" w14:paraId="1E308E4C" w14:textId="77777777" w:rsidTr="00601110">
        <w:tc>
          <w:tcPr>
            <w:tcW w:w="0" w:type="auto"/>
          </w:tcPr>
          <w:p w14:paraId="11F000E2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 coding</w:t>
            </w:r>
          </w:p>
        </w:tc>
        <w:tc>
          <w:tcPr>
            <w:tcW w:w="0" w:type="auto"/>
          </w:tcPr>
          <w:p w14:paraId="3F5EA74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Cohen’s κ, pairwise</w:t>
            </w:r>
          </w:p>
        </w:tc>
        <w:tc>
          <w:tcPr>
            <w:tcW w:w="0" w:type="auto"/>
          </w:tcPr>
          <w:p w14:paraId="2D4546E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0.61</w:t>
            </w:r>
          </w:p>
        </w:tc>
        <w:tc>
          <w:tcPr>
            <w:tcW w:w="0" w:type="auto"/>
          </w:tcPr>
          <w:p w14:paraId="55BF125E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Retrain coder</w:t>
            </w:r>
          </w:p>
        </w:tc>
      </w:tr>
      <w:tr w:rsidR="003B44EE" w:rsidRPr="00946117" w14:paraId="350983E0" w14:textId="77777777" w:rsidTr="00601110">
        <w:tc>
          <w:tcPr>
            <w:tcW w:w="0" w:type="auto"/>
          </w:tcPr>
          <w:p w14:paraId="47CFAD89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Scale</w:t>
            </w:r>
          </w:p>
        </w:tc>
        <w:tc>
          <w:tcPr>
            <w:tcW w:w="0" w:type="auto"/>
          </w:tcPr>
          <w:p w14:paraId="054135E4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Cronbach’s α</w:t>
            </w:r>
          </w:p>
        </w:tc>
        <w:tc>
          <w:tcPr>
            <w:tcW w:w="0" w:type="auto"/>
          </w:tcPr>
          <w:p w14:paraId="31BD2C7E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0.70</w:t>
            </w:r>
          </w:p>
        </w:tc>
        <w:tc>
          <w:tcPr>
            <w:tcW w:w="0" w:type="auto"/>
          </w:tcPr>
          <w:p w14:paraId="4160AE3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Report dimensions separately</w:t>
            </w:r>
          </w:p>
        </w:tc>
      </w:tr>
      <w:tr w:rsidR="003B44EE" w:rsidRPr="00946117" w14:paraId="0AE3B346" w14:textId="77777777" w:rsidTr="00601110">
        <w:tc>
          <w:tcPr>
            <w:tcW w:w="0" w:type="auto"/>
          </w:tcPr>
          <w:p w14:paraId="4914EBC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EFA</w:t>
            </w:r>
          </w:p>
        </w:tc>
        <w:tc>
          <w:tcPr>
            <w:tcW w:w="0" w:type="auto"/>
          </w:tcPr>
          <w:p w14:paraId="42A75052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Kaiser–Meyer–Olkin</w:t>
            </w:r>
          </w:p>
        </w:tc>
        <w:tc>
          <w:tcPr>
            <w:tcW w:w="0" w:type="auto"/>
          </w:tcPr>
          <w:p w14:paraId="27C137C0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0.70</w:t>
            </w:r>
          </w:p>
        </w:tc>
        <w:tc>
          <w:tcPr>
            <w:tcW w:w="0" w:type="auto"/>
          </w:tcPr>
          <w:p w14:paraId="3A84920C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Re-specify dimension set</w:t>
            </w:r>
          </w:p>
        </w:tc>
      </w:tr>
      <w:tr w:rsidR="003B44EE" w:rsidRPr="00946117" w14:paraId="75963F61" w14:textId="77777777" w:rsidTr="00601110">
        <w:tc>
          <w:tcPr>
            <w:tcW w:w="0" w:type="auto"/>
          </w:tcPr>
          <w:p w14:paraId="5C6140E5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EFA</w:t>
            </w:r>
          </w:p>
        </w:tc>
        <w:tc>
          <w:tcPr>
            <w:tcW w:w="0" w:type="auto"/>
          </w:tcPr>
          <w:p w14:paraId="1A038170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Bartlett’s test</w:t>
            </w:r>
          </w:p>
        </w:tc>
        <w:tc>
          <w:tcPr>
            <w:tcW w:w="0" w:type="auto"/>
          </w:tcPr>
          <w:p w14:paraId="13895CEA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 xml:space="preserve"> &lt; 0.05</w:t>
            </w:r>
          </w:p>
        </w:tc>
        <w:tc>
          <w:tcPr>
            <w:tcW w:w="0" w:type="auto"/>
          </w:tcPr>
          <w:p w14:paraId="17BE2B7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Re-specify dimension set</w:t>
            </w:r>
          </w:p>
        </w:tc>
      </w:tr>
      <w:tr w:rsidR="003B44EE" w:rsidRPr="00946117" w14:paraId="5560DA69" w14:textId="77777777" w:rsidTr="00601110">
        <w:tc>
          <w:tcPr>
            <w:tcW w:w="0" w:type="auto"/>
          </w:tcPr>
          <w:p w14:paraId="200A7390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CFA</w:t>
            </w:r>
          </w:p>
        </w:tc>
        <w:tc>
          <w:tcPr>
            <w:tcW w:w="0" w:type="auto"/>
          </w:tcPr>
          <w:p w14:paraId="4C001096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CFI; RMSEA; SRMR</w:t>
            </w:r>
          </w:p>
        </w:tc>
        <w:tc>
          <w:tcPr>
            <w:tcW w:w="0" w:type="auto"/>
          </w:tcPr>
          <w:p w14:paraId="398929F4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0.90; ≤ 0.08; ≤ 0.08</w:t>
            </w:r>
          </w:p>
        </w:tc>
        <w:tc>
          <w:tcPr>
            <w:tcW w:w="0" w:type="auto"/>
          </w:tcPr>
          <w:p w14:paraId="5E1B38DA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Re-derive weights from loadings</w:t>
            </w:r>
          </w:p>
        </w:tc>
      </w:tr>
      <w:tr w:rsidR="003B44EE" w:rsidRPr="00946117" w14:paraId="060AE065" w14:textId="77777777" w:rsidTr="00601110">
        <w:tc>
          <w:tcPr>
            <w:tcW w:w="0" w:type="auto"/>
          </w:tcPr>
          <w:p w14:paraId="7FA7D877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</w:t>
            </w:r>
            <w:r>
              <w:rPr>
                <w:rFonts w:ascii="Times New Roman" w:hAnsi="Times New Roman" w:cs="Times New Roman"/>
              </w:rPr>
              <w:lastRenderedPageBreak/>
              <w:t>classification</w:t>
            </w:r>
          </w:p>
        </w:tc>
        <w:tc>
          <w:tcPr>
            <w:tcW w:w="0" w:type="auto"/>
          </w:tcPr>
          <w:p w14:paraId="652843C4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α against human gold </w:t>
            </w:r>
            <w:r>
              <w:rPr>
                <w:rFonts w:ascii="Times New Roman" w:hAnsi="Times New Roman" w:cs="Times New Roman"/>
              </w:rPr>
              <w:lastRenderedPageBreak/>
              <w:t>standard</w:t>
            </w:r>
          </w:p>
        </w:tc>
        <w:tc>
          <w:tcPr>
            <w:tcW w:w="0" w:type="auto"/>
          </w:tcPr>
          <w:p w14:paraId="54BC9DD4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≥ 0.80</w:t>
            </w:r>
          </w:p>
        </w:tc>
        <w:tc>
          <w:tcPr>
            <w:tcW w:w="0" w:type="auto"/>
          </w:tcPr>
          <w:p w14:paraId="62FFAFD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Revise prompt, new </w:t>
            </w:r>
            <w:r>
              <w:rPr>
                <w:rFonts w:ascii="Times New Roman" w:hAnsi="Times New Roman" w:cs="Times New Roman"/>
              </w:rPr>
              <w:lastRenderedPageBreak/>
              <w:t>calibration sample</w:t>
            </w:r>
          </w:p>
        </w:tc>
      </w:tr>
      <w:tr w:rsidR="003B44EE" w:rsidRPr="00946117" w14:paraId="39A56CE7" w14:textId="77777777" w:rsidTr="00601110">
        <w:tc>
          <w:tcPr>
            <w:tcW w:w="0" w:type="auto"/>
          </w:tcPr>
          <w:p w14:paraId="6A4F491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Model classification</w:t>
            </w:r>
          </w:p>
        </w:tc>
        <w:tc>
          <w:tcPr>
            <w:tcW w:w="0" w:type="auto"/>
          </w:tcPr>
          <w:p w14:paraId="7EB52092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Tier 2–3 human review</w:t>
            </w:r>
          </w:p>
        </w:tc>
        <w:tc>
          <w:tcPr>
            <w:tcW w:w="0" w:type="auto"/>
          </w:tcPr>
          <w:p w14:paraId="05AF79FA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0" w:type="auto"/>
          </w:tcPr>
          <w:p w14:paraId="37E725E4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applicable, mandatory</w:t>
            </w:r>
          </w:p>
        </w:tc>
      </w:tr>
      <w:tr w:rsidR="003B44EE" w:rsidRPr="00946117" w14:paraId="0C73C422" w14:textId="77777777" w:rsidTr="00601110">
        <w:tc>
          <w:tcPr>
            <w:tcW w:w="0" w:type="auto"/>
          </w:tcPr>
          <w:p w14:paraId="1A4FA1ED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Stability</w:t>
            </w:r>
          </w:p>
        </w:tc>
        <w:tc>
          <w:tcPr>
            <w:tcW w:w="0" w:type="auto"/>
          </w:tcPr>
          <w:p w14:paraId="7C03C9ED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Spearman ρ across runs</w:t>
            </w:r>
          </w:p>
        </w:tc>
        <w:tc>
          <w:tcPr>
            <w:tcW w:w="0" w:type="auto"/>
          </w:tcPr>
          <w:p w14:paraId="38667838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0.95</w:t>
            </w:r>
          </w:p>
        </w:tc>
        <w:tc>
          <w:tcPr>
            <w:tcW w:w="0" w:type="auto"/>
          </w:tcPr>
          <w:p w14:paraId="4E1EBE35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Report as unstable, do not use</w:t>
            </w:r>
          </w:p>
        </w:tc>
      </w:tr>
      <w:tr w:rsidR="003B44EE" w:rsidRPr="00946117" w14:paraId="3B56F169" w14:textId="77777777" w:rsidTr="00601110">
        <w:tc>
          <w:tcPr>
            <w:tcW w:w="0" w:type="auto"/>
          </w:tcPr>
          <w:p w14:paraId="50380DC3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Convergent validity</w:t>
            </w:r>
          </w:p>
        </w:tc>
        <w:tc>
          <w:tcPr>
            <w:tcW w:w="0" w:type="auto"/>
          </w:tcPr>
          <w:p w14:paraId="1174E1A3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ρ with external indicators</w:t>
            </w:r>
          </w:p>
        </w:tc>
        <w:tc>
          <w:tcPr>
            <w:tcW w:w="0" w:type="auto"/>
          </w:tcPr>
          <w:p w14:paraId="4C00DDFD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0.50</w:t>
            </w:r>
          </w:p>
        </w:tc>
        <w:tc>
          <w:tcPr>
            <w:tcW w:w="0" w:type="auto"/>
          </w:tcPr>
          <w:p w14:paraId="58512074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Investigate before use</w:t>
            </w:r>
          </w:p>
        </w:tc>
      </w:tr>
      <w:tr w:rsidR="003B44EE" w:rsidRPr="00946117" w14:paraId="382AAF9E" w14:textId="77777777" w:rsidTr="00601110">
        <w:tc>
          <w:tcPr>
            <w:tcW w:w="0" w:type="auto"/>
          </w:tcPr>
          <w:p w14:paraId="117818D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Discriminant validity</w:t>
            </w:r>
          </w:p>
        </w:tc>
        <w:tc>
          <w:tcPr>
            <w:tcW w:w="0" w:type="auto"/>
          </w:tcPr>
          <w:p w14:paraId="475EE0AD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ρ with general AI index</w:t>
            </w:r>
          </w:p>
        </w:tc>
        <w:tc>
          <w:tcPr>
            <w:tcW w:w="0" w:type="auto"/>
          </w:tcPr>
          <w:p w14:paraId="1DDE397F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0.30–0.70</w:t>
            </w:r>
          </w:p>
        </w:tc>
        <w:tc>
          <w:tcPr>
            <w:tcW w:w="0" w:type="auto"/>
          </w:tcPr>
          <w:p w14:paraId="71507F25" w14:textId="77777777" w:rsidR="003B44EE" w:rsidRPr="00946117" w:rsidRDefault="003B44EE" w:rsidP="00601110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Re-weight (upper) or re-classify (lower)</w:t>
            </w:r>
          </w:p>
        </w:tc>
      </w:tr>
    </w:tbl>
    <w:p w14:paraId="23CA90FA" w14:textId="77777777" w:rsidR="003B44EE" w:rsidRDefault="003B44EE"/>
    <w:sectPr w:rsidR="003B44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4EE"/>
    <w:rsid w:val="0017148F"/>
    <w:rsid w:val="002A1BB9"/>
    <w:rsid w:val="002B4305"/>
    <w:rsid w:val="003B44EE"/>
    <w:rsid w:val="006F4BA3"/>
    <w:rsid w:val="008007AA"/>
    <w:rsid w:val="00B8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D0C28"/>
  <w15:chartTrackingRefBased/>
  <w15:docId w15:val="{32CB7276-6715-4B5A-8D9B-07BF9C0B0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4EE"/>
    <w:pPr>
      <w:spacing w:after="200" w:line="240" w:lineRule="auto"/>
    </w:pPr>
    <w:rPr>
      <w:rFonts w:ascii="Arial" w:eastAsia="Arial" w:hAnsi="Arial" w:cs="Arial"/>
      <w:kern w:val="0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44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4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4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4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4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4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4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4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4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4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4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4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4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4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4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4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4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4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4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4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4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4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4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4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4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4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4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4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4EE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3B44EE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3B44EE"/>
    <w:rPr>
      <w:rFonts w:ascii="Arial" w:eastAsia="Arial" w:hAnsi="Arial" w:cs="Arial"/>
      <w:kern w:val="0"/>
      <w:sz w:val="24"/>
      <w:szCs w:val="24"/>
      <w:lang w:val="en-US"/>
    </w:rPr>
  </w:style>
  <w:style w:type="paragraph" w:customStyle="1" w:styleId="Compact">
    <w:name w:val="Compact"/>
    <w:basedOn w:val="BodyText"/>
    <w:qFormat/>
    <w:rsid w:val="003B44EE"/>
    <w:pPr>
      <w:spacing w:before="36" w:after="36"/>
    </w:pPr>
  </w:style>
  <w:style w:type="table" w:customStyle="1" w:styleId="Table">
    <w:name w:val="Table"/>
    <w:semiHidden/>
    <w:unhideWhenUsed/>
    <w:qFormat/>
    <w:rsid w:val="003B44EE"/>
    <w:pPr>
      <w:spacing w:after="200" w:line="240" w:lineRule="auto"/>
    </w:pPr>
    <w:rPr>
      <w:rFonts w:ascii="Arial" w:eastAsia="Arial" w:hAnsi="Arial" w:cs="Arial"/>
      <w:kern w:val="0"/>
      <w:sz w:val="24"/>
      <w:szCs w:val="24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RAMYASHREE M S</dc:creator>
  <cp:keywords/>
  <dc:description/>
  <cp:lastModifiedBy>RAMYASHREE M S</cp:lastModifiedBy>
  <cp:revision>1</cp:revision>
  <dcterms:created xsi:type="dcterms:W3CDTF">2026-08-18T07:35:00Z</dcterms:created>
  <dcterms:modified xsi:type="dcterms:W3CDTF">2026-08-18T08:49:00Z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71364014-1b1d-49a9-8a2e-5d42d4a573c2</vt:lpwstr>
  </property>
</Properties>
</file>