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F6006">
      <w:pPr>
        <w:pStyle w:val="9"/>
        <w:jc w:val="left"/>
        <w:rPr>
          <w:rFonts w:hint="default" w:ascii="Times New Roman" w:hAnsi="Times New Roman" w:cs="Times New Roman"/>
          <w:i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i w:val="0"/>
          <w:sz w:val="20"/>
          <w:szCs w:val="20"/>
        </w:rPr>
        <w:t>rticle title</w:t>
      </w:r>
      <w:r>
        <w:rPr>
          <w:rFonts w:hint="default" w:ascii="Times New Roman" w:hAnsi="Times New Roman" w:cs="Times New Roman"/>
          <w:b/>
          <w:bCs/>
          <w:i w:val="0"/>
          <w:sz w:val="20"/>
          <w:szCs w:val="20"/>
          <w:lang w:eastAsia="zh-CN"/>
        </w:rPr>
        <w:t>：</w:t>
      </w:r>
      <w:r>
        <w:rPr>
          <w:rFonts w:hint="default" w:ascii="Times New Roman" w:hAnsi="Times New Roman" w:cs="Times New Roman"/>
          <w:b/>
          <w:bCs/>
          <w:i w:val="0"/>
          <w:sz w:val="20"/>
          <w:szCs w:val="20"/>
          <w:lang w:val="en-US" w:eastAsia="zh-CN"/>
        </w:rPr>
        <w:t>A Strategic Pathway Framework for Industry 5.0-Enabled Net-Zero Manufacturing toward Sustainable Industrial Transition</w:t>
      </w:r>
    </w:p>
    <w:p w14:paraId="0D117227">
      <w:pPr>
        <w:pStyle w:val="8"/>
        <w:widowControl/>
        <w:rPr>
          <w:rFonts w:hint="default" w:ascii="Times New Roman" w:hAnsi="Times New Roman" w:cs="Times New Roman" w:eastAsiaTheme="minorEastAsia"/>
          <w:i w:val="0"/>
          <w:kern w:val="2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i w:val="0"/>
          <w:kern w:val="2"/>
          <w:sz w:val="20"/>
          <w:szCs w:val="20"/>
          <w:lang w:val="en-US" w:eastAsia="zh-CN" w:bidi="ar-SA"/>
        </w:rPr>
        <w:t>Comprehensive Documentation of the FISM Iterative Process for Hierarchical Structure Establishment (Online Resources S</w:t>
      </w:r>
      <w:r>
        <w:rPr>
          <w:rFonts w:hint="eastAsia" w:cs="Times New Roman" w:eastAsiaTheme="minorEastAsia"/>
          <w:i w:val="0"/>
          <w:kern w:val="2"/>
          <w:sz w:val="20"/>
          <w:szCs w:val="20"/>
          <w:lang w:val="en-US" w:eastAsia="zh-CN" w:bidi="ar-SA"/>
        </w:rPr>
        <w:t>1</w:t>
      </w:r>
      <w:r>
        <w:rPr>
          <w:rFonts w:hint="default" w:ascii="Times New Roman" w:hAnsi="Times New Roman" w:cs="Times New Roman" w:eastAsiaTheme="minorEastAsia"/>
          <w:i w:val="0"/>
          <w:kern w:val="2"/>
          <w:sz w:val="20"/>
          <w:szCs w:val="20"/>
          <w:lang w:val="en-US" w:eastAsia="zh-CN" w:bidi="ar-SA"/>
        </w:rPr>
        <w:t>–S</w:t>
      </w:r>
      <w:r>
        <w:rPr>
          <w:rFonts w:hint="eastAsia" w:cs="Times New Roman" w:eastAsiaTheme="minorEastAsia"/>
          <w:i w:val="0"/>
          <w:kern w:val="2"/>
          <w:sz w:val="20"/>
          <w:szCs w:val="20"/>
          <w:lang w:val="en-US" w:eastAsia="zh-CN" w:bidi="ar-SA"/>
        </w:rPr>
        <w:t>6</w:t>
      </w:r>
      <w:r>
        <w:rPr>
          <w:rFonts w:hint="default" w:ascii="Times New Roman" w:hAnsi="Times New Roman" w:cs="Times New Roman" w:eastAsiaTheme="minorEastAsia"/>
          <w:i w:val="0"/>
          <w:kern w:val="2"/>
          <w:sz w:val="20"/>
          <w:szCs w:val="20"/>
          <w:lang w:val="en-US" w:eastAsia="zh-CN" w:bidi="ar-SA"/>
        </w:rPr>
        <w:t>)</w:t>
      </w:r>
      <w:bookmarkStart w:id="2" w:name="_GoBack"/>
      <w:bookmarkEnd w:id="2"/>
    </w:p>
    <w:p w14:paraId="0A9428B0">
      <w:pPr>
        <w:pStyle w:val="8"/>
        <w:widowControl/>
        <w:rPr>
          <w:rFonts w:hint="default" w:ascii="Times New Roman" w:hAnsi="Times New Roman" w:cs="Times New Roman" w:eastAsiaTheme="minorEastAsia"/>
          <w:i w:val="0"/>
          <w:kern w:val="2"/>
          <w:sz w:val="20"/>
          <w:szCs w:val="20"/>
          <w:lang w:val="en-US" w:eastAsia="zh-CN" w:bidi="ar-SA"/>
        </w:rPr>
      </w:pPr>
      <w:r>
        <w:rPr>
          <w:lang w:val="en-US"/>
        </w:rPr>
        <w:t xml:space="preserve">For statistical convenience, the numbers below correspond to the sequence of factors in Chapter 2. For example, number 1 refers to </w:t>
      </w:r>
      <w:r>
        <w:rPr>
          <w:rFonts w:hint="eastAsia"/>
          <w:lang w:val="en-US" w:eastAsia="zh-CN"/>
        </w:rPr>
        <w:t>e</w:t>
      </w:r>
      <w:r>
        <w:rPr>
          <w:lang w:eastAsia="zh-CN"/>
        </w:rPr>
        <w:t xml:space="preserve">mployee </w:t>
      </w:r>
      <w:r>
        <w:rPr>
          <w:rFonts w:hint="eastAsia"/>
          <w:lang w:val="en-US" w:eastAsia="zh-CN"/>
        </w:rPr>
        <w:t>w</w:t>
      </w:r>
      <w:r>
        <w:rPr>
          <w:lang w:eastAsia="zh-CN"/>
        </w:rPr>
        <w:t xml:space="preserve">ell-being </w:t>
      </w:r>
      <w:r>
        <w:rPr>
          <w:rFonts w:hint="eastAsia"/>
          <w:lang w:val="en-US" w:eastAsia="zh-CN"/>
        </w:rPr>
        <w:t>p</w:t>
      </w:r>
      <w:r>
        <w:rPr>
          <w:lang w:eastAsia="zh-CN"/>
        </w:rPr>
        <w:t>rioritization</w:t>
      </w:r>
      <w:r>
        <w:rPr>
          <w:lang w:val="en-US"/>
        </w:rPr>
        <w:t xml:space="preserve">(PWE), and number 2 refers to human-centered digital empowerment (HDE). </w:t>
      </w:r>
    </w:p>
    <w:p w14:paraId="257872A2">
      <w:pPr>
        <w:pStyle w:val="7"/>
        <w:widowControl/>
        <w:rPr>
          <w:lang w:val="en-US"/>
        </w:rPr>
      </w:pPr>
      <w:r>
        <w:rPr>
          <w:lang w:val="en-US" w:eastAsia="zh-CN"/>
        </w:rPr>
        <w:t>Online Resource S</w:t>
      </w:r>
      <w:r>
        <w:rPr>
          <w:rFonts w:hint="eastAsia"/>
          <w:lang w:val="en-US" w:eastAsia="zh-CN"/>
        </w:rPr>
        <w:t>1</w:t>
      </w:r>
      <w:r>
        <w:rPr>
          <w:lang w:val="en-US" w:eastAsia="zh-CN"/>
        </w:rPr>
        <w:t>.</w:t>
      </w:r>
      <w:r>
        <w:rPr>
          <w:lang w:val="en-US"/>
        </w:rPr>
        <w:t xml:space="preserve"> Key Success Factors for Industry 5.0 in Promoting a Net-Zero Economy in Manufacturing: First Extraction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3613"/>
        <w:gridCol w:w="2746"/>
        <w:gridCol w:w="1807"/>
      </w:tblGrid>
      <w:tr w14:paraId="6A78C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02EB67D3">
            <w:pPr>
              <w:pStyle w:val="6"/>
              <w:widowControl/>
              <w:jc w:val="center"/>
              <w:rPr>
                <w:lang w:val="en-US"/>
              </w:rPr>
            </w:pPr>
            <w:bookmarkStart w:id="0" w:name="_Hlk213788720"/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</w:p>
        </w:tc>
        <w:tc>
          <w:tcPr>
            <w:tcW w:w="344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4FC39A3D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R</w:t>
            </w:r>
            <w:r>
              <w:rPr>
                <w:szCs w:val="24"/>
                <w:lang w:val="en-US" w:eastAsia="zh-CN"/>
              </w:rPr>
              <w:t>(</w:t>
            </w:r>
            <w:r>
              <w:rPr>
                <w:szCs w:val="24"/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szCs w:val="24"/>
                <w:lang w:val="en-US" w:eastAsia="zh-CN"/>
              </w:rPr>
              <w:t>)</w:t>
            </w:r>
          </w:p>
        </w:tc>
        <w:tc>
          <w:tcPr>
            <w:tcW w:w="261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55FDCD17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Q</w:t>
            </w:r>
            <w:r>
              <w:rPr>
                <w:szCs w:val="24"/>
                <w:lang w:val="en-US" w:eastAsia="zh-CN"/>
              </w:rPr>
              <w:t>(</w:t>
            </w:r>
            <w:r>
              <w:rPr>
                <w:szCs w:val="24"/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szCs w:val="24"/>
                <w:lang w:val="en-US" w:eastAsia="zh-CN"/>
              </w:rPr>
              <w:t>)</w:t>
            </w:r>
          </w:p>
        </w:tc>
        <w:tc>
          <w:tcPr>
            <w:tcW w:w="172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60EE968B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R</w:t>
            </w:r>
            <w:r>
              <w:rPr>
                <w:szCs w:val="24"/>
                <w:lang w:val="en-US" w:eastAsia="zh-CN"/>
              </w:rPr>
              <w:t>(</w:t>
            </w:r>
            <w:r>
              <w:rPr>
                <w:szCs w:val="24"/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szCs w:val="24"/>
                <w:lang w:val="en-US" w:eastAsia="zh-CN"/>
              </w:rPr>
              <w:t>)</w:t>
            </w:r>
            <w:r>
              <w:rPr>
                <w:szCs w:val="24"/>
                <w:lang w:val="en-US"/>
              </w:rPr>
              <w:t>∩Q</w:t>
            </w:r>
            <w:r>
              <w:rPr>
                <w:szCs w:val="24"/>
                <w:lang w:val="en-US" w:eastAsia="zh-CN"/>
              </w:rPr>
              <w:t>(</w:t>
            </w:r>
            <w:r>
              <w:rPr>
                <w:szCs w:val="24"/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szCs w:val="24"/>
                <w:lang w:val="en-US" w:eastAsia="zh-CN"/>
              </w:rPr>
              <w:t>)</w:t>
            </w:r>
          </w:p>
        </w:tc>
      </w:tr>
      <w:tr w14:paraId="27888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9243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4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183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1, 3, 6, 8, 9, 10, 11</w:t>
            </w:r>
          </w:p>
        </w:tc>
        <w:tc>
          <w:tcPr>
            <w:tcW w:w="261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B54B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1, 2, 4, 5, 7, 11, 12</w:t>
            </w:r>
          </w:p>
        </w:tc>
        <w:tc>
          <w:tcPr>
            <w:tcW w:w="172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914A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</w:tr>
      <w:tr w14:paraId="53228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0519F449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136CD2E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1, 2, 3, 6, 8, 9, 10, 11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64D934E7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2, 4, 5, 7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4AE8FDF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14:paraId="4F052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784B82C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25EC226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3, 6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58E1D10B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1, 2, 3, 4, 5, 7, 11, 12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7138ECD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14:paraId="1AEE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5820DD6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290C4AA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1, 2, 3, 4, 6, 8, 9, 10, 11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1C3F8FB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7AF039C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14:paraId="52B10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0241660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053D8FB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1, 2, 3, 4, 5, 6, 7, 8, 9, 10, 11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358B79C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13D4913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175C7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68FBDE9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074DB6CE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709874D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1, 2, 3, 4, 5, 6, 7, 11, 12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30775EB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14:paraId="326C1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0AEACA08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4F0A610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1, 2, 3, 4, 5, 6, 7, 8, 9, 10, 11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472CB9F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021841E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72048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603D9A68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3D8722E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8, 9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438DFCB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1, 2, 4, 5, 7, 8, 11, 12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410920F7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14:paraId="2C521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77332B6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377DC458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4DDF1F3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1, 2, 4, 5, 7, 8, 9, 11, 12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5CC7D5F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14:paraId="5280E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56F2987B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7B432B6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2351994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1, 2, 4, 5, 7, 10, 11, 12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5EC4EBF9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14:paraId="027E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shd w:val="clear" w:color="auto" w:fill="auto"/>
            <w:noWrap/>
            <w:vAlign w:val="center"/>
          </w:tcPr>
          <w:p w14:paraId="0A664AD7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442" w:type="dxa"/>
            <w:shd w:val="clear" w:color="auto" w:fill="auto"/>
            <w:noWrap/>
            <w:vAlign w:val="center"/>
          </w:tcPr>
          <w:p w14:paraId="6C30B78E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1, 3, 6, 8, 9, 10, 11</w:t>
            </w:r>
          </w:p>
        </w:tc>
        <w:tc>
          <w:tcPr>
            <w:tcW w:w="2616" w:type="dxa"/>
            <w:shd w:val="clear" w:color="auto" w:fill="auto"/>
            <w:noWrap/>
            <w:vAlign w:val="center"/>
          </w:tcPr>
          <w:p w14:paraId="4B6A4C3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1, 2, 4, 5, 7, 11, 12</w:t>
            </w:r>
          </w:p>
        </w:tc>
        <w:tc>
          <w:tcPr>
            <w:tcW w:w="1722" w:type="dxa"/>
            <w:shd w:val="clear" w:color="auto" w:fill="auto"/>
            <w:noWrap/>
            <w:vAlign w:val="center"/>
          </w:tcPr>
          <w:p w14:paraId="3BD647C5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</w:tr>
      <w:tr w14:paraId="45E8A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E9A84A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2158F8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1, 3, 6, 8, 9, 10, 11, 12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15383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30D8CE8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bookmarkEnd w:id="0"/>
    </w:tbl>
    <w:p w14:paraId="2A55AE29">
      <w:pPr>
        <w:pStyle w:val="7"/>
        <w:widowControl/>
        <w:rPr>
          <w:lang w:val="en-US"/>
        </w:rPr>
      </w:pPr>
      <w:r>
        <w:rPr>
          <w:lang w:val="en-US" w:eastAsia="zh-CN"/>
        </w:rPr>
        <w:t>Online Resource S</w:t>
      </w:r>
      <w:r>
        <w:rPr>
          <w:rFonts w:hint="eastAsia"/>
          <w:lang w:val="en-US" w:eastAsia="zh-CN"/>
        </w:rPr>
        <w:t>2</w:t>
      </w:r>
      <w:r>
        <w:rPr>
          <w:lang w:val="en-US" w:eastAsia="zh-CN"/>
        </w:rPr>
        <w:t>.</w:t>
      </w:r>
      <w:r>
        <w:rPr>
          <w:lang w:val="en-US"/>
        </w:rPr>
        <w:t xml:space="preserve"> Key Success Factors for Industry 5.0 in Promoting a Net-Zero Economy in Manufacturing: Second Extraction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663"/>
        <w:gridCol w:w="2692"/>
        <w:gridCol w:w="1755"/>
      </w:tblGrid>
      <w:tr w14:paraId="7A6B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5EDADAA4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bookmarkStart w:id="1" w:name="_Hlk213788773"/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</w:p>
        </w:tc>
        <w:tc>
          <w:tcPr>
            <w:tcW w:w="357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4F6A84AB">
            <w:pPr>
              <w:pStyle w:val="6"/>
              <w:widowControl/>
              <w:spacing w:after="60" w:afterAutospacing="0"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R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</w:p>
        </w:tc>
        <w:tc>
          <w:tcPr>
            <w:tcW w:w="2625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27D01C3B">
            <w:pPr>
              <w:pStyle w:val="6"/>
              <w:widowControl/>
              <w:spacing w:after="60" w:afterAutospacing="0"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Q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</w:p>
        </w:tc>
        <w:tc>
          <w:tcPr>
            <w:tcW w:w="171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1CC9A213">
            <w:pPr>
              <w:pStyle w:val="6"/>
              <w:widowControl/>
              <w:spacing w:after="60" w:afterAutospacing="0"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R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  <w:r>
              <w:rPr>
                <w:lang w:val="en-US"/>
              </w:rPr>
              <w:t>∩Q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</w:p>
        </w:tc>
      </w:tr>
      <w:tr w14:paraId="355C8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A7D68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7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6542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1, 3, 8, 11</w:t>
            </w:r>
          </w:p>
        </w:tc>
        <w:tc>
          <w:tcPr>
            <w:tcW w:w="2625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0819E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1, 2, 4, 5, 7, 11, 12</w:t>
            </w:r>
          </w:p>
        </w:tc>
        <w:tc>
          <w:tcPr>
            <w:tcW w:w="171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6074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</w:tr>
      <w:tr w14:paraId="43B7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shd w:val="clear" w:color="auto" w:fill="auto"/>
            <w:noWrap/>
            <w:vAlign w:val="center"/>
          </w:tcPr>
          <w:p w14:paraId="50CBE504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3C5E9B19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1, 2, 3, 8, 11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554BFB70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2, 4, 5, 7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14F76268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14:paraId="0B2CD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shd w:val="clear" w:color="auto" w:fill="auto"/>
            <w:noWrap/>
            <w:vAlign w:val="center"/>
          </w:tcPr>
          <w:p w14:paraId="50C6123B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385E83AA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39104B05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1, 2, 3, 4, 5, 7, 11, 12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17B38F36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14:paraId="1C570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shd w:val="clear" w:color="auto" w:fill="auto"/>
            <w:noWrap/>
            <w:vAlign w:val="center"/>
          </w:tcPr>
          <w:p w14:paraId="41B488BB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09DC6BA7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1, 2, 3, 4, 8, 11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72ABB9C7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17AF69D1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14:paraId="2719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shd w:val="clear" w:color="auto" w:fill="auto"/>
            <w:noWrap/>
            <w:vAlign w:val="center"/>
          </w:tcPr>
          <w:p w14:paraId="285E03BE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7AB48CD1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1, 2, 3, 4, 5, 7, 8, 11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11024554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67B5BF28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02E25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shd w:val="clear" w:color="auto" w:fill="auto"/>
            <w:noWrap/>
            <w:vAlign w:val="center"/>
          </w:tcPr>
          <w:p w14:paraId="3E96A10B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05DB0256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1, 2, 3, 4, 5, 7, 8, 11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458EC0D0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60AA8083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3C578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shd w:val="clear" w:color="auto" w:fill="auto"/>
            <w:noWrap/>
            <w:vAlign w:val="center"/>
          </w:tcPr>
          <w:p w14:paraId="59169ED4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42FBC85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32624918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1, 2, 4, 5, 7, 8, 11, 12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730A8A78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14:paraId="20609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shd w:val="clear" w:color="auto" w:fill="auto"/>
            <w:noWrap/>
            <w:vAlign w:val="center"/>
          </w:tcPr>
          <w:p w14:paraId="70FF3989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572" w:type="dxa"/>
            <w:shd w:val="clear" w:color="auto" w:fill="auto"/>
            <w:noWrap/>
            <w:vAlign w:val="center"/>
          </w:tcPr>
          <w:p w14:paraId="5A82CDA6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1, 3, 8, 11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5B32CF4C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1, 2, 4, 5, 7, 11, 12</w:t>
            </w:r>
          </w:p>
        </w:tc>
        <w:tc>
          <w:tcPr>
            <w:tcW w:w="1712" w:type="dxa"/>
            <w:shd w:val="clear" w:color="auto" w:fill="auto"/>
            <w:noWrap/>
            <w:vAlign w:val="center"/>
          </w:tcPr>
          <w:p w14:paraId="352662C0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</w:tr>
      <w:tr w14:paraId="205A2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073E42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5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C346C24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1, 3, 8, 11, 12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17600F5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6D02F8A">
            <w:pPr>
              <w:pStyle w:val="6"/>
              <w:widowControl/>
              <w:spacing w:after="6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bookmarkEnd w:id="1"/>
    </w:tbl>
    <w:p w14:paraId="02DE648B">
      <w:pPr>
        <w:pStyle w:val="7"/>
        <w:widowControl/>
        <w:rPr>
          <w:lang w:val="en-US"/>
        </w:rPr>
      </w:pPr>
      <w:r>
        <w:rPr>
          <w:lang w:val="en-US" w:eastAsia="zh-CN"/>
        </w:rPr>
        <w:t>Online Resource S</w:t>
      </w:r>
      <w:r>
        <w:rPr>
          <w:rFonts w:hint="eastAsia"/>
          <w:lang w:val="en-US" w:eastAsia="zh-CN"/>
        </w:rPr>
        <w:t>3</w:t>
      </w:r>
      <w:r>
        <w:rPr>
          <w:lang w:val="en-US" w:eastAsia="zh-CN"/>
        </w:rPr>
        <w:t>.</w:t>
      </w:r>
      <w:r>
        <w:rPr>
          <w:lang w:val="en-US"/>
        </w:rPr>
        <w:t xml:space="preserve"> Key Success Factors for Industry 5.0 in Promoting a Net-Zero Economy in Manufacturing: Third Extraction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520"/>
        <w:gridCol w:w="2680"/>
        <w:gridCol w:w="1898"/>
      </w:tblGrid>
      <w:tr w14:paraId="18810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76C0B8A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</w:p>
        </w:tc>
        <w:tc>
          <w:tcPr>
            <w:tcW w:w="343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0E830441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R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</w:p>
        </w:tc>
        <w:tc>
          <w:tcPr>
            <w:tcW w:w="2613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1161FE85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Q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</w:p>
        </w:tc>
        <w:tc>
          <w:tcPr>
            <w:tcW w:w="185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4AE64941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/>
              </w:rPr>
              <w:t>R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  <w:r>
              <w:rPr>
                <w:lang w:val="en-US"/>
              </w:rPr>
              <w:t>∩Q</w:t>
            </w:r>
            <w:r>
              <w:rPr>
                <w:lang w:val="en-US" w:eastAsia="zh-CN"/>
              </w:rPr>
              <w:t>(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i</w:t>
            </w:r>
            <w:r>
              <w:rPr>
                <w:lang w:val="en-US" w:eastAsia="zh-CN"/>
              </w:rPr>
              <w:t>)</w:t>
            </w:r>
          </w:p>
        </w:tc>
      </w:tr>
      <w:tr w14:paraId="16F9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E4EC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3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A042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  <w:tc>
          <w:tcPr>
            <w:tcW w:w="261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B7958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1, 2, 4, 5, 7, 11, 12</w:t>
            </w:r>
          </w:p>
        </w:tc>
        <w:tc>
          <w:tcPr>
            <w:tcW w:w="185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D4A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</w:tr>
      <w:tr w14:paraId="27696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shd w:val="clear" w:color="auto" w:fill="auto"/>
            <w:noWrap/>
            <w:vAlign w:val="center"/>
          </w:tcPr>
          <w:p w14:paraId="6EA6802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32" w:type="dxa"/>
            <w:shd w:val="clear" w:color="auto" w:fill="auto"/>
            <w:noWrap/>
            <w:vAlign w:val="center"/>
          </w:tcPr>
          <w:p w14:paraId="213335F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1, 2,11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6BE213E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2, 4, 5, 7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 w14:paraId="451514D9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14:paraId="57E7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shd w:val="clear" w:color="auto" w:fill="auto"/>
            <w:noWrap/>
            <w:vAlign w:val="center"/>
          </w:tcPr>
          <w:p w14:paraId="37BF3FF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32" w:type="dxa"/>
            <w:shd w:val="clear" w:color="auto" w:fill="auto"/>
            <w:noWrap/>
            <w:vAlign w:val="center"/>
          </w:tcPr>
          <w:p w14:paraId="0C2E86D3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1, 2, 4, 11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560CF42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 w14:paraId="7380C12B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14:paraId="14527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shd w:val="clear" w:color="auto" w:fill="auto"/>
            <w:noWrap/>
            <w:vAlign w:val="center"/>
          </w:tcPr>
          <w:p w14:paraId="4E20557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32" w:type="dxa"/>
            <w:shd w:val="clear" w:color="auto" w:fill="auto"/>
            <w:noWrap/>
            <w:vAlign w:val="center"/>
          </w:tcPr>
          <w:p w14:paraId="78C5A675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1, 2,4, 5, 7, 11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9061BB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 w14:paraId="4B2AE159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678D3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shd w:val="clear" w:color="auto" w:fill="auto"/>
            <w:noWrap/>
            <w:vAlign w:val="center"/>
          </w:tcPr>
          <w:p w14:paraId="087B7DE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32" w:type="dxa"/>
            <w:shd w:val="clear" w:color="auto" w:fill="auto"/>
            <w:noWrap/>
            <w:vAlign w:val="center"/>
          </w:tcPr>
          <w:p w14:paraId="6E90139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1, 2, 4, 5, 7,11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4FEB6B4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 w14:paraId="643172F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76917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shd w:val="clear" w:color="auto" w:fill="auto"/>
            <w:noWrap/>
            <w:vAlign w:val="center"/>
          </w:tcPr>
          <w:p w14:paraId="3984383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432" w:type="dxa"/>
            <w:shd w:val="clear" w:color="auto" w:fill="auto"/>
            <w:noWrap/>
            <w:vAlign w:val="center"/>
          </w:tcPr>
          <w:p w14:paraId="7515F3B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  <w:tc>
          <w:tcPr>
            <w:tcW w:w="2613" w:type="dxa"/>
            <w:shd w:val="clear" w:color="auto" w:fill="auto"/>
            <w:noWrap/>
            <w:vAlign w:val="center"/>
          </w:tcPr>
          <w:p w14:paraId="2BA8E73A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1, 2, 4, 5, 7, 11, 12</w:t>
            </w:r>
          </w:p>
        </w:tc>
        <w:tc>
          <w:tcPr>
            <w:tcW w:w="1850" w:type="dxa"/>
            <w:shd w:val="clear" w:color="auto" w:fill="auto"/>
            <w:noWrap/>
            <w:vAlign w:val="center"/>
          </w:tcPr>
          <w:p w14:paraId="1D40A3F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1, 11</w:t>
            </w:r>
          </w:p>
        </w:tc>
      </w:tr>
      <w:tr w14:paraId="09B96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43F763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4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0DB391B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1, 11, 12</w:t>
            </w:r>
          </w:p>
        </w:tc>
        <w:tc>
          <w:tcPr>
            <w:tcW w:w="26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076EE7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C3B6B9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</w:tbl>
    <w:p w14:paraId="12C8842F">
      <w:pPr>
        <w:pStyle w:val="7"/>
        <w:widowControl/>
        <w:rPr>
          <w:lang w:val="en-US"/>
        </w:rPr>
      </w:pPr>
      <w:r>
        <w:rPr>
          <w:lang w:val="en-US" w:eastAsia="zh-CN"/>
        </w:rPr>
        <w:t>Online Resource S</w:t>
      </w:r>
      <w:r>
        <w:rPr>
          <w:rFonts w:hint="eastAsia"/>
          <w:lang w:val="en-US" w:eastAsia="zh-CN"/>
        </w:rPr>
        <w:t>4</w:t>
      </w:r>
      <w:r>
        <w:rPr>
          <w:lang w:val="en-US" w:eastAsia="zh-CN"/>
        </w:rPr>
        <w:t>.</w:t>
      </w:r>
      <w:r>
        <w:rPr>
          <w:lang w:val="en-US"/>
        </w:rPr>
        <w:t xml:space="preserve"> Key Success Factors for Industry 5.0 in Promoting a Net-Zero Economy in Manufacturing: Fourth Extraction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477"/>
        <w:gridCol w:w="2675"/>
        <w:gridCol w:w="1897"/>
      </w:tblGrid>
      <w:tr w14:paraId="0C430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2533DE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S</w:t>
            </w:r>
            <w:r>
              <w:rPr>
                <w:vertAlign w:val="subscript"/>
                <w:lang w:val="en-US" w:bidi="ar"/>
              </w:rPr>
              <w:t>i</w:t>
            </w:r>
          </w:p>
        </w:tc>
        <w:tc>
          <w:tcPr>
            <w:tcW w:w="341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03A6C46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 w:bidi="ar"/>
              </w:rPr>
              <w:t>R</w:t>
            </w:r>
            <w:r>
              <w:rPr>
                <w:lang w:val="en-US" w:eastAsia="zh-CN" w:bidi="ar"/>
              </w:rPr>
              <w:t>(</w:t>
            </w:r>
            <w:r>
              <w:rPr>
                <w:lang w:val="en-US" w:bidi="ar"/>
              </w:rPr>
              <w:t>S</w:t>
            </w:r>
            <w:r>
              <w:rPr>
                <w:vertAlign w:val="subscript"/>
                <w:lang w:val="en-US" w:bidi="ar"/>
              </w:rPr>
              <w:t>i</w:t>
            </w:r>
            <w:r>
              <w:rPr>
                <w:lang w:val="en-US" w:eastAsia="zh-CN" w:bidi="ar"/>
              </w:rPr>
              <w:t>)</w:t>
            </w:r>
          </w:p>
        </w:tc>
        <w:tc>
          <w:tcPr>
            <w:tcW w:w="262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338397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 w:bidi="ar"/>
              </w:rPr>
              <w:t>Q</w:t>
            </w:r>
            <w:r>
              <w:rPr>
                <w:lang w:val="en-US" w:eastAsia="zh-CN" w:bidi="ar"/>
              </w:rPr>
              <w:t>(</w:t>
            </w:r>
            <w:r>
              <w:rPr>
                <w:lang w:val="en-US" w:bidi="ar"/>
              </w:rPr>
              <w:t>S</w:t>
            </w:r>
            <w:r>
              <w:rPr>
                <w:vertAlign w:val="subscript"/>
                <w:lang w:val="en-US" w:bidi="ar"/>
              </w:rPr>
              <w:t>i</w:t>
            </w:r>
            <w:r>
              <w:rPr>
                <w:lang w:val="en-US" w:eastAsia="zh-CN" w:bidi="ar"/>
              </w:rPr>
              <w:t>)</w:t>
            </w:r>
          </w:p>
        </w:tc>
        <w:tc>
          <w:tcPr>
            <w:tcW w:w="186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E5CFE9">
            <w:pPr>
              <w:pStyle w:val="6"/>
              <w:widowControl/>
              <w:jc w:val="center"/>
              <w:rPr>
                <w:lang w:val="en-US" w:eastAsia="zh-CN"/>
              </w:rPr>
            </w:pPr>
            <w:r>
              <w:rPr>
                <w:lang w:val="en-US" w:bidi="ar"/>
              </w:rPr>
              <w:t>R</w:t>
            </w:r>
            <w:r>
              <w:rPr>
                <w:lang w:val="en-US" w:eastAsia="zh-CN" w:bidi="ar"/>
              </w:rPr>
              <w:t>(</w:t>
            </w:r>
            <w:r>
              <w:rPr>
                <w:lang w:val="en-US" w:bidi="ar"/>
              </w:rPr>
              <w:t>S</w:t>
            </w:r>
            <w:r>
              <w:rPr>
                <w:vertAlign w:val="subscript"/>
                <w:lang w:val="en-US" w:bidi="ar"/>
              </w:rPr>
              <w:t>i</w:t>
            </w:r>
            <w:r>
              <w:rPr>
                <w:lang w:val="en-US" w:eastAsia="zh-CN" w:bidi="ar"/>
              </w:rPr>
              <w:t>)</w:t>
            </w:r>
            <w:r>
              <w:rPr>
                <w:lang w:val="en-US" w:bidi="ar"/>
              </w:rPr>
              <w:t>∩Q</w:t>
            </w:r>
            <w:r>
              <w:rPr>
                <w:lang w:val="en-US" w:eastAsia="zh-CN" w:bidi="ar"/>
              </w:rPr>
              <w:t>(</w:t>
            </w:r>
            <w:r>
              <w:rPr>
                <w:lang w:val="en-US" w:bidi="ar"/>
              </w:rPr>
              <w:t>S</w:t>
            </w:r>
            <w:r>
              <w:rPr>
                <w:vertAlign w:val="subscript"/>
                <w:lang w:val="en-US" w:bidi="ar"/>
              </w:rPr>
              <w:t>i</w:t>
            </w:r>
            <w:r>
              <w:rPr>
                <w:lang w:val="en-US" w:eastAsia="zh-CN" w:bidi="ar"/>
              </w:rPr>
              <w:t>)</w:t>
            </w:r>
          </w:p>
        </w:tc>
      </w:tr>
      <w:tr w14:paraId="048C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2" w:type="dxa"/>
            <w:shd w:val="clear" w:color="auto" w:fill="auto"/>
            <w:noWrap/>
            <w:vAlign w:val="center"/>
          </w:tcPr>
          <w:p w14:paraId="275B4653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2</w:t>
            </w:r>
          </w:p>
        </w:tc>
        <w:tc>
          <w:tcPr>
            <w:tcW w:w="3412" w:type="dxa"/>
            <w:shd w:val="clear" w:color="auto" w:fill="auto"/>
            <w:noWrap/>
            <w:vAlign w:val="center"/>
          </w:tcPr>
          <w:p w14:paraId="1A1903F3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2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741C142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2, 4, 5, 7</w:t>
            </w:r>
          </w:p>
        </w:tc>
        <w:tc>
          <w:tcPr>
            <w:tcW w:w="1861" w:type="dxa"/>
            <w:shd w:val="clear" w:color="auto" w:fill="auto"/>
            <w:noWrap/>
            <w:vAlign w:val="center"/>
          </w:tcPr>
          <w:p w14:paraId="496CA34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2</w:t>
            </w:r>
          </w:p>
        </w:tc>
      </w:tr>
      <w:tr w14:paraId="3EF3B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2" w:type="dxa"/>
            <w:shd w:val="clear" w:color="auto" w:fill="auto"/>
            <w:noWrap/>
            <w:vAlign w:val="center"/>
          </w:tcPr>
          <w:p w14:paraId="0336551A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4</w:t>
            </w:r>
          </w:p>
        </w:tc>
        <w:tc>
          <w:tcPr>
            <w:tcW w:w="3412" w:type="dxa"/>
            <w:shd w:val="clear" w:color="auto" w:fill="auto"/>
            <w:noWrap/>
            <w:vAlign w:val="center"/>
          </w:tcPr>
          <w:p w14:paraId="3936950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2, 4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604C17E5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4, 5, 7</w:t>
            </w:r>
          </w:p>
        </w:tc>
        <w:tc>
          <w:tcPr>
            <w:tcW w:w="1861" w:type="dxa"/>
            <w:shd w:val="clear" w:color="auto" w:fill="auto"/>
            <w:noWrap/>
            <w:vAlign w:val="center"/>
          </w:tcPr>
          <w:p w14:paraId="68FE838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4</w:t>
            </w:r>
          </w:p>
        </w:tc>
      </w:tr>
      <w:tr w14:paraId="68684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2" w:type="dxa"/>
            <w:shd w:val="clear" w:color="auto" w:fill="auto"/>
            <w:noWrap/>
            <w:vAlign w:val="center"/>
          </w:tcPr>
          <w:p w14:paraId="5AEBE33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5</w:t>
            </w:r>
          </w:p>
        </w:tc>
        <w:tc>
          <w:tcPr>
            <w:tcW w:w="3412" w:type="dxa"/>
            <w:shd w:val="clear" w:color="auto" w:fill="auto"/>
            <w:noWrap/>
            <w:vAlign w:val="center"/>
          </w:tcPr>
          <w:p w14:paraId="6F4F9F47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2,4, 5, 7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4A34C70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5, 7</w:t>
            </w:r>
          </w:p>
        </w:tc>
        <w:tc>
          <w:tcPr>
            <w:tcW w:w="1861" w:type="dxa"/>
            <w:shd w:val="clear" w:color="auto" w:fill="auto"/>
            <w:noWrap/>
            <w:vAlign w:val="center"/>
          </w:tcPr>
          <w:p w14:paraId="200222C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5, 7</w:t>
            </w:r>
          </w:p>
        </w:tc>
      </w:tr>
      <w:tr w14:paraId="4DA5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2" w:type="dxa"/>
            <w:shd w:val="clear" w:color="auto" w:fill="auto"/>
            <w:noWrap/>
            <w:vAlign w:val="center"/>
          </w:tcPr>
          <w:p w14:paraId="2208C23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7</w:t>
            </w:r>
          </w:p>
        </w:tc>
        <w:tc>
          <w:tcPr>
            <w:tcW w:w="3412" w:type="dxa"/>
            <w:shd w:val="clear" w:color="auto" w:fill="auto"/>
            <w:noWrap/>
            <w:vAlign w:val="center"/>
          </w:tcPr>
          <w:p w14:paraId="4B15B40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2, 4, 5, 7</w:t>
            </w:r>
          </w:p>
        </w:tc>
        <w:tc>
          <w:tcPr>
            <w:tcW w:w="2625" w:type="dxa"/>
            <w:shd w:val="clear" w:color="auto" w:fill="auto"/>
            <w:noWrap/>
            <w:vAlign w:val="center"/>
          </w:tcPr>
          <w:p w14:paraId="54E25298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5, 7</w:t>
            </w:r>
          </w:p>
        </w:tc>
        <w:tc>
          <w:tcPr>
            <w:tcW w:w="1861" w:type="dxa"/>
            <w:shd w:val="clear" w:color="auto" w:fill="auto"/>
            <w:noWrap/>
            <w:vAlign w:val="center"/>
          </w:tcPr>
          <w:p w14:paraId="4F0C462E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5, 7</w:t>
            </w:r>
          </w:p>
        </w:tc>
      </w:tr>
      <w:tr w14:paraId="121E9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93302F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12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BBEE6A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12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4AE342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12</w:t>
            </w:r>
          </w:p>
        </w:tc>
        <w:tc>
          <w:tcPr>
            <w:tcW w:w="18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DFDF2C4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 w:bidi="ar"/>
              </w:rPr>
              <w:t>12</w:t>
            </w:r>
          </w:p>
        </w:tc>
      </w:tr>
    </w:tbl>
    <w:p w14:paraId="6218D5E9">
      <w:pPr>
        <w:pStyle w:val="7"/>
        <w:widowControl/>
        <w:rPr>
          <w:lang w:val="en-US"/>
        </w:rPr>
      </w:pPr>
      <w:r>
        <w:rPr>
          <w:lang w:val="en-US" w:eastAsia="zh-CN"/>
        </w:rPr>
        <w:t>Online Resource S</w:t>
      </w:r>
      <w:r>
        <w:rPr>
          <w:rFonts w:hint="eastAsia"/>
          <w:lang w:val="en-US" w:eastAsia="zh-CN"/>
        </w:rPr>
        <w:t>5</w:t>
      </w:r>
      <w:r>
        <w:rPr>
          <w:lang w:val="en-US" w:eastAsia="zh-CN"/>
        </w:rPr>
        <w:t>.</w:t>
      </w:r>
      <w:r>
        <w:rPr>
          <w:lang w:val="en-US"/>
        </w:rPr>
        <w:t xml:space="preserve"> Key Success Factors for Industry 5.0 in Promoting a Net-Zero Economy in Manufacturing: Fifth Extraction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501"/>
        <w:gridCol w:w="2676"/>
        <w:gridCol w:w="1882"/>
      </w:tblGrid>
      <w:tr w14:paraId="49C9D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8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F55E633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Si</w:t>
            </w:r>
          </w:p>
        </w:tc>
        <w:tc>
          <w:tcPr>
            <w:tcW w:w="345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4C0AD3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R(Si)</w:t>
            </w:r>
          </w:p>
        </w:tc>
        <w:tc>
          <w:tcPr>
            <w:tcW w:w="263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317F459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Q(Si)</w:t>
            </w:r>
          </w:p>
        </w:tc>
        <w:tc>
          <w:tcPr>
            <w:tcW w:w="185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528A03A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R(Si)∩Q(Si)</w:t>
            </w:r>
          </w:p>
        </w:tc>
      </w:tr>
      <w:tr w14:paraId="6709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 w14:paraId="04345371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14:paraId="1D58E269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0FB80E97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14:paraId="56407A4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14:paraId="65315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 w14:paraId="55D0FF4E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50" w:type="dxa"/>
            <w:shd w:val="clear" w:color="auto" w:fill="auto"/>
            <w:noWrap/>
            <w:vAlign w:val="center"/>
          </w:tcPr>
          <w:p w14:paraId="6F1974E9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0EE7AB1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855" w:type="dxa"/>
            <w:shd w:val="clear" w:color="auto" w:fill="auto"/>
            <w:noWrap/>
            <w:vAlign w:val="center"/>
          </w:tcPr>
          <w:p w14:paraId="753CDCD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72CB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C4143A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A04CFE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0CF4B4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70AD34C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</w:tbl>
    <w:p w14:paraId="2B424F37">
      <w:pPr>
        <w:pStyle w:val="7"/>
        <w:widowControl/>
        <w:rPr>
          <w:lang w:val="en-US"/>
        </w:rPr>
      </w:pPr>
      <w:r>
        <w:rPr>
          <w:lang w:val="en-US" w:eastAsia="zh-CN"/>
        </w:rPr>
        <w:t>Online Resource S</w:t>
      </w:r>
      <w:r>
        <w:rPr>
          <w:rFonts w:hint="eastAsia"/>
          <w:lang w:val="en-US" w:eastAsia="zh-CN"/>
        </w:rPr>
        <w:t>6</w:t>
      </w:r>
      <w:r>
        <w:rPr>
          <w:lang w:val="en-US" w:eastAsia="zh-CN"/>
        </w:rPr>
        <w:t>.</w:t>
      </w:r>
      <w:r>
        <w:rPr>
          <w:lang w:val="en-US"/>
        </w:rPr>
        <w:t xml:space="preserve"> Key Success Factors for Industry 5.0 in Promoting a Net-Zero Economy in Manufacturing: Sixth Extraction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93"/>
        <w:gridCol w:w="2674"/>
        <w:gridCol w:w="1871"/>
      </w:tblGrid>
      <w:tr w14:paraId="370F1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1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503EFA6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Si</w:t>
            </w:r>
          </w:p>
        </w:tc>
        <w:tc>
          <w:tcPr>
            <w:tcW w:w="346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4B55AFFB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R(Si)</w:t>
            </w:r>
          </w:p>
        </w:tc>
        <w:tc>
          <w:tcPr>
            <w:tcW w:w="265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72529E9D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Q(Si)</w:t>
            </w:r>
          </w:p>
        </w:tc>
        <w:tc>
          <w:tcPr>
            <w:tcW w:w="1854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2EE5182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R(Si)∩Q(Si)</w:t>
            </w:r>
          </w:p>
        </w:tc>
      </w:tr>
      <w:tr w14:paraId="46DB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D83F3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6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227C2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265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2FB6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85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2490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  <w:tr w14:paraId="0D19B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39428E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040687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4, 5, 7</w:t>
            </w:r>
          </w:p>
        </w:tc>
        <w:tc>
          <w:tcPr>
            <w:tcW w:w="26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25B2EF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EC9483B">
            <w:pPr>
              <w:pStyle w:val="6"/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5, 7</w:t>
            </w:r>
          </w:p>
        </w:tc>
      </w:tr>
    </w:tbl>
    <w:p w14:paraId="16480384"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72AE2"/>
    <w:rsid w:val="00FD6ABB"/>
    <w:rsid w:val="14B72AE2"/>
    <w:rsid w:val="169A7186"/>
    <w:rsid w:val="28664A12"/>
    <w:rsid w:val="30E2237E"/>
    <w:rsid w:val="40E50FCC"/>
    <w:rsid w:val="513F1F17"/>
    <w:rsid w:val="59E7212F"/>
    <w:rsid w:val="59F1499E"/>
    <w:rsid w:val="6727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customStyle="1" w:styleId="6">
    <w:name w:val="Els-table-text"/>
    <w:basedOn w:val="1"/>
    <w:qFormat/>
    <w:uiPriority w:val="0"/>
    <w:pPr>
      <w:keepNext w:val="0"/>
      <w:keepLines w:val="0"/>
      <w:widowControl/>
      <w:suppressLineNumbers w:val="0"/>
      <w:spacing w:before="0" w:beforeAutospacing="0" w:after="80" w:afterAutospacing="0" w:line="200" w:lineRule="exact"/>
      <w:ind w:left="0" w:right="0"/>
      <w:jc w:val="left"/>
    </w:pPr>
    <w:rPr>
      <w:rFonts w:hint="default" w:ascii="Times New Roman" w:hAnsi="Times New Roman" w:eastAsia="宋体" w:cs="Times New Roman"/>
      <w:kern w:val="0"/>
      <w:sz w:val="16"/>
      <w:szCs w:val="20"/>
      <w:lang w:val="en-US" w:eastAsia="zh-CN" w:bidi="ar"/>
    </w:rPr>
  </w:style>
  <w:style w:type="paragraph" w:customStyle="1" w:styleId="7">
    <w:name w:val="Els-caption"/>
    <w:basedOn w:val="1"/>
    <w:qFormat/>
    <w:uiPriority w:val="0"/>
    <w:pPr>
      <w:keepNext w:val="0"/>
      <w:keepLines/>
      <w:widowControl/>
      <w:suppressLineNumbers w:val="0"/>
      <w:spacing w:before="200" w:beforeAutospacing="0" w:after="240" w:afterAutospacing="0" w:line="200" w:lineRule="exact"/>
      <w:ind w:left="0" w:right="0"/>
      <w:jc w:val="left"/>
    </w:pPr>
    <w:rPr>
      <w:rFonts w:hint="default" w:ascii="Times New Roman" w:hAnsi="Times New Roman" w:eastAsia="宋体" w:cs="Times New Roman"/>
      <w:kern w:val="0"/>
      <w:sz w:val="16"/>
      <w:szCs w:val="20"/>
      <w:lang w:val="en-US" w:eastAsia="zh-CN" w:bidi="ar"/>
    </w:rPr>
  </w:style>
  <w:style w:type="paragraph" w:customStyle="1" w:styleId="8">
    <w:name w:val="Els-body-text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exact"/>
      <w:ind w:left="0" w:right="0" w:firstLine="238"/>
      <w:jc w:val="both"/>
    </w:pPr>
    <w:rPr>
      <w:rFonts w:hint="default" w:ascii="Times New Roman" w:hAnsi="Times New Roman" w:eastAsia="宋体" w:cs="Times New Roman"/>
      <w:kern w:val="0"/>
      <w:sz w:val="20"/>
      <w:szCs w:val="20"/>
      <w:lang w:val="en-US" w:eastAsia="zh-CN" w:bidi="ar"/>
    </w:rPr>
  </w:style>
  <w:style w:type="paragraph" w:customStyle="1" w:styleId="9">
    <w:name w:val="Els-Title"/>
    <w:next w:val="10"/>
    <w:autoRedefine/>
    <w:qFormat/>
    <w:uiPriority w:val="0"/>
    <w:pPr>
      <w:suppressAutoHyphens/>
      <w:spacing w:after="240" w:line="400" w:lineRule="exact"/>
      <w:jc w:val="center"/>
    </w:pPr>
    <w:rPr>
      <w:rFonts w:ascii="Times New Roman" w:hAnsi="Times New Roman" w:eastAsia="宋体" w:cs="Times New Roman"/>
      <w:sz w:val="34"/>
      <w:lang w:val="en-US" w:eastAsia="en-US" w:bidi="ar-SA"/>
    </w:rPr>
  </w:style>
  <w:style w:type="paragraph" w:customStyle="1" w:styleId="10">
    <w:name w:val="Els-Author"/>
    <w:next w:val="1"/>
    <w:qFormat/>
    <w:uiPriority w:val="0"/>
    <w:pPr>
      <w:keepNext/>
      <w:suppressAutoHyphens/>
      <w:spacing w:after="160" w:line="300" w:lineRule="exact"/>
      <w:jc w:val="center"/>
    </w:pPr>
    <w:rPr>
      <w:rFonts w:ascii="Times New Roman" w:hAnsi="Times New Roman" w:eastAsia="宋体" w:cs="Times New Roman"/>
      <w:sz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1943</Characters>
  <Lines>0</Lines>
  <Paragraphs>0</Paragraphs>
  <TotalTime>0</TotalTime>
  <ScaleCrop>false</ScaleCrop>
  <LinksUpToDate>false</LinksUpToDate>
  <CharactersWithSpaces>2359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2025-11-26T09:09:00Z</dcterms:created>
  <dc:creator>疏韵</dc:creator>
  <cp:lastModifiedBy>疏韵</cp:lastModifiedBy>
  <dcterms:modified xsi:type="dcterms:W3CDTF">2026-08-14T02:59:03Z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F49F57D7B6BE4FE580F088C4C1422CB8_11</vt:lpwstr>
  </property>
  <property fmtid="{D5CDD505-2E9C-101B-9397-08002B2CF9AE}" pid="4" name="KSOTemplateDocerSaveRecord">
    <vt:lpwstr>eyJoZGlkIjoiYTNhMzA3ZDNhMWY4OWEwZTgwYWQzYmU3NDczZWU5ZjYiLCJ1c2VySWQiOiI2MjkwMTUwNTUifQ==</vt:lpwstr>
  </property>
</Properties>
</file>