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CB518">
      <w:pPr>
        <w:pStyle w:val="2"/>
      </w:pPr>
      <w:r>
        <w:rPr>
          <w:b w:val="0"/>
          <w:i w:val="0"/>
        </w:rPr>
        <w:t>Supplementary Material</w:t>
      </w:r>
    </w:p>
    <w:p w14:paraId="0BDFE5A0">
      <w:r>
        <w:rPr>
          <w:b w:val="0"/>
          <w:i/>
        </w:rPr>
        <w:t>Supplementary Table S1. Summary of sensitivity analyses examining potential moderators of the night shift–mental health association.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28"/>
        <w:gridCol w:w="1728"/>
        <w:gridCol w:w="1763"/>
        <w:gridCol w:w="1728"/>
      </w:tblGrid>
      <w:tr w14:paraId="51467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42C15416">
            <w:r>
              <w:rPr>
                <w:b/>
              </w:rPr>
              <w:t>Analysis</w:t>
            </w:r>
          </w:p>
        </w:tc>
        <w:tc>
          <w:tcPr>
            <w:tcW w:w="1728" w:type="dxa"/>
          </w:tcPr>
          <w:p w14:paraId="7BF89410">
            <w:r>
              <w:rPr>
                <w:b/>
              </w:rPr>
              <w:t>Sample size</w:t>
            </w:r>
          </w:p>
        </w:tc>
        <w:tc>
          <w:tcPr>
            <w:tcW w:w="1728" w:type="dxa"/>
          </w:tcPr>
          <w:p w14:paraId="74364DF7">
            <w:r>
              <w:rPr>
                <w:b/>
              </w:rPr>
              <w:t>Interaction F (p)</w:t>
            </w:r>
          </w:p>
        </w:tc>
        <w:tc>
          <w:tcPr>
            <w:tcW w:w="1728" w:type="dxa"/>
          </w:tcPr>
          <w:p w14:paraId="4E968BE7">
            <w:r>
              <w:rPr>
                <w:b/>
              </w:rPr>
              <w:t>Key finding</w:t>
            </w:r>
          </w:p>
        </w:tc>
        <w:tc>
          <w:tcPr>
            <w:tcW w:w="1728" w:type="dxa"/>
          </w:tcPr>
          <w:p w14:paraId="1B417FAB">
            <w:r>
              <w:rPr>
                <w:b/>
              </w:rPr>
              <w:t>Interpretation</w:t>
            </w:r>
          </w:p>
        </w:tc>
      </w:tr>
      <w:tr w14:paraId="2A40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2A87B9E1">
            <w:r>
              <w:t>Menopausal status × NS (primary)</w:t>
            </w:r>
          </w:p>
        </w:tc>
        <w:tc>
          <w:tcPr>
            <w:tcW w:w="1728" w:type="dxa"/>
          </w:tcPr>
          <w:p w14:paraId="1768CE52">
            <w:r>
              <w:t>3,835 (PHQ-9)</w:t>
            </w:r>
            <w:r>
              <w:br w:type="textWrapping"/>
            </w:r>
            <w:r>
              <w:t>3,868 (GAD-7)</w:t>
            </w:r>
            <w:r>
              <w:br w:type="textWrapping"/>
            </w:r>
            <w:r>
              <w:t>4,002 (PSQI)</w:t>
            </w:r>
          </w:p>
        </w:tc>
        <w:tc>
          <w:tcPr>
            <w:tcW w:w="1728" w:type="dxa"/>
          </w:tcPr>
          <w:p w14:paraId="13C410CE">
            <w:r>
              <w:t>PHQ-9: 2.53 (0.112)</w:t>
            </w:r>
            <w:r>
              <w:br w:type="textWrapping"/>
            </w:r>
            <w:r>
              <w:t>GAD-7: 0.01 (0.939)</w:t>
            </w:r>
            <w:r>
              <w:br w:type="textWrapping"/>
            </w:r>
            <w:r>
              <w:t>PSQI: 1.20 (0.273)</w:t>
            </w:r>
          </w:p>
        </w:tc>
        <w:tc>
          <w:tcPr>
            <w:tcW w:w="1728" w:type="dxa"/>
          </w:tcPr>
          <w:p w14:paraId="4C5BABB0">
            <w:r>
              <w:t>Non-significant for all outcomes</w:t>
            </w:r>
          </w:p>
        </w:tc>
        <w:tc>
          <w:tcPr>
            <w:tcW w:w="1728" w:type="dxa"/>
          </w:tcPr>
          <w:p w14:paraId="1FC3AF03">
            <w:r>
              <w:t>Very low power (0.05–0.24)</w:t>
            </w:r>
          </w:p>
        </w:tc>
      </w:tr>
      <w:tr w14:paraId="4B61F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75AC0A9D">
            <w:r>
              <w:t>Age ≥45 × NS</w:t>
            </w:r>
          </w:p>
        </w:tc>
        <w:tc>
          <w:tcPr>
            <w:tcW w:w="1728" w:type="dxa"/>
          </w:tcPr>
          <w:p w14:paraId="1215DB17">
            <w:r>
              <w:t>4,066</w:t>
            </w:r>
          </w:p>
        </w:tc>
        <w:tc>
          <w:tcPr>
            <w:tcW w:w="1728" w:type="dxa"/>
          </w:tcPr>
          <w:p w14:paraId="336680B8">
            <w:r>
              <w:t>PHQ-9: 6.46 (0.011)</w:t>
            </w:r>
            <w:r>
              <w:br w:type="textWrapping"/>
            </w:r>
            <w:r>
              <w:t>GAD-7: 0.18 (0.674)</w:t>
            </w:r>
            <w:r>
              <w:br w:type="textWrapping"/>
            </w:r>
            <w:r>
              <w:t>PSQI: 1.27 (0.260)</w:t>
            </w:r>
          </w:p>
        </w:tc>
        <w:tc>
          <w:tcPr>
            <w:tcW w:w="1728" w:type="dxa"/>
          </w:tcPr>
          <w:p w14:paraId="27D0F15A">
            <w:r>
              <w:t>Significant for PHQ-9 only</w:t>
            </w:r>
          </w:p>
        </w:tc>
        <w:tc>
          <w:tcPr>
            <w:tcW w:w="1728" w:type="dxa"/>
          </w:tcPr>
          <w:p w14:paraId="4BC6A636">
            <w:r>
              <w:t>Age is a stronger moderator than menopause</w:t>
            </w:r>
          </w:p>
        </w:tc>
      </w:tr>
      <w:tr w14:paraId="0130D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49302E3E">
            <w:r>
              <w:t>Age-adjusted ANCOVA</w:t>
            </w:r>
          </w:p>
        </w:tc>
        <w:tc>
          <w:tcPr>
            <w:tcW w:w="1728" w:type="dxa"/>
          </w:tcPr>
          <w:p w14:paraId="0FB2DF9C">
            <w:r>
              <w:t>Same as primary</w:t>
            </w:r>
          </w:p>
        </w:tc>
        <w:tc>
          <w:tcPr>
            <w:tcW w:w="1728" w:type="dxa"/>
          </w:tcPr>
          <w:p w14:paraId="5A685EC9">
            <w:r>
              <w:t>PHQ-9: 2.46 (0.117)</w:t>
            </w:r>
            <w:r>
              <w:br w:type="textWrapping"/>
            </w:r>
            <w:r>
              <w:t>GAD-7: 0.01 (0.942)</w:t>
            </w:r>
            <w:r>
              <w:br w:type="textWrapping"/>
            </w:r>
            <w:r>
              <w:t>PSQI: 1.27 (0.260)</w:t>
            </w:r>
          </w:p>
        </w:tc>
        <w:tc>
          <w:tcPr>
            <w:tcW w:w="1728" w:type="dxa"/>
          </w:tcPr>
          <w:p w14:paraId="0695E778">
            <w:r>
              <w:t>Unchanged from unadjusted</w:t>
            </w:r>
          </w:p>
        </w:tc>
        <w:tc>
          <w:tcPr>
            <w:tcW w:w="1728" w:type="dxa"/>
          </w:tcPr>
          <w:p w14:paraId="1F0010B8">
            <w:r>
              <w:t>Age does not confound menopausal interaction</w:t>
            </w:r>
          </w:p>
        </w:tc>
      </w:tr>
      <w:tr w14:paraId="36DC0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44C19B24">
            <w:r>
              <w:t>Postmenopausal subgroup (n=201)</w:t>
            </w:r>
          </w:p>
        </w:tc>
        <w:tc>
          <w:tcPr>
            <w:tcW w:w="1728" w:type="dxa"/>
          </w:tcPr>
          <w:p w14:paraId="1D3FD52B">
            <w:r>
              <w:t>201 (NS=89, NonNS=112)</w:t>
            </w:r>
          </w:p>
        </w:tc>
        <w:tc>
          <w:tcPr>
            <w:tcW w:w="1728" w:type="dxa"/>
          </w:tcPr>
          <w:p w14:paraId="7136AA61">
            <w:r>
              <w:t>PHQ-9: t=0.10, p=0.923</w:t>
            </w:r>
          </w:p>
        </w:tc>
        <w:tc>
          <w:tcPr>
            <w:tcW w:w="1728" w:type="dxa"/>
          </w:tcPr>
          <w:p w14:paraId="0F89188A">
            <w:r>
              <w:t>No NS effect in postmenopausal women</w:t>
            </w:r>
          </w:p>
        </w:tc>
        <w:tc>
          <w:tcPr>
            <w:tcW w:w="1728" w:type="dxa"/>
          </w:tcPr>
          <w:p w14:paraId="33F59BD7">
            <w:r>
              <w:t>Consistent with HWE</w:t>
            </w:r>
          </w:p>
        </w:tc>
      </w:tr>
      <w:tr w14:paraId="5C9AB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7F30A025">
            <w:r>
              <w:t>Three-group analysis</w:t>
            </w:r>
          </w:p>
        </w:tc>
        <w:tc>
          <w:tcPr>
            <w:tcW w:w="1728" w:type="dxa"/>
          </w:tcPr>
          <w:p w14:paraId="3E7A4C24">
            <w:r>
              <w:t>Pre=3,621; Peri=13; Post=201</w:t>
            </w:r>
          </w:p>
        </w:tc>
        <w:tc>
          <w:tcPr>
            <w:tcW w:w="1728" w:type="dxa"/>
          </w:tcPr>
          <w:p w14:paraId="39CC1E26">
            <w:r>
              <w:t>Limited by n=13 peri</w:t>
            </w:r>
          </w:p>
        </w:tc>
        <w:tc>
          <w:tcPr>
            <w:tcW w:w="1728" w:type="dxa"/>
          </w:tcPr>
          <w:p w14:paraId="18C5BB2C">
            <w:r>
              <w:t>Peri group too small for analysis</w:t>
            </w:r>
          </w:p>
        </w:tc>
        <w:tc>
          <w:tcPr>
            <w:tcW w:w="1728" w:type="dxa"/>
          </w:tcPr>
          <w:p w14:paraId="6E998877">
            <w:r>
              <w:t>Need larger samples</w:t>
            </w:r>
          </w:p>
        </w:tc>
      </w:tr>
      <w:tr w14:paraId="340D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7FF3B66F">
            <w:r>
              <w:t>Age 35–39 subgroup</w:t>
            </w:r>
          </w:p>
        </w:tc>
        <w:tc>
          <w:tcPr>
            <w:tcW w:w="1728" w:type="dxa"/>
          </w:tcPr>
          <w:p w14:paraId="2CA62854">
            <w:r>
              <w:t>611</w:t>
            </w:r>
          </w:p>
        </w:tc>
        <w:tc>
          <w:tcPr>
            <w:tcW w:w="1728" w:type="dxa"/>
          </w:tcPr>
          <w:p w14:paraId="15F5EF7B">
            <w:r>
              <w:t>Menopause × NS: 0.60 (0.438)</w:t>
            </w:r>
          </w:p>
        </w:tc>
        <w:tc>
          <w:tcPr>
            <w:tcW w:w="1728" w:type="dxa"/>
          </w:tcPr>
          <w:p w14:paraId="5D44FD76">
            <w:r>
              <w:t>No interaction within narrow age band</w:t>
            </w:r>
          </w:p>
        </w:tc>
        <w:tc>
          <w:tcPr>
            <w:tcW w:w="1728" w:type="dxa"/>
          </w:tcPr>
          <w:p w14:paraId="6EB5D12D">
            <w:r>
              <w:t>Age &gt; menopause as moderator</w:t>
            </w:r>
          </w:p>
        </w:tc>
      </w:tr>
      <w:tr w14:paraId="6776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13457297">
            <w:r>
              <w:t>Dose–response (frequency)</w:t>
            </w:r>
          </w:p>
        </w:tc>
        <w:tc>
          <w:tcPr>
            <w:tcW w:w="1728" w:type="dxa"/>
          </w:tcPr>
          <w:p w14:paraId="5D537CA2">
            <w:r>
              <w:t>1,513 premeno NS workers</w:t>
            </w:r>
          </w:p>
        </w:tc>
        <w:tc>
          <w:tcPr>
            <w:tcW w:w="1728" w:type="dxa"/>
          </w:tcPr>
          <w:p w14:paraId="754EBD1F">
            <w:r>
              <w:t>Spearman ρ=0.127 (PHQ-9)</w:t>
            </w:r>
            <w:r>
              <w:br w:type="textWrapping"/>
            </w:r>
            <w:r>
              <w:t>Spearman ρ=0.142 (PSQI)</w:t>
            </w:r>
          </w:p>
        </w:tc>
        <w:tc>
          <w:tcPr>
            <w:tcW w:w="1728" w:type="dxa"/>
          </w:tcPr>
          <w:p w14:paraId="0EF63B4C">
            <w:r>
              <w:t>Significant dose–response trend</w:t>
            </w:r>
          </w:p>
        </w:tc>
        <w:tc>
          <w:tcPr>
            <w:tcW w:w="1728" w:type="dxa"/>
          </w:tcPr>
          <w:p w14:paraId="063EA705">
            <w:r>
              <w:t>Frequency matters</w:t>
            </w:r>
          </w:p>
        </w:tc>
      </w:tr>
      <w:tr w14:paraId="72605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8" w:type="dxa"/>
          </w:tcPr>
          <w:p w14:paraId="1960E07B">
            <w:r>
              <w:t>Frequency missingness</w:t>
            </w:r>
          </w:p>
        </w:tc>
        <w:tc>
          <w:tcPr>
            <w:tcW w:w="1728" w:type="dxa"/>
          </w:tcPr>
          <w:p w14:paraId="0E8B9D3B">
            <w:r>
              <w:t>Pre NS: 50.2% missing</w:t>
            </w:r>
            <w:r>
              <w:br w:type="textWrapping"/>
            </w:r>
            <w:r>
              <w:t>Peri/post NS: 62.1% missing</w:t>
            </w:r>
          </w:p>
        </w:tc>
        <w:tc>
          <w:tcPr>
            <w:tcW w:w="1728" w:type="dxa"/>
          </w:tcPr>
          <w:p w14:paraId="4F5AD5A3">
            <w:r>
              <w:t>χ²=5.20, p=0.023</w:t>
            </w:r>
          </w:p>
        </w:tc>
        <w:tc>
          <w:tcPr>
            <w:tcW w:w="1728" w:type="dxa"/>
          </w:tcPr>
          <w:p w14:paraId="0B4C4BCA">
            <w:r>
              <w:t>Missingness differs by menopause status</w:t>
            </w:r>
          </w:p>
        </w:tc>
        <w:tc>
          <w:tcPr>
            <w:tcW w:w="1728" w:type="dxa"/>
          </w:tcPr>
          <w:p w14:paraId="783AD08A">
            <w:r>
              <w:t>Potential bias in frequency analysis</w:t>
            </w:r>
          </w:p>
        </w:tc>
      </w:tr>
    </w:tbl>
    <w:p w14:paraId="5EC0E2D6"/>
    <w:p w14:paraId="1057EBB1">
      <w:bookmarkStart w:id="0" w:name="_GoBack"/>
      <w:bookmarkEnd w:id="0"/>
    </w:p>
    <w:p w14:paraId="5979DFE3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Thyme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Thyme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FT Thy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中等线-简">
    <w:panose1 w:val="02000500000000000000"/>
    <w:charset w:val="86"/>
    <w:family w:val="auto"/>
    <w:pitch w:val="default"/>
    <w:sig w:usb0="A00002BF" w:usb1="78CF7CFB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96C78"/>
    <w:rsid w:val="7BE9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8"/>
      <w:szCs w:val="26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Office_12.1.3.27451_F1E327BC-269C-435d-A152-05C5408002CA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2026-08-06T14:58:00Z</dcterms:created>
  <dc:creator>Wendy_静舒</dc:creator>
  <cp:lastModifiedBy>Wendy_静舒</cp:lastModifiedBy>
  <dcterms:modified xsi:type="dcterms:W3CDTF">2026-08-06T14:59:22Z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2052-12.1.3.27451</vt:lpwstr>
  </property>
  <property fmtid="{D5CDD505-2E9C-101B-9397-08002B2CF9AE}" pid="3" name="ICV">
    <vt:lpwstr>32F83D4CF42A55BAA930746AE2D58316_41</vt:lpwstr>
  </property>
</Properties>
</file>