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Supplementary File 1</w:t>
      </w:r>
    </w:p>
    <w:p>
      <w:pPr>
        <w:pStyle w:val="Heading1"/>
        <w:jc w:val="center"/>
      </w:pPr>
      <w:r>
        <w:t>Documentary-analysis codebook and audit framework</w:t>
      </w:r>
    </w:p>
    <w:p>
      <w:pPr>
        <w:jc w:val="center"/>
      </w:pPr>
      <w:r>
        <w:t>Emergent institutional ageism and the protection-autonomy paradox in Romanian residential long-term care: a systems-informed qualitative documentary analysis</w:t>
      </w:r>
    </w:p>
    <w:p>
      <w:pPr>
        <w:pStyle w:val="Heading1"/>
      </w:pPr>
      <w:r>
        <w:t>Purpose</w:t>
      </w:r>
    </w:p>
    <w:p>
      <w:pPr/>
      <w:r>
        <w:t>This codebook supports transparent and reproducible analysis of public regulatory and policy documents governing residential long-term care for older people. Coding is applied to provisions, standards, articles, annexes, and formal implementation requirements. Coders distinguish normative principles from procedural duties, evidentiary requirements, and enforceable safeguards.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rPr>
          <w:tblHeader w:val="true"/>
          <w:cantSplit/>
        </w:trPr>
        <w:tc>
          <w:tcPr>
            <w:tcW w:type="dxa" w:w="1984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Domain</w:t>
            </w:r>
          </w:p>
        </w:tc>
        <w:tc>
          <w:tcPr>
            <w:tcW w:type="dxa" w:w="3969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Definition</w:t>
            </w:r>
          </w:p>
        </w:tc>
        <w:tc>
          <w:tcPr>
            <w:tcW w:type="dxa" w:w="4252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Coding guidance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Personhood and rights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Recognition of the older person as a rights-holder with dignity, individuality, privacy, equality, identity, or non-discrimination.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Code explicit rights or principles. Do not code generic service efficiency unless linked to the person.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Information and consent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Requirements to provide information, obtain agreement, sign contracts, acknowledge plans, or communicate decisions.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Record whether consent is active, informed, adapted, revocable, or represented only by signature.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Supported decision-making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Assistance enabling the person to understand, communicate, compare options, and enact preferences.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Code communication adaptation, decision support, presumption of capacity, least-restrictive support, and documentation of will/preferences.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Individual participation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Involvement in assessment, planning, review, choice of services, or termination.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Differentiate consultation, acknowledgement, agreement, and actual decision authority.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Everyday autonomy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Control over routines, food, sleep, clothing, visitors, movement, activities, possessions, money, privacy, culture, and relationships.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Code only where the document creates or limits practical choice in daily life.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Collective participation and governance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Resident councils, co-design, participation in institutional rules, committees, recruitment, quality improvement, or public accountability.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Do not code individual complaints unless linked to organizational decision-making.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Family and representation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Roles of relatives, informal carers, legal representatives, advocates, guardians, or proxy decision-makers.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Record whether the resident remains directly involved and whether representative authority is defined.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Risk, safety, and restriction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Safeguarding, surveillance, emergency response, health and hygiene controls, prevention of abuse, risk assessment, or restrictive measures.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Distinguish necessary safety requirements from generalized restrictions based on age or dependency.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Proportionality and positive risk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Requirements for least-restrictive alternatives, negotiated risk, time limits, review, and resident involvement in risk decisions.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Code explicit balancing processes; absence should not be coded as prohibition but noted as an operational gap.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Complaints and redress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Complaints, appeals, confidential reporting, external mediation, review, remedies, or protection against retaliation.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Record accessibility, independence, timelines, documentation, and feedback to the complainant.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Documentation and auditability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Mandatory records, signatures, registers, indicators, reporting, self-evaluation, licensing or inspection evidence.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Record what providers must be able to demonstrate to authorities.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Health and psychosocial well-being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Medical care, functional ability, mental health, social connection, meaningful activity, identity, community inclusion, and quality of life.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Distinguish clinical/physical safeguards from psychosocial and relational dimensions.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Implementation resources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Staffing, training, coordination, funding, infrastructure, workload, or interinstitutional responsibility.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Code when resources affect the feasibility of person-centred requirements.</w:t>
            </w:r>
          </w:p>
        </w:tc>
      </w:tr>
      <w:tr>
        <w:trPr>
          <w:cantSplit/>
        </w:trPr>
        <w:tc>
          <w:tcPr>
            <w:tcW w:type="dxa" w:w="1984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Age-linked assumptions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Explicit or implicit representation of older people as dependent, passive, incapable, burdensome, homogeneous, or primarily vulnerable.</w:t>
            </w:r>
          </w:p>
        </w:tc>
        <w:tc>
          <w:tcPr>
            <w:tcW w:type="dxa" w:w="4252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Apply cautiously; require textual evidence or a clear structural implication, not inference from age eligibility alone.</w:t>
            </w:r>
          </w:p>
        </w:tc>
      </w:tr>
    </w:tbl>
    <w:p/>
    <w:p>
      <w:pPr>
        <w:pStyle w:val="Heading1"/>
      </w:pPr>
      <w:r>
        <w:t>Analytic classification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rPr>
          <w:tblHeader w:val="true"/>
          <w:cantSplit/>
        </w:trPr>
        <w:tc>
          <w:tcPr>
            <w:tcW w:type="dxa" w:w="2268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Classification</w:t>
            </w:r>
          </w:p>
        </w:tc>
        <w:tc>
          <w:tcPr>
            <w:tcW w:type="dxa" w:w="3969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Definition</w:t>
            </w:r>
          </w:p>
        </w:tc>
        <w:tc>
          <w:tcPr>
            <w:tcW w:type="dxa" w:w="3969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Illustrative application</w:t>
            </w:r>
          </w:p>
        </w:tc>
      </w:tr>
      <w:tr>
        <w:trPr>
          <w:cantSplit/>
        </w:trPr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Aspirational principle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Broad value or objective without a specified action or evidence requirement.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“Services are person-centred.”</w:t>
            </w:r>
          </w:p>
        </w:tc>
      </w:tr>
      <w:tr>
        <w:trPr>
          <w:cantSplit/>
        </w:trPr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Procedural requirement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 provider or authority must perform a defined action.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The provider must inform, assess, consult, review, or communicate.</w:t>
            </w:r>
          </w:p>
        </w:tc>
      </w:tr>
      <w:tr>
        <w:trPr>
          <w:cantSplit/>
        </w:trPr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Evidentiary requirement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 record, signature, register, indicator, report, or document must exist.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 signed plan or complaints register must be available.</w:t>
            </w:r>
          </w:p>
        </w:tc>
      </w:tr>
      <w:tr>
        <w:trPr>
          <w:cantSplit/>
        </w:trPr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Enforceable autonomy safeguard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 requirement specifies how the person’s will or preference affects a decision and how departures are justified.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Options must be offered; less restrictive alternatives considered; disagreement documented and reviewed.</w:t>
            </w:r>
          </w:p>
        </w:tc>
      </w:tr>
      <w:tr>
        <w:trPr>
          <w:cantSplit/>
        </w:trPr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Discretionary provision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The document permits but does not require an autonomy-supportive practice.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The provider may establish a resident council.</w:t>
            </w:r>
          </w:p>
        </w:tc>
      </w:tr>
      <w:tr>
        <w:trPr>
          <w:cantSplit/>
        </w:trPr>
        <w:tc>
          <w:tcPr>
            <w:tcW w:type="dxa" w:w="2268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Operational gap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A value is recognized, but no mechanism defines implementation, review, or accountability.</w:t>
            </w:r>
          </w:p>
        </w:tc>
        <w:tc>
          <w:tcPr>
            <w:tcW w:type="dxa" w:w="3969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6"/>
              </w:rPr>
              <w:t>Preferences must be considered, but no requirement states how conflicts are resolved.</w:t>
            </w:r>
          </w:p>
        </w:tc>
      </w:tr>
    </w:tbl>
    <w:p/>
    <w:p>
      <w:pPr>
        <w:pStyle w:val="Heading1"/>
      </w:pPr>
      <w:r>
        <w:t>Audit questions</w:t>
      </w:r>
    </w:p>
    <w:p>
      <w:pPr>
        <w:ind w:left="397" w:hanging="227"/>
      </w:pPr>
      <w:r>
        <w:t>• Who is authorized to decide, and under what conditions?</w:t>
      </w:r>
    </w:p>
    <w:p>
      <w:pPr>
        <w:ind w:left="397" w:hanging="227"/>
      </w:pPr>
      <w:r>
        <w:t>• Does the provision address the older person directly, or primarily through family/professionals?</w:t>
      </w:r>
    </w:p>
    <w:p>
      <w:pPr>
        <w:ind w:left="397" w:hanging="227"/>
      </w:pPr>
      <w:r>
        <w:t>• Is capacity presumed, assessed, or conflated with dependency or communication difficulty?</w:t>
      </w:r>
    </w:p>
    <w:p>
      <w:pPr>
        <w:ind w:left="397" w:hanging="227"/>
      </w:pPr>
      <w:r>
        <w:t>• Are meaningful alternatives required, or is acceptance limited to a predefined service plan?</w:t>
      </w:r>
    </w:p>
    <w:p>
      <w:pPr>
        <w:ind w:left="397" w:hanging="227"/>
      </w:pPr>
      <w:r>
        <w:t>• What must be documented and what will inspectors be able to verify?</w:t>
      </w:r>
    </w:p>
    <w:p>
      <w:pPr>
        <w:ind w:left="397" w:hanging="227"/>
      </w:pPr>
      <w:r>
        <w:t>• Are restrictions specific, proportionate, time-limited, and reviewed?</w:t>
      </w:r>
    </w:p>
    <w:p>
      <w:pPr>
        <w:ind w:left="397" w:hanging="227"/>
      </w:pPr>
      <w:r>
        <w:t>• Does participation extend beyond individual care planning to institutional governance?</w:t>
      </w:r>
    </w:p>
    <w:p>
      <w:pPr>
        <w:ind w:left="397" w:hanging="227"/>
      </w:pPr>
      <w:r>
        <w:t>• Are psychosocial well-being and community inclusion operationalized as clearly as safety and hygiene?</w:t>
      </w:r>
    </w:p>
    <w:p>
      <w:pPr>
        <w:ind w:left="397" w:hanging="227"/>
      </w:pPr>
      <w:r>
        <w:t>• What resource or coordination conditions are necessary for implementation?</w:t>
      </w:r>
    </w:p>
    <w:p>
      <w:pPr>
        <w:ind w:left="397" w:hanging="227"/>
      </w:pPr>
      <w:r>
        <w:t>• Could interaction among otherwise legitimate provisions produce cumulative loss of agency?</w:t>
      </w:r>
    </w:p>
    <w:p>
      <w:pPr>
        <w:pStyle w:val="Heading1"/>
      </w:pPr>
      <w:r>
        <w:t>Minimum audit trail fields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03"/>
        <w:gridCol w:w="4703"/>
      </w:tblGrid>
      <w:tr>
        <w:trPr>
          <w:tblHeader w:val="true"/>
          <w:cantSplit/>
        </w:trPr>
        <w:tc>
          <w:tcPr>
            <w:tcW w:type="dxa" w:w="2835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Field</w:t>
            </w:r>
          </w:p>
        </w:tc>
        <w:tc>
          <w:tcPr>
            <w:tcW w:type="dxa" w:w="7370"/>
            <w:shd w:fill="D9E2F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7"/>
              </w:rPr>
              <w:t>Required content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Document ID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Unique corpus identifier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Provision location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Article, module, standard, paragraph, or annex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Original-language text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Exact Romanian provision or concise source-linked extract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English analytic summary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Non-interpretive summary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Primary code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Main codebook domain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Secondary codes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Additional relevant domains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Classification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Aspirational, procedural, evidentiary, safeguard, discretionary, or gap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Resident authority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None, informed, consulted, agrees, decides, or represented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Risk/protection implication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Specific safeguarding function and possible autonomy impact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Analytic memo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Interpretation, contradiction, negative case, or systems linkage</w:t>
            </w:r>
          </w:p>
        </w:tc>
      </w:tr>
      <w:tr>
        <w:trPr>
          <w:cantSplit/>
        </w:trPr>
        <w:tc>
          <w:tcPr>
            <w:tcW w:type="dxa" w:w="2835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Reviewer verification</w:t>
            </w:r>
          </w:p>
        </w:tc>
        <w:tc>
          <w:tcPr>
            <w:tcW w:type="dxa" w:w="7370"/>
            <w:vAlign w:val="top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spacing w:after="20" w:line="240" w:lineRule="auto"/>
              <w:jc w:val="left"/>
            </w:pPr>
            <w:r>
              <w:rPr>
                <w:rFonts w:ascii="Times New Roman" w:hAnsi="Times New Roman"/>
                <w:sz w:val="17"/>
              </w:rPr>
              <w:t>Initials/date and resolution of disagreement</w:t>
            </w:r>
          </w:p>
        </w:tc>
      </w:tr>
    </w:tbl>
    <w:p/>
    <w:p>
      <w:pPr>
        <w:pStyle w:val="Heading1"/>
      </w:pPr>
      <w:r>
        <w:t>Interpretive caution</w:t>
      </w:r>
    </w:p>
    <w:p>
      <w:pPr/>
      <w:r>
        <w:t>The presence of protection, risk management, health authorization, representation, or institutional procedure is not in itself evidence of ageism. A potential ageist mechanism should be identified only when age-linked vulnerability is used to normalize unnecessary restriction, substitute another person’s judgment for the older person’s will, or leave autonomy without a realistic implementation route. Documentary analysis identifies regulatory conditions and hypotheses; it does not establish actual institutional practice or resident outcomes.</w:t>
      </w:r>
    </w:p>
    <w:sectPr>
      <w:footerReference w:type="default" r:id="rId9"/>
      <w:pgSz w:w="12240" w:h="15840"/>
      <w:pgMar w:top="1304" w:right="1417" w:bottom="130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bstracttext">
    <w:name w:val="Abstract text"/>
    <w:pPr>
      <w:spacing w:after="80" w:line="252" w:lineRule="auto"/>
      <w:jc w:val="both"/>
    </w:pPr>
    <w:rPr>
      <w:rFonts w:ascii="Times New Roman" w:hAnsi="Times New Roman" w:eastAsia="Times New Roman"/>
      <w:sz w:val="21"/>
    </w:rPr>
  </w:style>
  <w:style w:type="table" w:customStyle="1" w:styleId="BMCTable">
    <w:name w:val="BMC Table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File 1: Documentary-analysis codebook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