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ppTitle"/>
        <w:jc w:val="center"/>
      </w:pPr>
      <w:r>
        <w:t>Supplementary File 2</w:t>
      </w:r>
    </w:p>
    <w:p>
      <w:pPr>
        <w:pStyle w:val="SuppTitle"/>
        <w:jc w:val="center"/>
      </w:pPr>
      <w:r>
        <w:t>Source-linked evidence matrix for principal thematic claims</w:t>
      </w:r>
    </w:p>
    <w:p>
      <w:pPr>
        <w:pStyle w:val="SuppSubtitle"/>
        <w:jc w:val="center"/>
      </w:pPr>
      <w:r>
        <w:t>Emergent institutional ageism and the protection-autonomy paradox in Romanian residential long-term care: a systems-informed qualitative documentary analysis</w:t>
      </w:r>
    </w:p>
    <w:p>
      <w:pPr>
        <w:pStyle w:val="SuppHeading1"/>
      </w:pPr>
      <w:r>
        <w:t>Purpose</w:t>
      </w:r>
    </w:p>
    <w:p>
      <w:r>
        <w:t>This matrix documents the principal source-to-interpretation links used in the manuscript. Source content is paraphrased in English and should be checked against the controlling Romanian text. The matrix is not a substitute for the complete extraction and coding file retained by the authors. Cross-document synthesis rows are explicitly identified as analytic interpretations rather than legal propositions.</w:t>
      </w:r>
    </w:p>
    <w:tbl>
      <w:tblPr>
        <w:tblW w:type="auto" w:w="0"/>
        <w:jc w:val="center"/>
        <w:tblLayout w:type="fixed"/>
        <w:tblLook w:firstColumn="1" w:firstRow="1" w:lastColumn="0" w:lastRow="0" w:noHBand="0" w:noVBand="1" w:val="04A0"/>
        <w:tblBorders>
          <w:top w:val="single" w:sz="4" w:space="0" w:color="B7C3D0"/>
          <w:left w:val="single" w:sz="4" w:space="0" w:color="B7C3D0"/>
          <w:bottom w:val="single" w:sz="4" w:space="0" w:color="B7C3D0"/>
          <w:right w:val="single" w:sz="4" w:space="0" w:color="B7C3D0"/>
          <w:insideH w:val="single" w:sz="4" w:space="0" w:color="B7C3D0"/>
          <w:insideV w:val="single" w:sz="4" w:space="0" w:color="B7C3D0"/>
        </w:tblBorders>
      </w:tblPr>
      <w:tblGrid>
        <w:gridCol w:w="2424"/>
        <w:gridCol w:w="2424"/>
        <w:gridCol w:w="2424"/>
        <w:gridCol w:w="2424"/>
        <w:gridCol w:w="2424"/>
        <w:gridCol w:w="2424"/>
      </w:tblGrid>
      <w:tr>
        <w:trPr>
          <w:cantSplit/>
          <w:tblHeader w:val="true"/>
        </w:trPr>
        <w:tc>
          <w:tcPr>
            <w:tcW w:type="dxa" w:w="605"/>
            <w:vAlign w:val="top"/>
            <w:tcMar>
              <w:top w:w="60" w:type="dxa"/>
              <w:start w:w="70" w:type="dxa"/>
              <w:bottom w:w="60" w:type="dxa"/>
              <w:end w:w="70" w:type="dxa"/>
            </w:tcMar>
            <w:shd w:fill="1F4E78"/>
          </w:tcPr>
          <w:p>
            <w:pPr>
              <w:spacing w:after="0" w:before="0" w:line="240" w:lineRule="auto"/>
            </w:pPr>
            <w:r>
              <w:t>ID</w:t>
            </w:r>
          </w:p>
        </w:tc>
        <w:tc>
          <w:tcPr>
            <w:tcW w:type="dxa" w:w="1944"/>
            <w:vAlign w:val="top"/>
            <w:tcMar>
              <w:top w:w="60" w:type="dxa"/>
              <w:start w:w="70" w:type="dxa"/>
              <w:bottom w:w="60" w:type="dxa"/>
              <w:end w:w="70" w:type="dxa"/>
            </w:tcMar>
            <w:shd w:fill="1F4E78"/>
          </w:tcPr>
          <w:p>
            <w:pPr>
              <w:spacing w:after="0" w:before="0" w:line="240" w:lineRule="auto"/>
            </w:pPr>
            <w:r>
              <w:t>Provision/location</w:t>
            </w:r>
          </w:p>
        </w:tc>
        <w:tc>
          <w:tcPr>
            <w:tcW w:type="dxa" w:w="5256"/>
            <w:vAlign w:val="top"/>
            <w:tcMar>
              <w:top w:w="60" w:type="dxa"/>
              <w:start w:w="70" w:type="dxa"/>
              <w:bottom w:w="60" w:type="dxa"/>
              <w:end w:w="70" w:type="dxa"/>
            </w:tcMar>
            <w:shd w:fill="1F4E78"/>
          </w:tcPr>
          <w:p>
            <w:pPr>
              <w:spacing w:after="0" w:before="0" w:line="240" w:lineRule="auto"/>
            </w:pPr>
            <w:r>
              <w:t>Source-linked content (English paraphrase)</w:t>
            </w:r>
          </w:p>
        </w:tc>
        <w:tc>
          <w:tcPr>
            <w:tcW w:type="dxa" w:w="1656"/>
            <w:vAlign w:val="top"/>
            <w:tcMar>
              <w:top w:w="60" w:type="dxa"/>
              <w:start w:w="70" w:type="dxa"/>
              <w:bottom w:w="60" w:type="dxa"/>
              <w:end w:w="70" w:type="dxa"/>
            </w:tcMar>
            <w:shd w:fill="1F4E78"/>
          </w:tcPr>
          <w:p>
            <w:pPr>
              <w:spacing w:after="0" w:before="0" w:line="240" w:lineRule="auto"/>
            </w:pPr>
            <w:r>
              <w:t>Classification</w:t>
            </w:r>
          </w:p>
        </w:tc>
        <w:tc>
          <w:tcPr>
            <w:tcW w:type="dxa" w:w="1944"/>
            <w:vAlign w:val="top"/>
            <w:tcMar>
              <w:top w:w="60" w:type="dxa"/>
              <w:start w:w="70" w:type="dxa"/>
              <w:bottom w:w="60" w:type="dxa"/>
              <w:end w:w="70" w:type="dxa"/>
            </w:tcMar>
            <w:shd w:fill="1F4E78"/>
          </w:tcPr>
          <w:p>
            <w:pPr>
              <w:spacing w:after="0" w:before="0" w:line="240" w:lineRule="auto"/>
            </w:pPr>
            <w:r>
              <w:t>Code(s)</w:t>
            </w:r>
          </w:p>
        </w:tc>
        <w:tc>
          <w:tcPr>
            <w:tcW w:type="dxa" w:w="3096"/>
            <w:vAlign w:val="top"/>
            <w:tcMar>
              <w:top w:w="60" w:type="dxa"/>
              <w:start w:w="70" w:type="dxa"/>
              <w:bottom w:w="60" w:type="dxa"/>
              <w:end w:w="70" w:type="dxa"/>
            </w:tcMar>
            <w:shd w:fill="1F4E78"/>
          </w:tcPr>
          <w:p>
            <w:pPr>
              <w:spacing w:after="0" w:before="0" w:line="240" w:lineRule="auto"/>
            </w:pPr>
            <w:r>
              <w:t>Theme / interpretive role</w:t>
            </w:r>
          </w:p>
        </w:tc>
      </w:tr>
      <w:tr>
        <w:trPr>
          <w:cantSplit/>
        </w:trPr>
        <w:tc>
          <w:tcPr>
            <w:tcW w:type="dxa" w:w="605"/>
            <w:vAlign w:val="top"/>
            <w:tcMar>
              <w:top w:w="60" w:type="dxa"/>
              <w:start w:w="70" w:type="dxa"/>
              <w:bottom w:w="60" w:type="dxa"/>
              <w:end w:w="70" w:type="dxa"/>
            </w:tcMar>
          </w:tcPr>
          <w:p>
            <w:pPr>
              <w:spacing w:after="0" w:before="0" w:line="240" w:lineRule="auto"/>
            </w:pPr>
            <w:r>
              <w:t>D1</w:t>
            </w:r>
          </w:p>
        </w:tc>
        <w:tc>
          <w:tcPr>
            <w:tcW w:type="dxa" w:w="1944"/>
            <w:vAlign w:val="top"/>
            <w:tcMar>
              <w:top w:w="60" w:type="dxa"/>
              <w:start w:w="70" w:type="dxa"/>
              <w:bottom w:w="60" w:type="dxa"/>
              <w:end w:w="70" w:type="dxa"/>
            </w:tcMar>
          </w:tcPr>
          <w:p>
            <w:pPr>
              <w:spacing w:after="0" w:before="0" w:line="240" w:lineRule="auto"/>
            </w:pPr>
            <w:r>
              <w:t>Law 292/2011, Arts 45–47</w:t>
            </w:r>
          </w:p>
        </w:tc>
        <w:tc>
          <w:tcPr>
            <w:tcW w:type="dxa" w:w="5256"/>
            <w:vAlign w:val="top"/>
            <w:tcMar>
              <w:top w:w="60" w:type="dxa"/>
              <w:start w:w="70" w:type="dxa"/>
              <w:bottom w:w="60" w:type="dxa"/>
              <w:end w:w="70" w:type="dxa"/>
            </w:tcMar>
          </w:tcPr>
          <w:p>
            <w:pPr>
              <w:spacing w:after="0" w:before="0" w:line="240" w:lineRule="auto"/>
            </w:pPr>
            <w:r>
              <w:t>Social services are delivered through a contract and a mandatory sequence of initial assessment, information on rights and duties, complex assessment, planning, implementation, monitoring, and final evaluation.</w:t>
            </w:r>
          </w:p>
        </w:tc>
        <w:tc>
          <w:tcPr>
            <w:tcW w:type="dxa" w:w="1656"/>
            <w:vAlign w:val="top"/>
            <w:tcMar>
              <w:top w:w="60" w:type="dxa"/>
              <w:start w:w="70" w:type="dxa"/>
              <w:bottom w:w="60" w:type="dxa"/>
              <w:end w:w="70" w:type="dxa"/>
            </w:tcMar>
          </w:tcPr>
          <w:p>
            <w:pPr>
              <w:spacing w:after="0" w:before="0" w:line="240" w:lineRule="auto"/>
            </w:pPr>
            <w:r>
              <w:t>Procedural + evidentiary</w:t>
            </w:r>
          </w:p>
        </w:tc>
        <w:tc>
          <w:tcPr>
            <w:tcW w:type="dxa" w:w="1944"/>
            <w:vAlign w:val="top"/>
            <w:tcMar>
              <w:top w:w="60" w:type="dxa"/>
              <w:start w:w="70" w:type="dxa"/>
              <w:bottom w:w="60" w:type="dxa"/>
              <w:end w:w="70" w:type="dxa"/>
            </w:tcMar>
          </w:tcPr>
          <w:p>
            <w:pPr>
              <w:spacing w:after="0" w:before="0" w:line="240" w:lineRule="auto"/>
            </w:pPr>
            <w:r>
              <w:t>information; contract; assessment; planning; monitoring</w:t>
            </w:r>
          </w:p>
        </w:tc>
        <w:tc>
          <w:tcPr>
            <w:tcW w:type="dxa" w:w="3096"/>
            <w:vAlign w:val="top"/>
            <w:tcMar>
              <w:top w:w="60" w:type="dxa"/>
              <w:start w:w="70" w:type="dxa"/>
              <w:bottom w:w="60" w:type="dxa"/>
              <w:end w:w="70" w:type="dxa"/>
            </w:tcMar>
          </w:tcPr>
          <w:p>
            <w:pPr>
              <w:spacing w:after="0" w:before="0" w:line="240" w:lineRule="auto"/>
            </w:pPr>
            <w:r>
              <w:t>Rights-based commitment; proceduralized autonomy</w:t>
            </w:r>
          </w:p>
        </w:tc>
      </w:tr>
      <w:tr>
        <w:trPr>
          <w:cantSplit/>
        </w:trPr>
        <w:tc>
          <w:tcPr>
            <w:tcW w:type="dxa" w:w="605"/>
            <w:vAlign w:val="top"/>
            <w:tcMar>
              <w:top w:w="60" w:type="dxa"/>
              <w:start w:w="70" w:type="dxa"/>
              <w:bottom w:w="60" w:type="dxa"/>
              <w:end w:w="70" w:type="dxa"/>
            </w:tcMar>
            <w:shd w:fill="F3F6F9"/>
          </w:tcPr>
          <w:p>
            <w:pPr>
              <w:spacing w:after="0" w:before="0" w:line="240" w:lineRule="auto"/>
            </w:pPr>
            <w:r>
              <w:t>D1</w:t>
            </w:r>
          </w:p>
        </w:tc>
        <w:tc>
          <w:tcPr>
            <w:tcW w:type="dxa" w:w="1944"/>
            <w:vAlign w:val="top"/>
            <w:tcMar>
              <w:top w:w="60" w:type="dxa"/>
              <w:start w:w="70" w:type="dxa"/>
              <w:bottom w:w="60" w:type="dxa"/>
              <w:end w:w="70" w:type="dxa"/>
            </w:tcMar>
            <w:shd w:fill="F3F6F9"/>
          </w:tcPr>
          <w:p>
            <w:pPr>
              <w:spacing w:after="0" w:before="0" w:line="240" w:lineRule="auto"/>
            </w:pPr>
            <w:r>
              <w:t>Law 292/2011, Art 95(1)–(4)</w:t>
            </w:r>
          </w:p>
        </w:tc>
        <w:tc>
          <w:tcPr>
            <w:tcW w:type="dxa" w:w="5256"/>
            <w:vAlign w:val="top"/>
            <w:tcMar>
              <w:top w:w="60" w:type="dxa"/>
              <w:start w:w="70" w:type="dxa"/>
              <w:bottom w:w="60" w:type="dxa"/>
              <w:end w:w="70" w:type="dxa"/>
            </w:tcMar>
            <w:shd w:fill="F3F6F9"/>
          </w:tcPr>
          <w:p>
            <w:pPr>
              <w:spacing w:after="0" w:before="0" w:line="240" w:lineRule="auto"/>
            </w:pPr>
            <w:r>
              <w:t>Older people are entitled to social services; representative organizations must be consulted in service development; local authorities provide information and counselling; providers involve the older person and, as applicable, family or the legal representative.</w:t>
            </w:r>
          </w:p>
        </w:tc>
        <w:tc>
          <w:tcPr>
            <w:tcW w:type="dxa" w:w="1656"/>
            <w:vAlign w:val="top"/>
            <w:tcMar>
              <w:top w:w="60" w:type="dxa"/>
              <w:start w:w="70" w:type="dxa"/>
              <w:bottom w:w="60" w:type="dxa"/>
              <w:end w:w="70" w:type="dxa"/>
            </w:tcMar>
            <w:shd w:fill="F3F6F9"/>
          </w:tcPr>
          <w:p>
            <w:pPr>
              <w:spacing w:after="0" w:before="0" w:line="240" w:lineRule="auto"/>
            </w:pPr>
            <w:r>
              <w:t>Enforceable procedural duty</w:t>
            </w:r>
          </w:p>
        </w:tc>
        <w:tc>
          <w:tcPr>
            <w:tcW w:type="dxa" w:w="1944"/>
            <w:vAlign w:val="top"/>
            <w:tcMar>
              <w:top w:w="60" w:type="dxa"/>
              <w:start w:w="70" w:type="dxa"/>
              <w:bottom w:w="60" w:type="dxa"/>
              <w:end w:w="70" w:type="dxa"/>
            </w:tcMar>
            <w:shd w:fill="F3F6F9"/>
          </w:tcPr>
          <w:p>
            <w:pPr>
              <w:spacing w:after="0" w:before="0" w:line="240" w:lineRule="auto"/>
            </w:pPr>
            <w:r>
              <w:t>rights; participation; information; family/representative</w:t>
            </w:r>
          </w:p>
        </w:tc>
        <w:tc>
          <w:tcPr>
            <w:tcW w:type="dxa" w:w="3096"/>
            <w:vAlign w:val="top"/>
            <w:tcMar>
              <w:top w:w="60" w:type="dxa"/>
              <w:start w:w="70" w:type="dxa"/>
              <w:bottom w:w="60" w:type="dxa"/>
              <w:end w:w="70" w:type="dxa"/>
            </w:tcMar>
            <w:shd w:fill="F3F6F9"/>
          </w:tcPr>
          <w:p>
            <w:pPr>
              <w:spacing w:after="0" w:before="0" w:line="240" w:lineRule="auto"/>
            </w:pPr>
            <w:r>
              <w:t>Theme 1; Theme 5</w:t>
            </w:r>
          </w:p>
        </w:tc>
      </w:tr>
      <w:tr>
        <w:trPr>
          <w:cantSplit/>
        </w:trPr>
        <w:tc>
          <w:tcPr>
            <w:tcW w:type="dxa" w:w="605"/>
            <w:vAlign w:val="top"/>
            <w:tcMar>
              <w:top w:w="60" w:type="dxa"/>
              <w:start w:w="70" w:type="dxa"/>
              <w:bottom w:w="60" w:type="dxa"/>
              <w:end w:w="70" w:type="dxa"/>
            </w:tcMar>
          </w:tcPr>
          <w:p>
            <w:pPr>
              <w:spacing w:after="0" w:before="0" w:line="240" w:lineRule="auto"/>
            </w:pPr>
            <w:r>
              <w:t>D1</w:t>
            </w:r>
          </w:p>
        </w:tc>
        <w:tc>
          <w:tcPr>
            <w:tcW w:type="dxa" w:w="1944"/>
            <w:vAlign w:val="top"/>
            <w:tcMar>
              <w:top w:w="60" w:type="dxa"/>
              <w:start w:w="70" w:type="dxa"/>
              <w:bottom w:w="60" w:type="dxa"/>
              <w:end w:w="70" w:type="dxa"/>
            </w:tcMar>
          </w:tcPr>
          <w:p>
            <w:pPr>
              <w:spacing w:after="0" w:before="0" w:line="240" w:lineRule="auto"/>
            </w:pPr>
            <w:r>
              <w:t>Law 292/2011, Art 103²</w:t>
            </w:r>
          </w:p>
        </w:tc>
        <w:tc>
          <w:tcPr>
            <w:tcW w:type="dxa" w:w="5256"/>
            <w:vAlign w:val="top"/>
            <w:tcMar>
              <w:top w:w="60" w:type="dxa"/>
              <w:start w:w="70" w:type="dxa"/>
              <w:bottom w:w="60" w:type="dxa"/>
              <w:end w:w="70" w:type="dxa"/>
            </w:tcMar>
          </w:tcPr>
          <w:p>
            <w:pPr>
              <w:spacing w:after="0" w:before="0" w:line="240" w:lineRule="auto"/>
            </w:pPr>
            <w:r>
              <w:t>Complex assessment is intended to identify detailed individual needs and produce a strictly individualized support programme that promotes social integration and addresses functional autonomy.</w:t>
            </w:r>
          </w:p>
        </w:tc>
        <w:tc>
          <w:tcPr>
            <w:tcW w:type="dxa" w:w="1656"/>
            <w:vAlign w:val="top"/>
            <w:tcMar>
              <w:top w:w="60" w:type="dxa"/>
              <w:start w:w="70" w:type="dxa"/>
              <w:bottom w:w="60" w:type="dxa"/>
              <w:end w:w="70" w:type="dxa"/>
            </w:tcMar>
          </w:tcPr>
          <w:p>
            <w:pPr>
              <w:spacing w:after="0" w:before="0" w:line="240" w:lineRule="auto"/>
            </w:pPr>
            <w:r>
              <w:t>Procedural principle</w:t>
            </w:r>
          </w:p>
        </w:tc>
        <w:tc>
          <w:tcPr>
            <w:tcW w:type="dxa" w:w="1944"/>
            <w:vAlign w:val="top"/>
            <w:tcMar>
              <w:top w:w="60" w:type="dxa"/>
              <w:start w:w="70" w:type="dxa"/>
              <w:bottom w:w="60" w:type="dxa"/>
              <w:end w:w="70" w:type="dxa"/>
            </w:tcMar>
          </w:tcPr>
          <w:p>
            <w:pPr>
              <w:spacing w:after="0" w:before="0" w:line="240" w:lineRule="auto"/>
            </w:pPr>
            <w:r>
              <w:t>individualization; autonomy; integration</w:t>
            </w:r>
          </w:p>
        </w:tc>
        <w:tc>
          <w:tcPr>
            <w:tcW w:type="dxa" w:w="3096"/>
            <w:vAlign w:val="top"/>
            <w:tcMar>
              <w:top w:w="60" w:type="dxa"/>
              <w:start w:w="70" w:type="dxa"/>
              <w:bottom w:w="60" w:type="dxa"/>
              <w:end w:w="70" w:type="dxa"/>
            </w:tcMar>
          </w:tcPr>
          <w:p>
            <w:pPr>
              <w:spacing w:after="0" w:before="0" w:line="240" w:lineRule="auto"/>
            </w:pPr>
            <w:r>
              <w:t>Theme 1; counterevidence to paternalism</w:t>
            </w:r>
          </w:p>
        </w:tc>
      </w:tr>
      <w:tr>
        <w:trPr>
          <w:cantSplit/>
        </w:trPr>
        <w:tc>
          <w:tcPr>
            <w:tcW w:type="dxa" w:w="605"/>
            <w:vAlign w:val="top"/>
            <w:tcMar>
              <w:top w:w="60" w:type="dxa"/>
              <w:start w:w="70" w:type="dxa"/>
              <w:bottom w:w="60" w:type="dxa"/>
              <w:end w:w="70" w:type="dxa"/>
            </w:tcMar>
            <w:shd w:fill="F3F6F9"/>
          </w:tcPr>
          <w:p>
            <w:pPr>
              <w:spacing w:after="0" w:before="0" w:line="240" w:lineRule="auto"/>
            </w:pPr>
            <w:r>
              <w:t>D1</w:t>
            </w:r>
          </w:p>
        </w:tc>
        <w:tc>
          <w:tcPr>
            <w:tcW w:type="dxa" w:w="1944"/>
            <w:vAlign w:val="top"/>
            <w:tcMar>
              <w:top w:w="60" w:type="dxa"/>
              <w:start w:w="70" w:type="dxa"/>
              <w:bottom w:w="60" w:type="dxa"/>
              <w:end w:w="70" w:type="dxa"/>
            </w:tcMar>
            <w:shd w:fill="F3F6F9"/>
          </w:tcPr>
          <w:p>
            <w:pPr>
              <w:spacing w:after="0" w:before="0" w:line="240" w:lineRule="auto"/>
            </w:pPr>
            <w:r>
              <w:t>Law 292/2011, Arts 100–101</w:t>
            </w:r>
          </w:p>
        </w:tc>
        <w:tc>
          <w:tcPr>
            <w:tcW w:type="dxa" w:w="5256"/>
            <w:vAlign w:val="top"/>
            <w:tcMar>
              <w:top w:w="60" w:type="dxa"/>
              <w:start w:w="70" w:type="dxa"/>
              <w:bottom w:w="60" w:type="dxa"/>
              <w:end w:w="70" w:type="dxa"/>
            </w:tcMar>
            <w:shd w:fill="F3F6F9"/>
          </w:tcPr>
          <w:p>
            <w:pPr>
              <w:spacing w:after="0" w:before="0" w:line="240" w:lineRule="auto"/>
            </w:pPr>
            <w:r>
              <w:t>The law prioritizes maintaining older people in their own environment and treats residential care for dependent older people as appropriate when home care is not possible.</w:t>
            </w:r>
          </w:p>
        </w:tc>
        <w:tc>
          <w:tcPr>
            <w:tcW w:type="dxa" w:w="1656"/>
            <w:vAlign w:val="top"/>
            <w:tcMar>
              <w:top w:w="60" w:type="dxa"/>
              <w:start w:w="70" w:type="dxa"/>
              <w:bottom w:w="60" w:type="dxa"/>
              <w:end w:w="70" w:type="dxa"/>
            </w:tcMar>
            <w:shd w:fill="F3F6F9"/>
          </w:tcPr>
          <w:p>
            <w:pPr>
              <w:spacing w:after="0" w:before="0" w:line="240" w:lineRule="auto"/>
            </w:pPr>
            <w:r>
              <w:t>Policy safeguard</w:t>
            </w:r>
          </w:p>
        </w:tc>
        <w:tc>
          <w:tcPr>
            <w:tcW w:type="dxa" w:w="1944"/>
            <w:vAlign w:val="top"/>
            <w:tcMar>
              <w:top w:w="60" w:type="dxa"/>
              <w:start w:w="70" w:type="dxa"/>
              <w:bottom w:w="60" w:type="dxa"/>
              <w:end w:w="70" w:type="dxa"/>
            </w:tcMar>
            <w:shd w:fill="F3F6F9"/>
          </w:tcPr>
          <w:p>
            <w:pPr>
              <w:spacing w:after="0" w:before="0" w:line="240" w:lineRule="auto"/>
            </w:pPr>
            <w:r>
              <w:t>community living; prevention; residential threshold</w:t>
            </w:r>
          </w:p>
        </w:tc>
        <w:tc>
          <w:tcPr>
            <w:tcW w:type="dxa" w:w="3096"/>
            <w:vAlign w:val="top"/>
            <w:tcMar>
              <w:top w:w="60" w:type="dxa"/>
              <w:start w:w="70" w:type="dxa"/>
              <w:bottom w:w="60" w:type="dxa"/>
              <w:end w:w="70" w:type="dxa"/>
            </w:tcMar>
            <w:shd w:fill="F3F6F9"/>
          </w:tcPr>
          <w:p>
            <w:pPr>
              <w:spacing w:after="0" w:before="0" w:line="240" w:lineRule="auto"/>
            </w:pPr>
            <w:r>
              <w:t>Rights/protection balance</w:t>
            </w:r>
          </w:p>
        </w:tc>
      </w:tr>
      <w:tr>
        <w:trPr>
          <w:cantSplit/>
        </w:trPr>
        <w:tc>
          <w:tcPr>
            <w:tcW w:type="dxa" w:w="605"/>
            <w:vAlign w:val="top"/>
            <w:tcMar>
              <w:top w:w="60" w:type="dxa"/>
              <w:start w:w="70" w:type="dxa"/>
              <w:bottom w:w="60" w:type="dxa"/>
              <w:end w:w="70" w:type="dxa"/>
            </w:tcMar>
          </w:tcPr>
          <w:p>
            <w:pPr>
              <w:spacing w:after="0" w:before="0" w:line="240" w:lineRule="auto"/>
            </w:pPr>
            <w:r>
              <w:t>D2</w:t>
            </w:r>
          </w:p>
        </w:tc>
        <w:tc>
          <w:tcPr>
            <w:tcW w:type="dxa" w:w="1944"/>
            <w:vAlign w:val="top"/>
            <w:tcMar>
              <w:top w:w="60" w:type="dxa"/>
              <w:start w:w="70" w:type="dxa"/>
              <w:bottom w:w="60" w:type="dxa"/>
              <w:end w:w="70" w:type="dxa"/>
            </w:tcMar>
          </w:tcPr>
          <w:p>
            <w:pPr>
              <w:spacing w:after="0" w:before="0" w:line="240" w:lineRule="auto"/>
            </w:pPr>
            <w:r>
              <w:t>Law 17/2000, Art 4(2)–(5)</w:t>
            </w:r>
          </w:p>
        </w:tc>
        <w:tc>
          <w:tcPr>
            <w:tcW w:type="dxa" w:w="5256"/>
            <w:vAlign w:val="top"/>
            <w:tcMar>
              <w:top w:w="60" w:type="dxa"/>
              <w:start w:w="70" w:type="dxa"/>
              <w:bottom w:w="60" w:type="dxa"/>
              <w:end w:w="70" w:type="dxa"/>
            </w:tcMar>
          </w:tcPr>
          <w:p>
            <w:pPr>
              <w:spacing w:after="0" w:before="0" w:line="240" w:lineRule="auto"/>
            </w:pPr>
            <w:r>
              <w:t>Assessment, individualized care planning, integrated coordination, monitoring, and impact evaluation are organized through case management.</w:t>
            </w:r>
          </w:p>
        </w:tc>
        <w:tc>
          <w:tcPr>
            <w:tcW w:type="dxa" w:w="1656"/>
            <w:vAlign w:val="top"/>
            <w:tcMar>
              <w:top w:w="60" w:type="dxa"/>
              <w:start w:w="70" w:type="dxa"/>
              <w:bottom w:w="60" w:type="dxa"/>
              <w:end w:w="70" w:type="dxa"/>
            </w:tcMar>
          </w:tcPr>
          <w:p>
            <w:pPr>
              <w:spacing w:after="0" w:before="0" w:line="240" w:lineRule="auto"/>
            </w:pPr>
            <w:r>
              <w:t>Procedural requirement</w:t>
            </w:r>
          </w:p>
        </w:tc>
        <w:tc>
          <w:tcPr>
            <w:tcW w:type="dxa" w:w="1944"/>
            <w:vAlign w:val="top"/>
            <w:tcMar>
              <w:top w:w="60" w:type="dxa"/>
              <w:start w:w="70" w:type="dxa"/>
              <w:bottom w:w="60" w:type="dxa"/>
              <w:end w:w="70" w:type="dxa"/>
            </w:tcMar>
          </w:tcPr>
          <w:p>
            <w:pPr>
              <w:spacing w:after="0" w:before="0" w:line="240" w:lineRule="auto"/>
            </w:pPr>
            <w:r>
              <w:t>case management; integrated assessment; monitoring</w:t>
            </w:r>
          </w:p>
        </w:tc>
        <w:tc>
          <w:tcPr>
            <w:tcW w:type="dxa" w:w="3096"/>
            <w:vAlign w:val="top"/>
            <w:tcMar>
              <w:top w:w="60" w:type="dxa"/>
              <w:start w:w="70" w:type="dxa"/>
              <w:bottom w:w="60" w:type="dxa"/>
              <w:end w:w="70" w:type="dxa"/>
            </w:tcMar>
          </w:tcPr>
          <w:p>
            <w:pPr>
              <w:spacing w:after="0" w:before="0" w:line="240" w:lineRule="auto"/>
            </w:pPr>
            <w:r>
              <w:t>Theme 1; accountability architecture</w:t>
            </w:r>
          </w:p>
        </w:tc>
      </w:tr>
      <w:tr>
        <w:trPr>
          <w:cantSplit/>
        </w:trPr>
        <w:tc>
          <w:tcPr>
            <w:tcW w:type="dxa" w:w="605"/>
            <w:vAlign w:val="top"/>
            <w:tcMar>
              <w:top w:w="60" w:type="dxa"/>
              <w:start w:w="70" w:type="dxa"/>
              <w:bottom w:w="60" w:type="dxa"/>
              <w:end w:w="70" w:type="dxa"/>
            </w:tcMar>
            <w:shd w:fill="F3F6F9"/>
          </w:tcPr>
          <w:p>
            <w:pPr>
              <w:spacing w:after="0" w:before="0" w:line="240" w:lineRule="auto"/>
            </w:pPr>
            <w:r>
              <w:t>D2</w:t>
            </w:r>
          </w:p>
        </w:tc>
        <w:tc>
          <w:tcPr>
            <w:tcW w:type="dxa" w:w="1944"/>
            <w:vAlign w:val="top"/>
            <w:tcMar>
              <w:top w:w="60" w:type="dxa"/>
              <w:start w:w="70" w:type="dxa"/>
              <w:bottom w:w="60" w:type="dxa"/>
              <w:end w:w="70" w:type="dxa"/>
            </w:tcMar>
            <w:shd w:fill="F3F6F9"/>
          </w:tcPr>
          <w:p>
            <w:pPr>
              <w:spacing w:after="0" w:before="0" w:line="240" w:lineRule="auto"/>
            </w:pPr>
            <w:r>
              <w:t>Law 17/2000, Art 7(1)–(2)</w:t>
            </w:r>
          </w:p>
        </w:tc>
        <w:tc>
          <w:tcPr>
            <w:tcW w:type="dxa" w:w="5256"/>
            <w:vAlign w:val="top"/>
            <w:tcMar>
              <w:top w:w="60" w:type="dxa"/>
              <w:start w:w="70" w:type="dxa"/>
              <w:bottom w:w="60" w:type="dxa"/>
              <w:end w:w="70" w:type="dxa"/>
            </w:tcMar>
            <w:shd w:fill="F3F6F9"/>
          </w:tcPr>
          <w:p>
            <w:pPr>
              <w:spacing w:after="0" w:before="0" w:line="240" w:lineRule="auto"/>
            </w:pPr>
            <w:r>
              <w:t>Community and residential services require the older person’s consent; a legal or conventional representative provides consent only when the person’s health condition prevents obtaining it directly.</w:t>
            </w:r>
          </w:p>
        </w:tc>
        <w:tc>
          <w:tcPr>
            <w:tcW w:type="dxa" w:w="1656"/>
            <w:vAlign w:val="top"/>
            <w:tcMar>
              <w:top w:w="60" w:type="dxa"/>
              <w:start w:w="70" w:type="dxa"/>
              <w:bottom w:w="60" w:type="dxa"/>
              <w:end w:w="70" w:type="dxa"/>
            </w:tcMar>
            <w:shd w:fill="F3F6F9"/>
          </w:tcPr>
          <w:p>
            <w:pPr>
              <w:spacing w:after="0" w:before="0" w:line="240" w:lineRule="auto"/>
            </w:pPr>
            <w:r>
              <w:t>Enforceable safeguard</w:t>
            </w:r>
          </w:p>
        </w:tc>
        <w:tc>
          <w:tcPr>
            <w:tcW w:type="dxa" w:w="1944"/>
            <w:vAlign w:val="top"/>
            <w:tcMar>
              <w:top w:w="60" w:type="dxa"/>
              <w:start w:w="70" w:type="dxa"/>
              <w:bottom w:w="60" w:type="dxa"/>
              <w:end w:w="70" w:type="dxa"/>
            </w:tcMar>
            <w:shd w:fill="F3F6F9"/>
          </w:tcPr>
          <w:p>
            <w:pPr>
              <w:spacing w:after="0" w:before="0" w:line="240" w:lineRule="auto"/>
            </w:pPr>
            <w:r>
              <w:t>consent; direct voice; representation threshold</w:t>
            </w:r>
          </w:p>
        </w:tc>
        <w:tc>
          <w:tcPr>
            <w:tcW w:type="dxa" w:w="3096"/>
            <w:vAlign w:val="top"/>
            <w:tcMar>
              <w:top w:w="60" w:type="dxa"/>
              <w:start w:w="70" w:type="dxa"/>
              <w:bottom w:w="60" w:type="dxa"/>
              <w:end w:w="70" w:type="dxa"/>
            </w:tcMar>
            <w:shd w:fill="F3F6F9"/>
          </w:tcPr>
          <w:p>
            <w:pPr>
              <w:spacing w:after="0" w:before="0" w:line="240" w:lineRule="auto"/>
            </w:pPr>
            <w:r>
              <w:t>Theme 5; qualifying evidence</w:t>
            </w:r>
          </w:p>
        </w:tc>
      </w:tr>
      <w:tr>
        <w:trPr>
          <w:cantSplit/>
        </w:trPr>
        <w:tc>
          <w:tcPr>
            <w:tcW w:type="dxa" w:w="605"/>
            <w:vAlign w:val="top"/>
            <w:tcMar>
              <w:top w:w="60" w:type="dxa"/>
              <w:start w:w="70" w:type="dxa"/>
              <w:bottom w:w="60" w:type="dxa"/>
              <w:end w:w="70" w:type="dxa"/>
            </w:tcMar>
          </w:tcPr>
          <w:p>
            <w:pPr>
              <w:spacing w:after="0" w:before="0" w:line="240" w:lineRule="auto"/>
            </w:pPr>
            <w:r>
              <w:t>D3</w:t>
            </w:r>
          </w:p>
        </w:tc>
        <w:tc>
          <w:tcPr>
            <w:tcW w:type="dxa" w:w="1944"/>
            <w:vAlign w:val="top"/>
            <w:tcMar>
              <w:top w:w="60" w:type="dxa"/>
              <w:start w:w="70" w:type="dxa"/>
              <w:bottom w:w="60" w:type="dxa"/>
              <w:end w:w="70" w:type="dxa"/>
            </w:tcMar>
          </w:tcPr>
          <w:p>
            <w:pPr>
              <w:spacing w:after="0" w:before="0" w:line="240" w:lineRule="auto"/>
            </w:pPr>
            <w:r>
              <w:t>National Strategy 2023–2030, general principles</w:t>
            </w:r>
          </w:p>
        </w:tc>
        <w:tc>
          <w:tcPr>
            <w:tcW w:type="dxa" w:w="5256"/>
            <w:vAlign w:val="top"/>
            <w:tcMar>
              <w:top w:w="60" w:type="dxa"/>
              <w:start w:w="70" w:type="dxa"/>
              <w:bottom w:w="60" w:type="dxa"/>
              <w:end w:w="70" w:type="dxa"/>
            </w:tcMar>
          </w:tcPr>
          <w:p>
            <w:pPr>
              <w:spacing w:after="0" w:before="0" w:line="240" w:lineRule="auto"/>
            </w:pPr>
            <w:r>
              <w:t>The strategy endorses person-centred care, dignity, autonomy, informed choice, preference-sensitive care, active ageing, community services, and freedom to choose the care setting.</w:t>
            </w:r>
          </w:p>
        </w:tc>
        <w:tc>
          <w:tcPr>
            <w:tcW w:type="dxa" w:w="1656"/>
            <w:vAlign w:val="top"/>
            <w:tcMar>
              <w:top w:w="60" w:type="dxa"/>
              <w:start w:w="70" w:type="dxa"/>
              <w:bottom w:w="60" w:type="dxa"/>
              <w:end w:w="70" w:type="dxa"/>
            </w:tcMar>
          </w:tcPr>
          <w:p>
            <w:pPr>
              <w:spacing w:after="0" w:before="0" w:line="240" w:lineRule="auto"/>
            </w:pPr>
            <w:r>
              <w:t>Aspirational / strategic</w:t>
            </w:r>
          </w:p>
        </w:tc>
        <w:tc>
          <w:tcPr>
            <w:tcW w:type="dxa" w:w="1944"/>
            <w:vAlign w:val="top"/>
            <w:tcMar>
              <w:top w:w="60" w:type="dxa"/>
              <w:start w:w="70" w:type="dxa"/>
              <w:bottom w:w="60" w:type="dxa"/>
              <w:end w:w="70" w:type="dxa"/>
            </w:tcMar>
          </w:tcPr>
          <w:p>
            <w:pPr>
              <w:spacing w:after="0" w:before="0" w:line="240" w:lineRule="auto"/>
            </w:pPr>
            <w:r>
              <w:t>person-centredness; autonomy; choice; community inclusion</w:t>
            </w:r>
          </w:p>
        </w:tc>
        <w:tc>
          <w:tcPr>
            <w:tcW w:type="dxa" w:w="3096"/>
            <w:vAlign w:val="top"/>
            <w:tcMar>
              <w:top w:w="60" w:type="dxa"/>
              <w:start w:w="70" w:type="dxa"/>
              <w:bottom w:w="60" w:type="dxa"/>
              <w:end w:w="70" w:type="dxa"/>
            </w:tcMar>
          </w:tcPr>
          <w:p>
            <w:pPr>
              <w:spacing w:after="0" w:before="0" w:line="240" w:lineRule="auto"/>
            </w:pPr>
            <w:r>
              <w:t>Theme 1</w:t>
            </w:r>
          </w:p>
        </w:tc>
      </w:tr>
      <w:tr>
        <w:trPr>
          <w:cantSplit/>
        </w:trPr>
        <w:tc>
          <w:tcPr>
            <w:tcW w:type="dxa" w:w="605"/>
            <w:vAlign w:val="top"/>
            <w:tcMar>
              <w:top w:w="60" w:type="dxa"/>
              <w:start w:w="70" w:type="dxa"/>
              <w:bottom w:w="60" w:type="dxa"/>
              <w:end w:w="70" w:type="dxa"/>
            </w:tcMar>
            <w:shd w:fill="F3F6F9"/>
          </w:tcPr>
          <w:p>
            <w:pPr>
              <w:spacing w:after="0" w:before="0" w:line="240" w:lineRule="auto"/>
            </w:pPr>
            <w:r>
              <w:t>D3</w:t>
            </w:r>
          </w:p>
        </w:tc>
        <w:tc>
          <w:tcPr>
            <w:tcW w:type="dxa" w:w="1944"/>
            <w:vAlign w:val="top"/>
            <w:tcMar>
              <w:top w:w="60" w:type="dxa"/>
              <w:start w:w="70" w:type="dxa"/>
              <w:bottom w:w="60" w:type="dxa"/>
              <w:end w:w="70" w:type="dxa"/>
            </w:tcMar>
            <w:shd w:fill="F3F6F9"/>
          </w:tcPr>
          <w:p>
            <w:pPr>
              <w:spacing w:after="0" w:before="0" w:line="240" w:lineRule="auto"/>
            </w:pPr>
            <w:r>
              <w:t>National Strategy 2023–2030, system diagnosis</w:t>
            </w:r>
          </w:p>
        </w:tc>
        <w:tc>
          <w:tcPr>
            <w:tcW w:type="dxa" w:w="5256"/>
            <w:vAlign w:val="top"/>
            <w:tcMar>
              <w:top w:w="60" w:type="dxa"/>
              <w:start w:w="70" w:type="dxa"/>
              <w:bottom w:w="60" w:type="dxa"/>
              <w:end w:w="70" w:type="dxa"/>
            </w:tcMar>
            <w:shd w:fill="F3F6F9"/>
          </w:tcPr>
          <w:p>
            <w:pPr>
              <w:spacing w:after="0" w:before="0" w:line="240" w:lineRule="auto"/>
            </w:pPr>
            <w:r>
              <w:t>The strategy identifies fragmented long-term care provision, unclear quality standards and provider roles, and weak continuity between social and health-care components.</w:t>
            </w:r>
          </w:p>
        </w:tc>
        <w:tc>
          <w:tcPr>
            <w:tcW w:type="dxa" w:w="1656"/>
            <w:vAlign w:val="top"/>
            <w:tcMar>
              <w:top w:w="60" w:type="dxa"/>
              <w:start w:w="70" w:type="dxa"/>
              <w:bottom w:w="60" w:type="dxa"/>
              <w:end w:w="70" w:type="dxa"/>
            </w:tcMar>
            <w:shd w:fill="F3F6F9"/>
          </w:tcPr>
          <w:p>
            <w:pPr>
              <w:spacing w:after="0" w:before="0" w:line="240" w:lineRule="auto"/>
            </w:pPr>
            <w:r>
              <w:t>Strategic diagnosis</w:t>
            </w:r>
          </w:p>
        </w:tc>
        <w:tc>
          <w:tcPr>
            <w:tcW w:type="dxa" w:w="1944"/>
            <w:vAlign w:val="top"/>
            <w:tcMar>
              <w:top w:w="60" w:type="dxa"/>
              <w:start w:w="70" w:type="dxa"/>
              <w:bottom w:w="60" w:type="dxa"/>
              <w:end w:w="70" w:type="dxa"/>
            </w:tcMar>
            <w:shd w:fill="F3F6F9"/>
          </w:tcPr>
          <w:p>
            <w:pPr>
              <w:spacing w:after="0" w:before="0" w:line="240" w:lineRule="auto"/>
            </w:pPr>
            <w:r>
              <w:t>fragmentation; coordination; implementation gap</w:t>
            </w:r>
          </w:p>
        </w:tc>
        <w:tc>
          <w:tcPr>
            <w:tcW w:type="dxa" w:w="3096"/>
            <w:vAlign w:val="top"/>
            <w:tcMar>
              <w:top w:w="60" w:type="dxa"/>
              <w:start w:w="70" w:type="dxa"/>
              <w:bottom w:w="60" w:type="dxa"/>
              <w:end w:w="70" w:type="dxa"/>
            </w:tcMar>
            <w:shd w:fill="F3F6F9"/>
          </w:tcPr>
          <w:p>
            <w:pPr>
              <w:spacing w:after="0" w:before="0" w:line="240" w:lineRule="auto"/>
            </w:pPr>
            <w:r>
              <w:t>Systems synthesis; fragmented responsibility</w:t>
            </w:r>
          </w:p>
        </w:tc>
      </w:tr>
      <w:tr>
        <w:trPr>
          <w:cantSplit/>
        </w:trPr>
        <w:tc>
          <w:tcPr>
            <w:tcW w:type="dxa" w:w="605"/>
            <w:vAlign w:val="top"/>
            <w:tcMar>
              <w:top w:w="60" w:type="dxa"/>
              <w:start w:w="70" w:type="dxa"/>
              <w:bottom w:w="60" w:type="dxa"/>
              <w:end w:w="70" w:type="dxa"/>
            </w:tcMar>
          </w:tcPr>
          <w:p>
            <w:pPr>
              <w:spacing w:after="0" w:before="0" w:line="240" w:lineRule="auto"/>
            </w:pPr>
            <w:r>
              <w:t>D4</w:t>
            </w:r>
          </w:p>
        </w:tc>
        <w:tc>
          <w:tcPr>
            <w:tcW w:type="dxa" w:w="1944"/>
            <w:vAlign w:val="top"/>
            <w:tcMar>
              <w:top w:w="60" w:type="dxa"/>
              <w:start w:w="70" w:type="dxa"/>
              <w:bottom w:w="60" w:type="dxa"/>
              <w:end w:w="70" w:type="dxa"/>
            </w:tcMar>
          </w:tcPr>
          <w:p>
            <w:pPr>
              <w:spacing w:after="0" w:before="0" w:line="240" w:lineRule="auto"/>
            </w:pPr>
            <w:r>
              <w:t>Order 29/2019, Annex 1, Module I</w:t>
            </w:r>
          </w:p>
        </w:tc>
        <w:tc>
          <w:tcPr>
            <w:tcW w:type="dxa" w:w="5256"/>
            <w:vAlign w:val="top"/>
            <w:tcMar>
              <w:top w:w="60" w:type="dxa"/>
              <w:start w:w="70" w:type="dxa"/>
              <w:bottom w:w="60" w:type="dxa"/>
              <w:end w:w="70" w:type="dxa"/>
            </w:tcMar>
          </w:tcPr>
          <w:p>
            <w:pPr>
              <w:spacing w:after="0" w:before="0" w:line="240" w:lineRule="auto"/>
            </w:pPr>
            <w:r>
              <w:t>Residential centres must inform prospective beneficiaries or representatives, regulate admission, conclude a service contract, and maintain a personal file with required documents.</w:t>
            </w:r>
          </w:p>
        </w:tc>
        <w:tc>
          <w:tcPr>
            <w:tcW w:type="dxa" w:w="1656"/>
            <w:vAlign w:val="top"/>
            <w:tcMar>
              <w:top w:w="60" w:type="dxa"/>
              <w:start w:w="70" w:type="dxa"/>
              <w:bottom w:w="60" w:type="dxa"/>
              <w:end w:w="70" w:type="dxa"/>
            </w:tcMar>
          </w:tcPr>
          <w:p>
            <w:pPr>
              <w:spacing w:after="0" w:before="0" w:line="240" w:lineRule="auto"/>
            </w:pPr>
            <w:r>
              <w:t>Procedural + evidentiary</w:t>
            </w:r>
          </w:p>
        </w:tc>
        <w:tc>
          <w:tcPr>
            <w:tcW w:type="dxa" w:w="1944"/>
            <w:vAlign w:val="top"/>
            <w:tcMar>
              <w:top w:w="60" w:type="dxa"/>
              <w:start w:w="70" w:type="dxa"/>
              <w:bottom w:w="60" w:type="dxa"/>
              <w:end w:w="70" w:type="dxa"/>
            </w:tcMar>
          </w:tcPr>
          <w:p>
            <w:pPr>
              <w:spacing w:after="0" w:before="0" w:line="240" w:lineRule="auto"/>
            </w:pPr>
            <w:r>
              <w:t>information; admission; contract; file</w:t>
            </w:r>
          </w:p>
        </w:tc>
        <w:tc>
          <w:tcPr>
            <w:tcW w:type="dxa" w:w="3096"/>
            <w:vAlign w:val="top"/>
            <w:tcMar>
              <w:top w:w="60" w:type="dxa"/>
              <w:start w:w="70" w:type="dxa"/>
              <w:bottom w:w="60" w:type="dxa"/>
              <w:end w:w="70" w:type="dxa"/>
            </w:tcMar>
          </w:tcPr>
          <w:p>
            <w:pPr>
              <w:spacing w:after="0" w:before="0" w:line="240" w:lineRule="auto"/>
            </w:pPr>
            <w:r>
              <w:t>Theme 2; Theme 3</w:t>
            </w:r>
          </w:p>
        </w:tc>
      </w:tr>
      <w:tr>
        <w:trPr>
          <w:cantSplit/>
        </w:trPr>
        <w:tc>
          <w:tcPr>
            <w:tcW w:type="dxa" w:w="605"/>
            <w:vAlign w:val="top"/>
            <w:tcMar>
              <w:top w:w="60" w:type="dxa"/>
              <w:start w:w="70" w:type="dxa"/>
              <w:bottom w:w="60" w:type="dxa"/>
              <w:end w:w="70" w:type="dxa"/>
            </w:tcMar>
            <w:shd w:fill="F3F6F9"/>
          </w:tcPr>
          <w:p>
            <w:pPr>
              <w:spacing w:after="0" w:before="0" w:line="240" w:lineRule="auto"/>
            </w:pPr>
            <w:r>
              <w:t>D4</w:t>
            </w:r>
          </w:p>
        </w:tc>
        <w:tc>
          <w:tcPr>
            <w:tcW w:type="dxa" w:w="1944"/>
            <w:vAlign w:val="top"/>
            <w:tcMar>
              <w:top w:w="60" w:type="dxa"/>
              <w:start w:w="70" w:type="dxa"/>
              <w:bottom w:w="60" w:type="dxa"/>
              <w:end w:w="70" w:type="dxa"/>
            </w:tcMar>
            <w:shd w:fill="F3F6F9"/>
          </w:tcPr>
          <w:p>
            <w:pPr>
              <w:spacing w:after="0" w:before="0" w:line="240" w:lineRule="auto"/>
            </w:pPr>
            <w:r>
              <w:t>Order 29/2019, Annex 1, Module II</w:t>
            </w:r>
          </w:p>
        </w:tc>
        <w:tc>
          <w:tcPr>
            <w:tcW w:type="dxa" w:w="5256"/>
            <w:vAlign w:val="top"/>
            <w:tcMar>
              <w:top w:w="60" w:type="dxa"/>
              <w:start w:w="70" w:type="dxa"/>
              <w:bottom w:w="60" w:type="dxa"/>
              <w:end w:w="70" w:type="dxa"/>
            </w:tcMar>
            <w:shd w:fill="F3F6F9"/>
          </w:tcPr>
          <w:p>
            <w:pPr>
              <w:spacing w:after="0" w:before="0" w:line="240" w:lineRule="auto"/>
            </w:pPr>
            <w:r>
              <w:t>Assessment and individualized care planning must be documented and periodically revised; the beneficiary or representative participates and is encouraged to express wishes and preferences.</w:t>
            </w:r>
          </w:p>
        </w:tc>
        <w:tc>
          <w:tcPr>
            <w:tcW w:type="dxa" w:w="1656"/>
            <w:vAlign w:val="top"/>
            <w:tcMar>
              <w:top w:w="60" w:type="dxa"/>
              <w:start w:w="70" w:type="dxa"/>
              <w:bottom w:w="60" w:type="dxa"/>
              <w:end w:w="70" w:type="dxa"/>
            </w:tcMar>
            <w:shd w:fill="F3F6F9"/>
          </w:tcPr>
          <w:p>
            <w:pPr>
              <w:spacing w:after="0" w:before="0" w:line="240" w:lineRule="auto"/>
            </w:pPr>
            <w:r>
              <w:t>Procedural safeguard</w:t>
            </w:r>
          </w:p>
        </w:tc>
        <w:tc>
          <w:tcPr>
            <w:tcW w:type="dxa" w:w="1944"/>
            <w:vAlign w:val="top"/>
            <w:tcMar>
              <w:top w:w="60" w:type="dxa"/>
              <w:start w:w="70" w:type="dxa"/>
              <w:bottom w:w="60" w:type="dxa"/>
              <w:end w:w="70" w:type="dxa"/>
            </w:tcMar>
            <w:shd w:fill="F3F6F9"/>
          </w:tcPr>
          <w:p>
            <w:pPr>
              <w:spacing w:after="0" w:before="0" w:line="240" w:lineRule="auto"/>
            </w:pPr>
            <w:r>
              <w:t>assessment; care plan; preferences; participation</w:t>
            </w:r>
          </w:p>
        </w:tc>
        <w:tc>
          <w:tcPr>
            <w:tcW w:type="dxa" w:w="3096"/>
            <w:vAlign w:val="top"/>
            <w:tcMar>
              <w:top w:w="60" w:type="dxa"/>
              <w:start w:w="70" w:type="dxa"/>
              <w:bottom w:w="60" w:type="dxa"/>
              <w:end w:w="70" w:type="dxa"/>
            </w:tcMar>
            <w:shd w:fill="F3F6F9"/>
          </w:tcPr>
          <w:p>
            <w:pPr>
              <w:spacing w:after="0" w:before="0" w:line="240" w:lineRule="auto"/>
            </w:pPr>
            <w:r>
              <w:t>Theme 1; counterevidence to paternalism</w:t>
            </w:r>
          </w:p>
        </w:tc>
      </w:tr>
      <w:tr>
        <w:trPr>
          <w:cantSplit/>
        </w:trPr>
        <w:tc>
          <w:tcPr>
            <w:tcW w:type="dxa" w:w="605"/>
            <w:vAlign w:val="top"/>
            <w:tcMar>
              <w:top w:w="60" w:type="dxa"/>
              <w:start w:w="70" w:type="dxa"/>
              <w:bottom w:w="60" w:type="dxa"/>
              <w:end w:w="70" w:type="dxa"/>
            </w:tcMar>
          </w:tcPr>
          <w:p>
            <w:pPr>
              <w:spacing w:after="0" w:before="0" w:line="240" w:lineRule="auto"/>
            </w:pPr>
            <w:r>
              <w:t>D4</w:t>
            </w:r>
          </w:p>
        </w:tc>
        <w:tc>
          <w:tcPr>
            <w:tcW w:type="dxa" w:w="1944"/>
            <w:vAlign w:val="top"/>
            <w:tcMar>
              <w:top w:w="60" w:type="dxa"/>
              <w:start w:w="70" w:type="dxa"/>
              <w:bottom w:w="60" w:type="dxa"/>
              <w:end w:w="70" w:type="dxa"/>
            </w:tcMar>
          </w:tcPr>
          <w:p>
            <w:pPr>
              <w:spacing w:after="0" w:before="0" w:line="240" w:lineRule="auto"/>
            </w:pPr>
            <w:r>
              <w:t>Order 29/2019, Annex 1, plan indicators</w:t>
            </w:r>
          </w:p>
        </w:tc>
        <w:tc>
          <w:tcPr>
            <w:tcW w:type="dxa" w:w="5256"/>
            <w:vAlign w:val="top"/>
            <w:tcMar>
              <w:top w:w="60" w:type="dxa"/>
              <w:start w:w="70" w:type="dxa"/>
              <w:bottom w:w="60" w:type="dxa"/>
              <w:end w:w="70" w:type="dxa"/>
            </w:tcMar>
          </w:tcPr>
          <w:p>
            <w:pPr>
              <w:spacing w:after="0" w:before="0" w:line="240" w:lineRule="auto"/>
            </w:pPr>
            <w:r>
              <w:t>The plan contains acknowledgement or signature fields demonstrating that the beneficiary or representative was informed and accepted the plan.</w:t>
            </w:r>
          </w:p>
        </w:tc>
        <w:tc>
          <w:tcPr>
            <w:tcW w:type="dxa" w:w="1656"/>
            <w:vAlign w:val="top"/>
            <w:tcMar>
              <w:top w:w="60" w:type="dxa"/>
              <w:start w:w="70" w:type="dxa"/>
              <w:bottom w:w="60" w:type="dxa"/>
              <w:end w:w="70" w:type="dxa"/>
            </w:tcMar>
          </w:tcPr>
          <w:p>
            <w:pPr>
              <w:spacing w:after="0" w:before="0" w:line="240" w:lineRule="auto"/>
            </w:pPr>
            <w:r>
              <w:t>Evidentiary requirement</w:t>
            </w:r>
          </w:p>
        </w:tc>
        <w:tc>
          <w:tcPr>
            <w:tcW w:type="dxa" w:w="1944"/>
            <w:vAlign w:val="top"/>
            <w:tcMar>
              <w:top w:w="60" w:type="dxa"/>
              <w:start w:w="70" w:type="dxa"/>
              <w:bottom w:w="60" w:type="dxa"/>
              <w:end w:w="70" w:type="dxa"/>
            </w:tcMar>
          </w:tcPr>
          <w:p>
            <w:pPr>
              <w:spacing w:after="0" w:before="0" w:line="240" w:lineRule="auto"/>
            </w:pPr>
            <w:r>
              <w:t>signature; acknowledgement; acceptance</w:t>
            </w:r>
          </w:p>
        </w:tc>
        <w:tc>
          <w:tcPr>
            <w:tcW w:type="dxa" w:w="3096"/>
            <w:vAlign w:val="top"/>
            <w:tcMar>
              <w:top w:w="60" w:type="dxa"/>
              <w:start w:w="70" w:type="dxa"/>
              <w:bottom w:w="60" w:type="dxa"/>
              <w:end w:w="70" w:type="dxa"/>
            </w:tcMar>
          </w:tcPr>
          <w:p>
            <w:pPr>
              <w:spacing w:after="0" w:before="0" w:line="240" w:lineRule="auto"/>
            </w:pPr>
            <w:r>
              <w:t>Theme 2: proceduralized autonomy</w:t>
            </w:r>
          </w:p>
        </w:tc>
      </w:tr>
      <w:tr>
        <w:trPr>
          <w:cantSplit/>
        </w:trPr>
        <w:tc>
          <w:tcPr>
            <w:tcW w:type="dxa" w:w="605"/>
            <w:vAlign w:val="top"/>
            <w:tcMar>
              <w:top w:w="60" w:type="dxa"/>
              <w:start w:w="70" w:type="dxa"/>
              <w:bottom w:w="60" w:type="dxa"/>
              <w:end w:w="70" w:type="dxa"/>
            </w:tcMar>
            <w:shd w:fill="F3F6F9"/>
          </w:tcPr>
          <w:p>
            <w:pPr>
              <w:spacing w:after="0" w:before="0" w:line="240" w:lineRule="auto"/>
            </w:pPr>
            <w:r>
              <w:t>D4</w:t>
            </w:r>
          </w:p>
        </w:tc>
        <w:tc>
          <w:tcPr>
            <w:tcW w:type="dxa" w:w="1944"/>
            <w:vAlign w:val="top"/>
            <w:tcMar>
              <w:top w:w="60" w:type="dxa"/>
              <w:start w:w="70" w:type="dxa"/>
              <w:bottom w:w="60" w:type="dxa"/>
              <w:end w:w="70" w:type="dxa"/>
            </w:tcMar>
            <w:shd w:fill="F3F6F9"/>
          </w:tcPr>
          <w:p>
            <w:pPr>
              <w:spacing w:after="0" w:before="0" w:line="240" w:lineRule="auto"/>
            </w:pPr>
            <w:r>
              <w:t>Order 29/2019, Annex 1, rights/complaints modules</w:t>
            </w:r>
          </w:p>
        </w:tc>
        <w:tc>
          <w:tcPr>
            <w:tcW w:type="dxa" w:w="5256"/>
            <w:vAlign w:val="top"/>
            <w:tcMar>
              <w:top w:w="60" w:type="dxa"/>
              <w:start w:w="70" w:type="dxa"/>
              <w:bottom w:w="60" w:type="dxa"/>
              <w:end w:w="70" w:type="dxa"/>
            </w:tcMar>
            <w:shd w:fill="F3F6F9"/>
          </w:tcPr>
          <w:p>
            <w:pPr>
              <w:spacing w:after="0" w:before="0" w:line="240" w:lineRule="auto"/>
            </w:pPr>
            <w:r>
              <w:t>Centres must maintain a complaints procedure and records and provide channels for beneficiaries to express dissatisfaction.</w:t>
            </w:r>
          </w:p>
        </w:tc>
        <w:tc>
          <w:tcPr>
            <w:tcW w:type="dxa" w:w="1656"/>
            <w:vAlign w:val="top"/>
            <w:tcMar>
              <w:top w:w="60" w:type="dxa"/>
              <w:start w:w="70" w:type="dxa"/>
              <w:bottom w:w="60" w:type="dxa"/>
              <w:end w:w="70" w:type="dxa"/>
            </w:tcMar>
            <w:shd w:fill="F3F6F9"/>
          </w:tcPr>
          <w:p>
            <w:pPr>
              <w:spacing w:after="0" w:before="0" w:line="240" w:lineRule="auto"/>
            </w:pPr>
            <w:r>
              <w:t>Procedural + evidentiary</w:t>
            </w:r>
          </w:p>
        </w:tc>
        <w:tc>
          <w:tcPr>
            <w:tcW w:type="dxa" w:w="1944"/>
            <w:vAlign w:val="top"/>
            <w:tcMar>
              <w:top w:w="60" w:type="dxa"/>
              <w:start w:w="70" w:type="dxa"/>
              <w:bottom w:w="60" w:type="dxa"/>
              <w:end w:w="70" w:type="dxa"/>
            </w:tcMar>
            <w:shd w:fill="F3F6F9"/>
          </w:tcPr>
          <w:p>
            <w:pPr>
              <w:spacing w:after="0" w:before="0" w:line="240" w:lineRule="auto"/>
            </w:pPr>
            <w:r>
              <w:t>complaints; register; accountability</w:t>
            </w:r>
          </w:p>
        </w:tc>
        <w:tc>
          <w:tcPr>
            <w:tcW w:type="dxa" w:w="3096"/>
            <w:vAlign w:val="top"/>
            <w:tcMar>
              <w:top w:w="60" w:type="dxa"/>
              <w:start w:w="70" w:type="dxa"/>
              <w:bottom w:w="60" w:type="dxa"/>
              <w:end w:w="70" w:type="dxa"/>
            </w:tcMar>
            <w:shd w:fill="F3F6F9"/>
          </w:tcPr>
          <w:p>
            <w:pPr>
              <w:spacing w:after="0" w:before="0" w:line="240" w:lineRule="auto"/>
            </w:pPr>
            <w:r>
              <w:t>Theme 1; Theme 4</w:t>
            </w:r>
          </w:p>
        </w:tc>
      </w:tr>
      <w:tr>
        <w:trPr>
          <w:cantSplit/>
        </w:trPr>
        <w:tc>
          <w:tcPr>
            <w:tcW w:type="dxa" w:w="605"/>
            <w:vAlign w:val="top"/>
            <w:tcMar>
              <w:top w:w="60" w:type="dxa"/>
              <w:start w:w="70" w:type="dxa"/>
              <w:bottom w:w="60" w:type="dxa"/>
              <w:end w:w="70" w:type="dxa"/>
            </w:tcMar>
          </w:tcPr>
          <w:p>
            <w:pPr>
              <w:spacing w:after="0" w:before="0" w:line="240" w:lineRule="auto"/>
            </w:pPr>
            <w:r>
              <w:t>D4</w:t>
            </w:r>
          </w:p>
        </w:tc>
        <w:tc>
          <w:tcPr>
            <w:tcW w:type="dxa" w:w="1944"/>
            <w:vAlign w:val="top"/>
            <w:tcMar>
              <w:top w:w="60" w:type="dxa"/>
              <w:start w:w="70" w:type="dxa"/>
              <w:bottom w:w="60" w:type="dxa"/>
              <w:end w:w="70" w:type="dxa"/>
            </w:tcMar>
          </w:tcPr>
          <w:p>
            <w:pPr>
              <w:spacing w:after="0" w:before="0" w:line="240" w:lineRule="auto"/>
            </w:pPr>
            <w:r>
              <w:t>Order 29/2019, Annex 1, satisfaction indicators</w:t>
            </w:r>
          </w:p>
        </w:tc>
        <w:tc>
          <w:tcPr>
            <w:tcW w:type="dxa" w:w="5256"/>
            <w:vAlign w:val="top"/>
            <w:tcMar>
              <w:top w:w="60" w:type="dxa"/>
              <w:start w:w="70" w:type="dxa"/>
              <w:bottom w:w="60" w:type="dxa"/>
              <w:end w:w="70" w:type="dxa"/>
            </w:tcMar>
          </w:tcPr>
          <w:p>
            <w:pPr>
              <w:spacing w:after="0" w:before="0" w:line="240" w:lineRule="auto"/>
            </w:pPr>
            <w:r>
              <w:t>Providers use satisfaction instruments to obtain beneficiaries’ views about services and staff attitudes.</w:t>
            </w:r>
          </w:p>
        </w:tc>
        <w:tc>
          <w:tcPr>
            <w:tcW w:type="dxa" w:w="1656"/>
            <w:vAlign w:val="top"/>
            <w:tcMar>
              <w:top w:w="60" w:type="dxa"/>
              <w:start w:w="70" w:type="dxa"/>
              <w:bottom w:w="60" w:type="dxa"/>
              <w:end w:w="70" w:type="dxa"/>
            </w:tcMar>
          </w:tcPr>
          <w:p>
            <w:pPr>
              <w:spacing w:after="0" w:before="0" w:line="240" w:lineRule="auto"/>
            </w:pPr>
            <w:r>
              <w:t>Evidentiary feedback mechanism</w:t>
            </w:r>
          </w:p>
        </w:tc>
        <w:tc>
          <w:tcPr>
            <w:tcW w:type="dxa" w:w="1944"/>
            <w:vAlign w:val="top"/>
            <w:tcMar>
              <w:top w:w="60" w:type="dxa"/>
              <w:start w:w="70" w:type="dxa"/>
              <w:bottom w:w="60" w:type="dxa"/>
              <w:end w:w="70" w:type="dxa"/>
            </w:tcMar>
          </w:tcPr>
          <w:p>
            <w:pPr>
              <w:spacing w:after="0" w:before="0" w:line="240" w:lineRule="auto"/>
            </w:pPr>
            <w:r>
              <w:t>satisfaction; feedback</w:t>
            </w:r>
          </w:p>
        </w:tc>
        <w:tc>
          <w:tcPr>
            <w:tcW w:type="dxa" w:w="3096"/>
            <w:vAlign w:val="top"/>
            <w:tcMar>
              <w:top w:w="60" w:type="dxa"/>
              <w:start w:w="70" w:type="dxa"/>
              <w:bottom w:w="60" w:type="dxa"/>
              <w:end w:w="70" w:type="dxa"/>
            </w:tcMar>
          </w:tcPr>
          <w:p>
            <w:pPr>
              <w:spacing w:after="0" w:before="0" w:line="240" w:lineRule="auto"/>
            </w:pPr>
            <w:r>
              <w:t>Theme 4: reactive/consultative participation</w:t>
            </w:r>
          </w:p>
        </w:tc>
      </w:tr>
      <w:tr>
        <w:trPr>
          <w:cantSplit/>
        </w:trPr>
        <w:tc>
          <w:tcPr>
            <w:tcW w:type="dxa" w:w="605"/>
            <w:vAlign w:val="top"/>
            <w:tcMar>
              <w:top w:w="60" w:type="dxa"/>
              <w:start w:w="70" w:type="dxa"/>
              <w:bottom w:w="60" w:type="dxa"/>
              <w:end w:w="70" w:type="dxa"/>
            </w:tcMar>
            <w:shd w:fill="F3F6F9"/>
          </w:tcPr>
          <w:p>
            <w:pPr>
              <w:spacing w:after="0" w:before="0" w:line="240" w:lineRule="auto"/>
            </w:pPr>
            <w:r>
              <w:t>D4</w:t>
            </w:r>
          </w:p>
        </w:tc>
        <w:tc>
          <w:tcPr>
            <w:tcW w:type="dxa" w:w="1944"/>
            <w:vAlign w:val="top"/>
            <w:tcMar>
              <w:top w:w="60" w:type="dxa"/>
              <w:start w:w="70" w:type="dxa"/>
              <w:bottom w:w="60" w:type="dxa"/>
              <w:end w:w="70" w:type="dxa"/>
            </w:tcMar>
            <w:shd w:fill="F3F6F9"/>
          </w:tcPr>
          <w:p>
            <w:pPr>
              <w:spacing w:after="0" w:before="0" w:line="240" w:lineRule="auto"/>
            </w:pPr>
            <w:r>
              <w:t>Order 29/2019, licensing/self-evaluation architecture</w:t>
            </w:r>
          </w:p>
        </w:tc>
        <w:tc>
          <w:tcPr>
            <w:tcW w:type="dxa" w:w="5256"/>
            <w:vAlign w:val="top"/>
            <w:tcMar>
              <w:top w:w="60" w:type="dxa"/>
              <w:start w:w="70" w:type="dxa"/>
              <w:bottom w:w="60" w:type="dxa"/>
              <w:end w:w="70" w:type="dxa"/>
            </w:tcMar>
            <w:shd w:fill="F3F6F9"/>
          </w:tcPr>
          <w:p>
            <w:pPr>
              <w:spacing w:after="0" w:before="0" w:line="240" w:lineRule="auto"/>
            </w:pPr>
            <w:r>
              <w:t>Compliance is demonstrated through self-evaluation forms, required documents, monitoring indicators, control indicators, and social-inspection review.</w:t>
            </w:r>
          </w:p>
        </w:tc>
        <w:tc>
          <w:tcPr>
            <w:tcW w:type="dxa" w:w="1656"/>
            <w:vAlign w:val="top"/>
            <w:tcMar>
              <w:top w:w="60" w:type="dxa"/>
              <w:start w:w="70" w:type="dxa"/>
              <w:bottom w:w="60" w:type="dxa"/>
              <w:end w:w="70" w:type="dxa"/>
            </w:tcMar>
            <w:shd w:fill="F3F6F9"/>
          </w:tcPr>
          <w:p>
            <w:pPr>
              <w:spacing w:after="0" w:before="0" w:line="240" w:lineRule="auto"/>
            </w:pPr>
            <w:r>
              <w:t>Enforceable / inspectable</w:t>
            </w:r>
          </w:p>
        </w:tc>
        <w:tc>
          <w:tcPr>
            <w:tcW w:type="dxa" w:w="1944"/>
            <w:vAlign w:val="top"/>
            <w:tcMar>
              <w:top w:w="60" w:type="dxa"/>
              <w:start w:w="70" w:type="dxa"/>
              <w:bottom w:w="60" w:type="dxa"/>
              <w:end w:w="70" w:type="dxa"/>
            </w:tcMar>
            <w:shd w:fill="F3F6F9"/>
          </w:tcPr>
          <w:p>
            <w:pPr>
              <w:spacing w:after="0" w:before="0" w:line="240" w:lineRule="auto"/>
            </w:pPr>
            <w:r>
              <w:t>inspection; documentation; compliance</w:t>
            </w:r>
          </w:p>
        </w:tc>
        <w:tc>
          <w:tcPr>
            <w:tcW w:type="dxa" w:w="3096"/>
            <w:vAlign w:val="top"/>
            <w:tcMar>
              <w:top w:w="60" w:type="dxa"/>
              <w:start w:w="70" w:type="dxa"/>
              <w:bottom w:w="60" w:type="dxa"/>
              <w:end w:w="70" w:type="dxa"/>
            </w:tcMar>
            <w:shd w:fill="F3F6F9"/>
          </w:tcPr>
          <w:p>
            <w:pPr>
              <w:spacing w:after="0" w:before="0" w:line="240" w:lineRule="auto"/>
            </w:pPr>
            <w:r>
              <w:t>Theme 3: regulatory density</w:t>
            </w:r>
          </w:p>
        </w:tc>
      </w:tr>
      <w:tr>
        <w:trPr>
          <w:cantSplit/>
        </w:trPr>
        <w:tc>
          <w:tcPr>
            <w:tcW w:type="dxa" w:w="605"/>
            <w:vAlign w:val="top"/>
            <w:tcMar>
              <w:top w:w="60" w:type="dxa"/>
              <w:start w:w="70" w:type="dxa"/>
              <w:bottom w:w="60" w:type="dxa"/>
              <w:end w:w="70" w:type="dxa"/>
            </w:tcMar>
          </w:tcPr>
          <w:p>
            <w:pPr>
              <w:spacing w:after="0" w:before="0" w:line="240" w:lineRule="auto"/>
            </w:pPr>
            <w:r>
              <w:t>D5</w:t>
            </w:r>
          </w:p>
        </w:tc>
        <w:tc>
          <w:tcPr>
            <w:tcW w:type="dxa" w:w="1944"/>
            <w:vAlign w:val="top"/>
            <w:tcMar>
              <w:top w:w="60" w:type="dxa"/>
              <w:start w:w="70" w:type="dxa"/>
              <w:bottom w:w="60" w:type="dxa"/>
              <w:end w:w="70" w:type="dxa"/>
            </w:tcMar>
          </w:tcPr>
          <w:p>
            <w:pPr>
              <w:spacing w:after="0" w:before="0" w:line="240" w:lineRule="auto"/>
            </w:pPr>
            <w:r>
              <w:t>Order 2489/2023, Art 2</w:t>
            </w:r>
          </w:p>
        </w:tc>
        <w:tc>
          <w:tcPr>
            <w:tcW w:type="dxa" w:w="5256"/>
            <w:vAlign w:val="top"/>
            <w:tcMar>
              <w:top w:w="60" w:type="dxa"/>
              <w:start w:w="70" w:type="dxa"/>
              <w:bottom w:w="60" w:type="dxa"/>
              <w:end w:w="70" w:type="dxa"/>
            </w:tcMar>
          </w:tcPr>
          <w:p>
            <w:pPr>
              <w:spacing w:after="0" w:before="0" w:line="240" w:lineRule="auto"/>
            </w:pPr>
            <w:r>
              <w:t>Case management coordinates integrated assessment, planning, intervention, monitoring, and impact evaluation and applies throughout the service process; monitoring indicators are verified by social inspectors.</w:t>
            </w:r>
          </w:p>
        </w:tc>
        <w:tc>
          <w:tcPr>
            <w:tcW w:type="dxa" w:w="1656"/>
            <w:vAlign w:val="top"/>
            <w:tcMar>
              <w:top w:w="60" w:type="dxa"/>
              <w:start w:w="70" w:type="dxa"/>
              <w:bottom w:w="60" w:type="dxa"/>
              <w:end w:w="70" w:type="dxa"/>
            </w:tcMar>
          </w:tcPr>
          <w:p>
            <w:pPr>
              <w:spacing w:after="0" w:before="0" w:line="240" w:lineRule="auto"/>
            </w:pPr>
            <w:r>
              <w:t>Procedural + enforceable</w:t>
            </w:r>
          </w:p>
        </w:tc>
        <w:tc>
          <w:tcPr>
            <w:tcW w:type="dxa" w:w="1944"/>
            <w:vAlign w:val="top"/>
            <w:tcMar>
              <w:top w:w="60" w:type="dxa"/>
              <w:start w:w="70" w:type="dxa"/>
              <w:bottom w:w="60" w:type="dxa"/>
              <w:end w:w="70" w:type="dxa"/>
            </w:tcMar>
          </w:tcPr>
          <w:p>
            <w:pPr>
              <w:spacing w:after="0" w:before="0" w:line="240" w:lineRule="auto"/>
            </w:pPr>
            <w:r>
              <w:t>coordination; monitoring; inspection</w:t>
            </w:r>
          </w:p>
        </w:tc>
        <w:tc>
          <w:tcPr>
            <w:tcW w:type="dxa" w:w="3096"/>
            <w:vAlign w:val="top"/>
            <w:tcMar>
              <w:top w:w="60" w:type="dxa"/>
              <w:start w:w="70" w:type="dxa"/>
              <w:bottom w:w="60" w:type="dxa"/>
              <w:end w:w="70" w:type="dxa"/>
            </w:tcMar>
          </w:tcPr>
          <w:p>
            <w:pPr>
              <w:spacing w:after="0" w:before="0" w:line="240" w:lineRule="auto"/>
            </w:pPr>
            <w:r>
              <w:t>Theme 1; Theme 3</w:t>
            </w:r>
          </w:p>
        </w:tc>
      </w:tr>
      <w:tr>
        <w:trPr>
          <w:cantSplit/>
        </w:trPr>
        <w:tc>
          <w:tcPr>
            <w:tcW w:type="dxa" w:w="605"/>
            <w:vAlign w:val="top"/>
            <w:tcMar>
              <w:top w:w="60" w:type="dxa"/>
              <w:start w:w="70" w:type="dxa"/>
              <w:bottom w:w="60" w:type="dxa"/>
              <w:end w:w="70" w:type="dxa"/>
            </w:tcMar>
            <w:shd w:fill="F3F6F9"/>
          </w:tcPr>
          <w:p>
            <w:pPr>
              <w:spacing w:after="0" w:before="0" w:line="240" w:lineRule="auto"/>
            </w:pPr>
            <w:r>
              <w:t>D5</w:t>
            </w:r>
          </w:p>
        </w:tc>
        <w:tc>
          <w:tcPr>
            <w:tcW w:type="dxa" w:w="1944"/>
            <w:vAlign w:val="top"/>
            <w:tcMar>
              <w:top w:w="60" w:type="dxa"/>
              <w:start w:w="70" w:type="dxa"/>
              <w:bottom w:w="60" w:type="dxa"/>
              <w:end w:w="70" w:type="dxa"/>
            </w:tcMar>
            <w:shd w:fill="F3F6F9"/>
          </w:tcPr>
          <w:p>
            <w:pPr>
              <w:spacing w:after="0" w:before="0" w:line="240" w:lineRule="auto"/>
            </w:pPr>
            <w:r>
              <w:t>Order 2489/2023, assessment standard</w:t>
            </w:r>
          </w:p>
        </w:tc>
        <w:tc>
          <w:tcPr>
            <w:tcW w:type="dxa" w:w="5256"/>
            <w:vAlign w:val="top"/>
            <w:tcMar>
              <w:top w:w="60" w:type="dxa"/>
              <w:start w:w="70" w:type="dxa"/>
              <w:bottom w:w="60" w:type="dxa"/>
              <w:end w:w="70" w:type="dxa"/>
            </w:tcMar>
            <w:shd w:fill="F3F6F9"/>
          </w:tcPr>
          <w:p>
            <w:pPr>
              <w:spacing w:after="0" w:before="0" w:line="240" w:lineRule="auto"/>
            </w:pPr>
            <w:r>
              <w:t>The case manager involves the older person continuously in information gathering and decision-making so that the person can identify goals, strengths, and difficulties.</w:t>
            </w:r>
          </w:p>
        </w:tc>
        <w:tc>
          <w:tcPr>
            <w:tcW w:type="dxa" w:w="1656"/>
            <w:vAlign w:val="top"/>
            <w:tcMar>
              <w:top w:w="60" w:type="dxa"/>
              <w:start w:w="70" w:type="dxa"/>
              <w:bottom w:w="60" w:type="dxa"/>
              <w:end w:w="70" w:type="dxa"/>
            </w:tcMar>
            <w:shd w:fill="F3F6F9"/>
          </w:tcPr>
          <w:p>
            <w:pPr>
              <w:spacing w:after="0" w:before="0" w:line="240" w:lineRule="auto"/>
            </w:pPr>
            <w:r>
              <w:t>Supported participation safeguard</w:t>
            </w:r>
          </w:p>
        </w:tc>
        <w:tc>
          <w:tcPr>
            <w:tcW w:type="dxa" w:w="1944"/>
            <w:vAlign w:val="top"/>
            <w:tcMar>
              <w:top w:w="60" w:type="dxa"/>
              <w:start w:w="70" w:type="dxa"/>
              <w:bottom w:w="60" w:type="dxa"/>
              <w:end w:w="70" w:type="dxa"/>
            </w:tcMar>
            <w:shd w:fill="F3F6F9"/>
          </w:tcPr>
          <w:p>
            <w:pPr>
              <w:spacing w:after="0" w:before="0" w:line="240" w:lineRule="auto"/>
            </w:pPr>
            <w:r>
              <w:t>direct involvement; goals; strengths; decision-making</w:t>
            </w:r>
          </w:p>
        </w:tc>
        <w:tc>
          <w:tcPr>
            <w:tcW w:type="dxa" w:w="3096"/>
            <w:vAlign w:val="top"/>
            <w:tcMar>
              <w:top w:w="60" w:type="dxa"/>
              <w:start w:w="70" w:type="dxa"/>
              <w:bottom w:w="60" w:type="dxa"/>
              <w:end w:w="70" w:type="dxa"/>
            </w:tcMar>
            <w:shd w:fill="F3F6F9"/>
          </w:tcPr>
          <w:p>
            <w:pPr>
              <w:spacing w:after="0" w:before="0" w:line="240" w:lineRule="auto"/>
            </w:pPr>
            <w:r>
              <w:t>Theme 1; qualifying evidence</w:t>
            </w:r>
          </w:p>
        </w:tc>
      </w:tr>
      <w:tr>
        <w:trPr>
          <w:cantSplit/>
        </w:trPr>
        <w:tc>
          <w:tcPr>
            <w:tcW w:type="dxa" w:w="605"/>
            <w:vAlign w:val="top"/>
            <w:tcMar>
              <w:top w:w="60" w:type="dxa"/>
              <w:start w:w="70" w:type="dxa"/>
              <w:bottom w:w="60" w:type="dxa"/>
              <w:end w:w="70" w:type="dxa"/>
            </w:tcMar>
          </w:tcPr>
          <w:p>
            <w:pPr>
              <w:spacing w:after="0" w:before="0" w:line="240" w:lineRule="auto"/>
            </w:pPr>
            <w:r>
              <w:t>D5</w:t>
            </w:r>
          </w:p>
        </w:tc>
        <w:tc>
          <w:tcPr>
            <w:tcW w:type="dxa" w:w="1944"/>
            <w:vAlign w:val="top"/>
            <w:tcMar>
              <w:top w:w="60" w:type="dxa"/>
              <w:start w:w="70" w:type="dxa"/>
              <w:bottom w:w="60" w:type="dxa"/>
              <w:end w:w="70" w:type="dxa"/>
            </w:tcMar>
          </w:tcPr>
          <w:p>
            <w:pPr>
              <w:spacing w:after="0" w:before="0" w:line="240" w:lineRule="auto"/>
            </w:pPr>
            <w:r>
              <w:t>Order 2489/2023, model individualized plan</w:t>
            </w:r>
          </w:p>
        </w:tc>
        <w:tc>
          <w:tcPr>
            <w:tcW w:type="dxa" w:w="5256"/>
            <w:vAlign w:val="top"/>
            <w:tcMar>
              <w:top w:w="60" w:type="dxa"/>
              <w:start w:w="70" w:type="dxa"/>
              <w:bottom w:w="60" w:type="dxa"/>
              <w:end w:w="70" w:type="dxa"/>
            </w:tcMar>
          </w:tcPr>
          <w:p>
            <w:pPr>
              <w:spacing w:after="0" w:before="0" w:line="240" w:lineRule="auto"/>
            </w:pPr>
            <w:r>
              <w:t>Plan objectives are linked to the person’s resources, preferred way of living, future plans, wishes, and preferences; the model also includes beneficiary/representative signatures.</w:t>
            </w:r>
          </w:p>
        </w:tc>
        <w:tc>
          <w:tcPr>
            <w:tcW w:type="dxa" w:w="1656"/>
            <w:vAlign w:val="top"/>
            <w:tcMar>
              <w:top w:w="60" w:type="dxa"/>
              <w:start w:w="70" w:type="dxa"/>
              <w:bottom w:w="60" w:type="dxa"/>
              <w:end w:w="70" w:type="dxa"/>
            </w:tcMar>
          </w:tcPr>
          <w:p>
            <w:pPr>
              <w:spacing w:after="0" w:before="0" w:line="240" w:lineRule="auto"/>
            </w:pPr>
            <w:r>
              <w:t>Procedural + evidentiary</w:t>
            </w:r>
          </w:p>
        </w:tc>
        <w:tc>
          <w:tcPr>
            <w:tcW w:type="dxa" w:w="1944"/>
            <w:vAlign w:val="top"/>
            <w:tcMar>
              <w:top w:w="60" w:type="dxa"/>
              <w:start w:w="70" w:type="dxa"/>
              <w:bottom w:w="60" w:type="dxa"/>
              <w:end w:w="70" w:type="dxa"/>
            </w:tcMar>
          </w:tcPr>
          <w:p>
            <w:pPr>
              <w:spacing w:after="0" w:before="0" w:line="240" w:lineRule="auto"/>
            </w:pPr>
            <w:r>
              <w:t>preferences; life goals; signature; representative</w:t>
            </w:r>
          </w:p>
        </w:tc>
        <w:tc>
          <w:tcPr>
            <w:tcW w:type="dxa" w:w="3096"/>
            <w:vAlign w:val="top"/>
            <w:tcMar>
              <w:top w:w="60" w:type="dxa"/>
              <w:start w:w="70" w:type="dxa"/>
              <w:bottom w:w="60" w:type="dxa"/>
              <w:end w:w="70" w:type="dxa"/>
            </w:tcMar>
          </w:tcPr>
          <w:p>
            <w:pPr>
              <w:spacing w:after="0" w:before="0" w:line="240" w:lineRule="auto"/>
            </w:pPr>
            <w:r>
              <w:t>Theme 1 and Theme 2 tension</w:t>
            </w:r>
          </w:p>
        </w:tc>
      </w:tr>
      <w:tr>
        <w:trPr>
          <w:cantSplit/>
        </w:trPr>
        <w:tc>
          <w:tcPr>
            <w:tcW w:type="dxa" w:w="605"/>
            <w:vAlign w:val="top"/>
            <w:tcMar>
              <w:top w:w="60" w:type="dxa"/>
              <w:start w:w="70" w:type="dxa"/>
              <w:bottom w:w="60" w:type="dxa"/>
              <w:end w:w="70" w:type="dxa"/>
            </w:tcMar>
            <w:shd w:fill="F3F6F9"/>
          </w:tcPr>
          <w:p>
            <w:pPr>
              <w:spacing w:after="0" w:before="0" w:line="240" w:lineRule="auto"/>
            </w:pPr>
            <w:r>
              <w:t>D5</w:t>
            </w:r>
          </w:p>
        </w:tc>
        <w:tc>
          <w:tcPr>
            <w:tcW w:type="dxa" w:w="1944"/>
            <w:vAlign w:val="top"/>
            <w:tcMar>
              <w:top w:w="60" w:type="dxa"/>
              <w:start w:w="70" w:type="dxa"/>
              <w:bottom w:w="60" w:type="dxa"/>
              <w:end w:w="70" w:type="dxa"/>
            </w:tcMar>
            <w:shd w:fill="F3F6F9"/>
          </w:tcPr>
          <w:p>
            <w:pPr>
              <w:spacing w:after="0" w:before="0" w:line="240" w:lineRule="auto"/>
            </w:pPr>
            <w:r>
              <w:t>Order 2489/2023, risk and monitoring provisions</w:t>
            </w:r>
          </w:p>
        </w:tc>
        <w:tc>
          <w:tcPr>
            <w:tcW w:type="dxa" w:w="5256"/>
            <w:vAlign w:val="top"/>
            <w:tcMar>
              <w:top w:w="60" w:type="dxa"/>
              <w:start w:w="70" w:type="dxa"/>
              <w:bottom w:w="60" w:type="dxa"/>
              <w:end w:w="70" w:type="dxa"/>
            </w:tcMar>
            <w:shd w:fill="F3F6F9"/>
          </w:tcPr>
          <w:p>
            <w:pPr>
              <w:spacing w:after="0" w:before="0" w:line="240" w:lineRule="auto"/>
            </w:pPr>
            <w:r>
              <w:t>Risk identification and intervention are formally documented and integrated with case monitoring and inspection.</w:t>
            </w:r>
          </w:p>
        </w:tc>
        <w:tc>
          <w:tcPr>
            <w:tcW w:type="dxa" w:w="1656"/>
            <w:vAlign w:val="top"/>
            <w:tcMar>
              <w:top w:w="60" w:type="dxa"/>
              <w:start w:w="70" w:type="dxa"/>
              <w:bottom w:w="60" w:type="dxa"/>
              <w:end w:w="70" w:type="dxa"/>
            </w:tcMar>
            <w:shd w:fill="F3F6F9"/>
          </w:tcPr>
          <w:p>
            <w:pPr>
              <w:spacing w:after="0" w:before="0" w:line="240" w:lineRule="auto"/>
            </w:pPr>
            <w:r>
              <w:t>Procedural + enforceable</w:t>
            </w:r>
          </w:p>
        </w:tc>
        <w:tc>
          <w:tcPr>
            <w:tcW w:type="dxa" w:w="1944"/>
            <w:vAlign w:val="top"/>
            <w:tcMar>
              <w:top w:w="60" w:type="dxa"/>
              <w:start w:w="70" w:type="dxa"/>
              <w:bottom w:w="60" w:type="dxa"/>
              <w:end w:w="70" w:type="dxa"/>
            </w:tcMar>
            <w:shd w:fill="F3F6F9"/>
          </w:tcPr>
          <w:p>
            <w:pPr>
              <w:spacing w:after="0" w:before="0" w:line="240" w:lineRule="auto"/>
            </w:pPr>
            <w:r>
              <w:t>risk; monitoring; documentation</w:t>
            </w:r>
          </w:p>
        </w:tc>
        <w:tc>
          <w:tcPr>
            <w:tcW w:type="dxa" w:w="3096"/>
            <w:vAlign w:val="top"/>
            <w:tcMar>
              <w:top w:w="60" w:type="dxa"/>
              <w:start w:w="70" w:type="dxa"/>
              <w:bottom w:w="60" w:type="dxa"/>
              <w:end w:w="70" w:type="dxa"/>
            </w:tcMar>
            <w:shd w:fill="F3F6F9"/>
          </w:tcPr>
          <w:p>
            <w:pPr>
              <w:spacing w:after="0" w:before="0" w:line="240" w:lineRule="auto"/>
            </w:pPr>
            <w:r>
              <w:t>Theme 3</w:t>
            </w:r>
          </w:p>
        </w:tc>
      </w:tr>
      <w:tr>
        <w:trPr>
          <w:cantSplit/>
        </w:trPr>
        <w:tc>
          <w:tcPr>
            <w:tcW w:type="dxa" w:w="605"/>
            <w:vAlign w:val="top"/>
            <w:tcMar>
              <w:top w:w="60" w:type="dxa"/>
              <w:start w:w="70" w:type="dxa"/>
              <w:bottom w:w="60" w:type="dxa"/>
              <w:end w:w="70" w:type="dxa"/>
            </w:tcMar>
          </w:tcPr>
          <w:p>
            <w:pPr>
              <w:spacing w:after="0" w:before="0" w:line="240" w:lineRule="auto"/>
            </w:pPr>
            <w:r>
              <w:t>D6</w:t>
            </w:r>
          </w:p>
        </w:tc>
        <w:tc>
          <w:tcPr>
            <w:tcW w:type="dxa" w:w="1944"/>
            <w:vAlign w:val="top"/>
            <w:tcMar>
              <w:top w:w="60" w:type="dxa"/>
              <w:start w:w="70" w:type="dxa"/>
              <w:bottom w:w="60" w:type="dxa"/>
              <w:end w:w="70" w:type="dxa"/>
            </w:tcMar>
          </w:tcPr>
          <w:p>
            <w:pPr>
              <w:spacing w:after="0" w:before="0" w:line="240" w:lineRule="auto"/>
            </w:pPr>
            <w:r>
              <w:t>Order 1923/2024, Arts 2–5</w:t>
            </w:r>
          </w:p>
        </w:tc>
        <w:tc>
          <w:tcPr>
            <w:tcW w:type="dxa" w:w="5256"/>
            <w:vAlign w:val="top"/>
            <w:tcMar>
              <w:top w:w="60" w:type="dxa"/>
              <w:start w:w="70" w:type="dxa"/>
              <w:bottom w:w="60" w:type="dxa"/>
              <w:end w:w="70" w:type="dxa"/>
            </w:tcMar>
          </w:tcPr>
          <w:p>
            <w:pPr>
              <w:spacing w:after="0" w:before="0" w:line="240" w:lineRule="auto"/>
            </w:pPr>
            <w:r>
              <w:t>Local authorities assess community needs, estimate the number of older people requiring support, identify risks, plan services, and draw on administrative, statistical, survey, and consultation sources.</w:t>
            </w:r>
          </w:p>
        </w:tc>
        <w:tc>
          <w:tcPr>
            <w:tcW w:type="dxa" w:w="1656"/>
            <w:vAlign w:val="top"/>
            <w:tcMar>
              <w:top w:w="60" w:type="dxa"/>
              <w:start w:w="70" w:type="dxa"/>
              <w:bottom w:w="60" w:type="dxa"/>
              <w:end w:w="70" w:type="dxa"/>
            </w:tcMar>
          </w:tcPr>
          <w:p>
            <w:pPr>
              <w:spacing w:after="0" w:before="0" w:line="240" w:lineRule="auto"/>
            </w:pPr>
            <w:r>
              <w:t>Planning / evidentiary</w:t>
            </w:r>
          </w:p>
        </w:tc>
        <w:tc>
          <w:tcPr>
            <w:tcW w:type="dxa" w:w="1944"/>
            <w:vAlign w:val="top"/>
            <w:tcMar>
              <w:top w:w="60" w:type="dxa"/>
              <w:start w:w="70" w:type="dxa"/>
              <w:bottom w:w="60" w:type="dxa"/>
              <w:end w:w="70" w:type="dxa"/>
            </w:tcMar>
          </w:tcPr>
          <w:p>
            <w:pPr>
              <w:spacing w:after="0" w:before="0" w:line="240" w:lineRule="auto"/>
            </w:pPr>
            <w:r>
              <w:t>population needs; planning; risk; consultation</w:t>
            </w:r>
          </w:p>
        </w:tc>
        <w:tc>
          <w:tcPr>
            <w:tcW w:type="dxa" w:w="3096"/>
            <w:vAlign w:val="top"/>
            <w:tcMar>
              <w:top w:w="60" w:type="dxa"/>
              <w:start w:w="70" w:type="dxa"/>
              <w:bottom w:w="60" w:type="dxa"/>
              <w:end w:w="70" w:type="dxa"/>
            </w:tcMar>
          </w:tcPr>
          <w:p>
            <w:pPr>
              <w:spacing w:after="0" w:before="0" w:line="240" w:lineRule="auto"/>
            </w:pPr>
            <w:r>
              <w:t>Macro/meso system context</w:t>
            </w:r>
          </w:p>
        </w:tc>
      </w:tr>
      <w:tr>
        <w:trPr>
          <w:cantSplit/>
        </w:trPr>
        <w:tc>
          <w:tcPr>
            <w:tcW w:type="dxa" w:w="605"/>
            <w:vAlign w:val="top"/>
            <w:tcMar>
              <w:top w:w="60" w:type="dxa"/>
              <w:start w:w="70" w:type="dxa"/>
              <w:bottom w:w="60" w:type="dxa"/>
              <w:end w:w="70" w:type="dxa"/>
            </w:tcMar>
            <w:shd w:fill="F3F6F9"/>
          </w:tcPr>
          <w:p>
            <w:pPr>
              <w:spacing w:after="0" w:before="0" w:line="240" w:lineRule="auto"/>
            </w:pPr>
            <w:r>
              <w:t>D6</w:t>
            </w:r>
          </w:p>
        </w:tc>
        <w:tc>
          <w:tcPr>
            <w:tcW w:type="dxa" w:w="1944"/>
            <w:vAlign w:val="top"/>
            <w:tcMar>
              <w:top w:w="60" w:type="dxa"/>
              <w:start w:w="70" w:type="dxa"/>
              <w:bottom w:w="60" w:type="dxa"/>
              <w:end w:w="70" w:type="dxa"/>
            </w:tcMar>
            <w:shd w:fill="F3F6F9"/>
          </w:tcPr>
          <w:p>
            <w:pPr>
              <w:spacing w:after="0" w:before="0" w:line="240" w:lineRule="auto"/>
            </w:pPr>
            <w:r>
              <w:t>Order 1923/2024, Art 1 and source provisions</w:t>
            </w:r>
          </w:p>
        </w:tc>
        <w:tc>
          <w:tcPr>
            <w:tcW w:type="dxa" w:w="5256"/>
            <w:vAlign w:val="top"/>
            <w:tcMar>
              <w:top w:w="60" w:type="dxa"/>
              <w:start w:w="70" w:type="dxa"/>
              <w:bottom w:w="60" w:type="dxa"/>
              <w:end w:w="70" w:type="dxa"/>
            </w:tcMar>
            <w:shd w:fill="F3F6F9"/>
          </w:tcPr>
          <w:p>
            <w:pPr>
              <w:spacing w:after="0" w:before="0" w:line="240" w:lineRule="auto"/>
            </w:pPr>
            <w:r>
              <w:t>The methodology references consultation with organizations representing older people and service providers as part of local social-service strategy and annual planning.</w:t>
            </w:r>
          </w:p>
        </w:tc>
        <w:tc>
          <w:tcPr>
            <w:tcW w:type="dxa" w:w="1656"/>
            <w:vAlign w:val="top"/>
            <w:tcMar>
              <w:top w:w="60" w:type="dxa"/>
              <w:start w:w="70" w:type="dxa"/>
              <w:bottom w:w="60" w:type="dxa"/>
              <w:end w:w="70" w:type="dxa"/>
            </w:tcMar>
            <w:shd w:fill="F3F6F9"/>
          </w:tcPr>
          <w:p>
            <w:pPr>
              <w:spacing w:after="0" w:before="0" w:line="240" w:lineRule="auto"/>
            </w:pPr>
            <w:r>
              <w:t>Procedural participation</w:t>
            </w:r>
          </w:p>
        </w:tc>
        <w:tc>
          <w:tcPr>
            <w:tcW w:type="dxa" w:w="1944"/>
            <w:vAlign w:val="top"/>
            <w:tcMar>
              <w:top w:w="60" w:type="dxa"/>
              <w:start w:w="70" w:type="dxa"/>
              <w:bottom w:w="60" w:type="dxa"/>
              <w:end w:w="70" w:type="dxa"/>
            </w:tcMar>
            <w:shd w:fill="F3F6F9"/>
          </w:tcPr>
          <w:p>
            <w:pPr>
              <w:spacing w:after="0" w:before="0" w:line="240" w:lineRule="auto"/>
            </w:pPr>
            <w:r>
              <w:t>collective consultation; planning</w:t>
            </w:r>
          </w:p>
        </w:tc>
        <w:tc>
          <w:tcPr>
            <w:tcW w:type="dxa" w:w="3096"/>
            <w:vAlign w:val="top"/>
            <w:tcMar>
              <w:top w:w="60" w:type="dxa"/>
              <w:start w:w="70" w:type="dxa"/>
              <w:bottom w:w="60" w:type="dxa"/>
              <w:end w:w="70" w:type="dxa"/>
            </w:tcMar>
            <w:shd w:fill="F3F6F9"/>
          </w:tcPr>
          <w:p>
            <w:pPr>
              <w:spacing w:after="0" w:before="0" w:line="240" w:lineRule="auto"/>
            </w:pPr>
            <w:r>
              <w:t>Theme 4 qualifying evidence</w:t>
            </w:r>
          </w:p>
        </w:tc>
      </w:tr>
      <w:tr>
        <w:trPr>
          <w:cantSplit/>
        </w:trPr>
        <w:tc>
          <w:tcPr>
            <w:tcW w:type="dxa" w:w="605"/>
            <w:vAlign w:val="top"/>
            <w:tcMar>
              <w:top w:w="60" w:type="dxa"/>
              <w:start w:w="70" w:type="dxa"/>
              <w:bottom w:w="60" w:type="dxa"/>
              <w:end w:w="70" w:type="dxa"/>
            </w:tcMar>
          </w:tcPr>
          <w:p>
            <w:pPr>
              <w:spacing w:after="0" w:before="0" w:line="240" w:lineRule="auto"/>
            </w:pPr>
            <w:r>
              <w:t>D7</w:t>
            </w:r>
          </w:p>
        </w:tc>
        <w:tc>
          <w:tcPr>
            <w:tcW w:type="dxa" w:w="1944"/>
            <w:vAlign w:val="top"/>
            <w:tcMar>
              <w:top w:w="60" w:type="dxa"/>
              <w:start w:w="70" w:type="dxa"/>
              <w:bottom w:w="60" w:type="dxa"/>
              <w:end w:w="70" w:type="dxa"/>
            </w:tcMar>
          </w:tcPr>
          <w:p>
            <w:pPr>
              <w:spacing w:after="0" w:before="0" w:line="240" w:lineRule="auto"/>
            </w:pPr>
            <w:r>
              <w:t>Order 1126/2025, Art 1 and Annex 1</w:t>
            </w:r>
          </w:p>
        </w:tc>
        <w:tc>
          <w:tcPr>
            <w:tcW w:type="dxa" w:w="5256"/>
            <w:vAlign w:val="top"/>
            <w:tcMar>
              <w:top w:w="60" w:type="dxa"/>
              <w:start w:w="70" w:type="dxa"/>
              <w:bottom w:w="60" w:type="dxa"/>
              <w:end w:w="70" w:type="dxa"/>
            </w:tcMar>
          </w:tcPr>
          <w:p>
            <w:pPr>
              <w:spacing w:after="0" w:before="0" w:line="240" w:lineRule="auto"/>
            </w:pPr>
            <w:r>
              <w:t>The framework social-services contract is concluded between the provider and the beneficiary or, where applicable, the legal representative; providers adapt the model within mandatory quality standards.</w:t>
            </w:r>
          </w:p>
        </w:tc>
        <w:tc>
          <w:tcPr>
            <w:tcW w:type="dxa" w:w="1656"/>
            <w:vAlign w:val="top"/>
            <w:tcMar>
              <w:top w:w="60" w:type="dxa"/>
              <w:start w:w="70" w:type="dxa"/>
              <w:bottom w:w="60" w:type="dxa"/>
              <w:end w:w="70" w:type="dxa"/>
            </w:tcMar>
          </w:tcPr>
          <w:p>
            <w:pPr>
              <w:spacing w:after="0" w:before="0" w:line="240" w:lineRule="auto"/>
            </w:pPr>
            <w:r>
              <w:t>Contractual + procedural</w:t>
            </w:r>
          </w:p>
        </w:tc>
        <w:tc>
          <w:tcPr>
            <w:tcW w:type="dxa" w:w="1944"/>
            <w:vAlign w:val="top"/>
            <w:tcMar>
              <w:top w:w="60" w:type="dxa"/>
              <w:start w:w="70" w:type="dxa"/>
              <w:bottom w:w="60" w:type="dxa"/>
              <w:end w:w="70" w:type="dxa"/>
            </w:tcMar>
          </w:tcPr>
          <w:p>
            <w:pPr>
              <w:spacing w:after="0" w:before="0" w:line="240" w:lineRule="auto"/>
            </w:pPr>
            <w:r>
              <w:t>beneficiary or representative; duties; contract</w:t>
            </w:r>
          </w:p>
        </w:tc>
        <w:tc>
          <w:tcPr>
            <w:tcW w:type="dxa" w:w="3096"/>
            <w:vAlign w:val="top"/>
            <w:tcMar>
              <w:top w:w="60" w:type="dxa"/>
              <w:start w:w="70" w:type="dxa"/>
              <w:bottom w:w="60" w:type="dxa"/>
              <w:end w:w="70" w:type="dxa"/>
            </w:tcMar>
          </w:tcPr>
          <w:p>
            <w:pPr>
              <w:spacing w:after="0" w:before="0" w:line="240" w:lineRule="auto"/>
            </w:pPr>
            <w:r>
              <w:t>Theme 2; Theme 5</w:t>
            </w:r>
          </w:p>
        </w:tc>
      </w:tr>
      <w:tr>
        <w:trPr>
          <w:cantSplit/>
        </w:trPr>
        <w:tc>
          <w:tcPr>
            <w:tcW w:type="dxa" w:w="605"/>
            <w:vAlign w:val="top"/>
            <w:tcMar>
              <w:top w:w="60" w:type="dxa"/>
              <w:start w:w="70" w:type="dxa"/>
              <w:bottom w:w="60" w:type="dxa"/>
              <w:end w:w="70" w:type="dxa"/>
            </w:tcMar>
            <w:shd w:fill="F3F6F9"/>
          </w:tcPr>
          <w:p>
            <w:pPr>
              <w:spacing w:after="0" w:before="0" w:line="240" w:lineRule="auto"/>
            </w:pPr>
            <w:r>
              <w:t>D7</w:t>
            </w:r>
          </w:p>
        </w:tc>
        <w:tc>
          <w:tcPr>
            <w:tcW w:type="dxa" w:w="1944"/>
            <w:vAlign w:val="top"/>
            <w:tcMar>
              <w:top w:w="60" w:type="dxa"/>
              <w:start w:w="70" w:type="dxa"/>
              <w:bottom w:w="60" w:type="dxa"/>
              <w:end w:w="70" w:type="dxa"/>
            </w:tcMar>
            <w:shd w:fill="F3F6F9"/>
          </w:tcPr>
          <w:p>
            <w:pPr>
              <w:spacing w:after="0" w:before="0" w:line="240" w:lineRule="auto"/>
            </w:pPr>
            <w:r>
              <w:t>Order 1126/2025, reporting and monitoring annexes</w:t>
            </w:r>
          </w:p>
        </w:tc>
        <w:tc>
          <w:tcPr>
            <w:tcW w:type="dxa" w:w="5256"/>
            <w:vAlign w:val="top"/>
            <w:tcMar>
              <w:top w:w="60" w:type="dxa"/>
              <w:start w:w="70" w:type="dxa"/>
              <w:bottom w:w="60" w:type="dxa"/>
              <w:end w:w="70" w:type="dxa"/>
            </w:tcMar>
            <w:shd w:fill="F3F6F9"/>
          </w:tcPr>
          <w:p>
            <w:pPr>
              <w:spacing w:after="0" w:before="0" w:line="240" w:lineRule="auto"/>
            </w:pPr>
            <w:r>
              <w:t>Providers report contract status and plan implementation, while authorities use standardized indicators to monitor services and budget needs.</w:t>
            </w:r>
          </w:p>
        </w:tc>
        <w:tc>
          <w:tcPr>
            <w:tcW w:type="dxa" w:w="1656"/>
            <w:vAlign w:val="top"/>
            <w:tcMar>
              <w:top w:w="60" w:type="dxa"/>
              <w:start w:w="70" w:type="dxa"/>
              <w:bottom w:w="60" w:type="dxa"/>
              <w:end w:w="70" w:type="dxa"/>
            </w:tcMar>
            <w:shd w:fill="F3F6F9"/>
          </w:tcPr>
          <w:p>
            <w:pPr>
              <w:spacing w:after="0" w:before="0" w:line="240" w:lineRule="auto"/>
            </w:pPr>
            <w:r>
              <w:t>Evidentiary + accountability</w:t>
            </w:r>
          </w:p>
        </w:tc>
        <w:tc>
          <w:tcPr>
            <w:tcW w:type="dxa" w:w="1944"/>
            <w:vAlign w:val="top"/>
            <w:tcMar>
              <w:top w:w="60" w:type="dxa"/>
              <w:start w:w="70" w:type="dxa"/>
              <w:bottom w:w="60" w:type="dxa"/>
              <w:end w:w="70" w:type="dxa"/>
            </w:tcMar>
            <w:shd w:fill="F3F6F9"/>
          </w:tcPr>
          <w:p>
            <w:pPr>
              <w:spacing w:after="0" w:before="0" w:line="240" w:lineRule="auto"/>
            </w:pPr>
            <w:r>
              <w:t>reporting; indicators; monitoring</w:t>
            </w:r>
          </w:p>
        </w:tc>
        <w:tc>
          <w:tcPr>
            <w:tcW w:type="dxa" w:w="3096"/>
            <w:vAlign w:val="top"/>
            <w:tcMar>
              <w:top w:w="60" w:type="dxa"/>
              <w:start w:w="70" w:type="dxa"/>
              <w:bottom w:w="60" w:type="dxa"/>
              <w:end w:w="70" w:type="dxa"/>
            </w:tcMar>
            <w:shd w:fill="F3F6F9"/>
          </w:tcPr>
          <w:p>
            <w:pPr>
              <w:spacing w:after="0" w:before="0" w:line="240" w:lineRule="auto"/>
            </w:pPr>
            <w:r>
              <w:t>Theme 3</w:t>
            </w:r>
          </w:p>
        </w:tc>
      </w:tr>
      <w:tr>
        <w:trPr>
          <w:cantSplit/>
        </w:trPr>
        <w:tc>
          <w:tcPr>
            <w:tcW w:type="dxa" w:w="605"/>
            <w:vAlign w:val="top"/>
            <w:tcMar>
              <w:top w:w="60" w:type="dxa"/>
              <w:start w:w="70" w:type="dxa"/>
              <w:bottom w:w="60" w:type="dxa"/>
              <w:end w:w="70" w:type="dxa"/>
            </w:tcMar>
          </w:tcPr>
          <w:p>
            <w:pPr>
              <w:spacing w:after="0" w:before="0" w:line="240" w:lineRule="auto"/>
            </w:pPr>
            <w:r>
              <w:t>D8</w:t>
            </w:r>
          </w:p>
        </w:tc>
        <w:tc>
          <w:tcPr>
            <w:tcW w:type="dxa" w:w="1944"/>
            <w:vAlign w:val="top"/>
            <w:tcMar>
              <w:top w:w="60" w:type="dxa"/>
              <w:start w:w="70" w:type="dxa"/>
              <w:bottom w:w="60" w:type="dxa"/>
              <w:end w:w="70" w:type="dxa"/>
            </w:tcMar>
          </w:tcPr>
          <w:p>
            <w:pPr>
              <w:spacing w:after="0" w:before="0" w:line="240" w:lineRule="auto"/>
            </w:pPr>
            <w:r>
              <w:t>Order 328/2025 as amended; Order 1030/2009, Arts 19¹–19² and Annex 9</w:t>
            </w:r>
          </w:p>
        </w:tc>
        <w:tc>
          <w:tcPr>
            <w:tcW w:type="dxa" w:w="5256"/>
            <w:vAlign w:val="top"/>
            <w:tcMar>
              <w:top w:w="60" w:type="dxa"/>
              <w:start w:w="70" w:type="dxa"/>
              <w:bottom w:w="60" w:type="dxa"/>
              <w:end w:w="70" w:type="dxa"/>
            </w:tcMar>
          </w:tcPr>
          <w:p>
            <w:pPr>
              <w:spacing w:after="0" w:before="0" w:line="240" w:lineRule="auto"/>
            </w:pPr>
            <w:r>
              <w:t>Residential centres must meet detailed sanitary authorization conditions and provide appropriate accommodation, food, medical care, rehabilitation, leisure, social assistance, and psychological support.</w:t>
            </w:r>
          </w:p>
        </w:tc>
        <w:tc>
          <w:tcPr>
            <w:tcW w:type="dxa" w:w="1656"/>
            <w:vAlign w:val="top"/>
            <w:tcMar>
              <w:top w:w="60" w:type="dxa"/>
              <w:start w:w="70" w:type="dxa"/>
              <w:bottom w:w="60" w:type="dxa"/>
              <w:end w:w="70" w:type="dxa"/>
            </w:tcMar>
          </w:tcPr>
          <w:p>
            <w:pPr>
              <w:spacing w:after="0" w:before="0" w:line="240" w:lineRule="auto"/>
            </w:pPr>
            <w:r>
              <w:t>Enforceable health/safety</w:t>
            </w:r>
          </w:p>
        </w:tc>
        <w:tc>
          <w:tcPr>
            <w:tcW w:type="dxa" w:w="1944"/>
            <w:vAlign w:val="top"/>
            <w:tcMar>
              <w:top w:w="60" w:type="dxa"/>
              <w:start w:w="70" w:type="dxa"/>
              <w:bottom w:w="60" w:type="dxa"/>
              <w:end w:w="70" w:type="dxa"/>
            </w:tcMar>
          </w:tcPr>
          <w:p>
            <w:pPr>
              <w:spacing w:after="0" w:before="0" w:line="240" w:lineRule="auto"/>
            </w:pPr>
            <w:r>
              <w:t>hygiene; environment; food; medical care; authorization</w:t>
            </w:r>
          </w:p>
        </w:tc>
        <w:tc>
          <w:tcPr>
            <w:tcW w:type="dxa" w:w="3096"/>
            <w:vAlign w:val="top"/>
            <w:tcMar>
              <w:top w:w="60" w:type="dxa"/>
              <w:start w:w="70" w:type="dxa"/>
              <w:bottom w:w="60" w:type="dxa"/>
              <w:end w:w="70" w:type="dxa"/>
            </w:tcMar>
          </w:tcPr>
          <w:p>
            <w:pPr>
              <w:spacing w:after="0" w:before="0" w:line="240" w:lineRule="auto"/>
            </w:pPr>
            <w:r>
              <w:t>Theme 3: protection density</w:t>
            </w:r>
          </w:p>
        </w:tc>
      </w:tr>
      <w:tr>
        <w:trPr>
          <w:cantSplit/>
        </w:trPr>
        <w:tc>
          <w:tcPr>
            <w:tcW w:type="dxa" w:w="605"/>
            <w:vAlign w:val="top"/>
            <w:tcMar>
              <w:top w:w="60" w:type="dxa"/>
              <w:start w:w="70" w:type="dxa"/>
              <w:bottom w:w="60" w:type="dxa"/>
              <w:end w:w="70" w:type="dxa"/>
            </w:tcMar>
            <w:shd w:fill="F3F6F9"/>
          </w:tcPr>
          <w:p>
            <w:pPr>
              <w:spacing w:after="0" w:before="0" w:line="240" w:lineRule="auto"/>
            </w:pPr>
            <w:r>
              <w:t>D9</w:t>
            </w:r>
          </w:p>
        </w:tc>
        <w:tc>
          <w:tcPr>
            <w:tcW w:type="dxa" w:w="1944"/>
            <w:vAlign w:val="top"/>
            <w:tcMar>
              <w:top w:w="60" w:type="dxa"/>
              <w:start w:w="70" w:type="dxa"/>
              <w:bottom w:w="60" w:type="dxa"/>
              <w:end w:w="70" w:type="dxa"/>
            </w:tcMar>
            <w:shd w:fill="F3F6F9"/>
          </w:tcPr>
          <w:p>
            <w:pPr>
              <w:spacing w:after="0" w:before="0" w:line="240" w:lineRule="auto"/>
            </w:pPr>
            <w:r>
              <w:t>Government Decision 268/2026, Arts 1–2</w:t>
            </w:r>
          </w:p>
        </w:tc>
        <w:tc>
          <w:tcPr>
            <w:tcW w:type="dxa" w:w="5256"/>
            <w:vAlign w:val="top"/>
            <w:tcMar>
              <w:top w:w="60" w:type="dxa"/>
              <w:start w:w="70" w:type="dxa"/>
              <w:bottom w:w="60" w:type="dxa"/>
              <w:end w:w="70" w:type="dxa"/>
            </w:tcMar>
            <w:shd w:fill="F3F6F9"/>
          </w:tcPr>
          <w:p>
            <w:pPr>
              <w:spacing w:after="0" w:before="0" w:line="240" w:lineRule="auto"/>
            </w:pPr>
            <w:r>
              <w:t>The decision introduces the current social-services nomenclature and framework regulation from 1 July 2026 and requires revision of minimum quality standards within 60 days.</w:t>
            </w:r>
          </w:p>
        </w:tc>
        <w:tc>
          <w:tcPr>
            <w:tcW w:type="dxa" w:w="1656"/>
            <w:vAlign w:val="top"/>
            <w:tcMar>
              <w:top w:w="60" w:type="dxa"/>
              <w:start w:w="70" w:type="dxa"/>
              <w:bottom w:w="60" w:type="dxa"/>
              <w:end w:w="70" w:type="dxa"/>
            </w:tcMar>
            <w:shd w:fill="F3F6F9"/>
          </w:tcPr>
          <w:p>
            <w:pPr>
              <w:spacing w:after="0" w:before="0" w:line="240" w:lineRule="auto"/>
            </w:pPr>
            <w:r>
              <w:t>Structural / transitional</w:t>
            </w:r>
          </w:p>
        </w:tc>
        <w:tc>
          <w:tcPr>
            <w:tcW w:type="dxa" w:w="1944"/>
            <w:vAlign w:val="top"/>
            <w:tcMar>
              <w:top w:w="60" w:type="dxa"/>
              <w:start w:w="70" w:type="dxa"/>
              <w:bottom w:w="60" w:type="dxa"/>
              <w:end w:w="70" w:type="dxa"/>
            </w:tcMar>
            <w:shd w:fill="F3F6F9"/>
          </w:tcPr>
          <w:p>
            <w:pPr>
              <w:spacing w:after="0" w:before="0" w:line="240" w:lineRule="auto"/>
            </w:pPr>
            <w:r>
              <w:t>service classification; standards revision; policy window</w:t>
            </w:r>
          </w:p>
        </w:tc>
        <w:tc>
          <w:tcPr>
            <w:tcW w:type="dxa" w:w="3096"/>
            <w:vAlign w:val="top"/>
            <w:tcMar>
              <w:top w:w="60" w:type="dxa"/>
              <w:start w:w="70" w:type="dxa"/>
              <w:bottom w:w="60" w:type="dxa"/>
              <w:end w:w="70" w:type="dxa"/>
            </w:tcMar>
            <w:shd w:fill="F3F6F9"/>
          </w:tcPr>
          <w:p>
            <w:pPr>
              <w:spacing w:after="0" w:before="0" w:line="240" w:lineRule="auto"/>
            </w:pPr>
            <w:r>
              <w:t>Regulatory leverage point</w:t>
            </w:r>
          </w:p>
        </w:tc>
      </w:tr>
      <w:tr>
        <w:trPr>
          <w:cantSplit/>
        </w:trPr>
        <w:tc>
          <w:tcPr>
            <w:tcW w:type="dxa" w:w="605"/>
            <w:vAlign w:val="top"/>
            <w:tcMar>
              <w:top w:w="60" w:type="dxa"/>
              <w:start w:w="70" w:type="dxa"/>
              <w:bottom w:w="60" w:type="dxa"/>
              <w:end w:w="70" w:type="dxa"/>
            </w:tcMar>
          </w:tcPr>
          <w:p>
            <w:pPr>
              <w:spacing w:after="0" w:before="0" w:line="240" w:lineRule="auto"/>
            </w:pPr>
            <w:r>
              <w:t>D9</w:t>
            </w:r>
          </w:p>
        </w:tc>
        <w:tc>
          <w:tcPr>
            <w:tcW w:type="dxa" w:w="1944"/>
            <w:vAlign w:val="top"/>
            <w:tcMar>
              <w:top w:w="60" w:type="dxa"/>
              <w:start w:w="70" w:type="dxa"/>
              <w:bottom w:w="60" w:type="dxa"/>
              <w:end w:w="70" w:type="dxa"/>
            </w:tcMar>
          </w:tcPr>
          <w:p>
            <w:pPr>
              <w:spacing w:after="0" w:before="0" w:line="240" w:lineRule="auto"/>
            </w:pPr>
            <w:r>
              <w:t>Government Decision 268/2026, Annex 1 and framework regulation</w:t>
            </w:r>
          </w:p>
        </w:tc>
        <w:tc>
          <w:tcPr>
            <w:tcW w:type="dxa" w:w="5256"/>
            <w:vAlign w:val="top"/>
            <w:tcMar>
              <w:top w:w="60" w:type="dxa"/>
              <w:start w:w="70" w:type="dxa"/>
              <w:bottom w:w="60" w:type="dxa"/>
              <w:end w:w="70" w:type="dxa"/>
            </w:tcMar>
          </w:tcPr>
          <w:p>
            <w:pPr>
              <w:spacing w:after="0" w:before="0" w:line="240" w:lineRule="auto"/>
            </w:pPr>
            <w:r>
              <w:t>The framework classifies residential and community services and requires providers to define service identity, functions, organizational responsibilities, and operating rules.</w:t>
            </w:r>
          </w:p>
        </w:tc>
        <w:tc>
          <w:tcPr>
            <w:tcW w:type="dxa" w:w="1656"/>
            <w:vAlign w:val="top"/>
            <w:tcMar>
              <w:top w:w="60" w:type="dxa"/>
              <w:start w:w="70" w:type="dxa"/>
              <w:bottom w:w="60" w:type="dxa"/>
              <w:end w:w="70" w:type="dxa"/>
            </w:tcMar>
          </w:tcPr>
          <w:p>
            <w:pPr>
              <w:spacing w:after="0" w:before="0" w:line="240" w:lineRule="auto"/>
            </w:pPr>
            <w:r>
              <w:t>Organizational requirement</w:t>
            </w:r>
          </w:p>
        </w:tc>
        <w:tc>
          <w:tcPr>
            <w:tcW w:type="dxa" w:w="1944"/>
            <w:vAlign w:val="top"/>
            <w:tcMar>
              <w:top w:w="60" w:type="dxa"/>
              <w:start w:w="70" w:type="dxa"/>
              <w:bottom w:w="60" w:type="dxa"/>
              <w:end w:w="70" w:type="dxa"/>
            </w:tcMar>
          </w:tcPr>
          <w:p>
            <w:pPr>
              <w:spacing w:after="0" w:before="0" w:line="240" w:lineRule="auto"/>
            </w:pPr>
            <w:r>
              <w:t>functions; roles; procedures; accountability</w:t>
            </w:r>
          </w:p>
        </w:tc>
        <w:tc>
          <w:tcPr>
            <w:tcW w:type="dxa" w:w="3096"/>
            <w:vAlign w:val="top"/>
            <w:tcMar>
              <w:top w:w="60" w:type="dxa"/>
              <w:start w:w="70" w:type="dxa"/>
              <w:bottom w:w="60" w:type="dxa"/>
              <w:end w:w="70" w:type="dxa"/>
            </w:tcMar>
          </w:tcPr>
          <w:p>
            <w:pPr>
              <w:spacing w:after="0" w:before="0" w:line="240" w:lineRule="auto"/>
            </w:pPr>
            <w:r>
              <w:t>Theme 3; organizational translation</w:t>
            </w:r>
          </w:p>
        </w:tc>
      </w:tr>
      <w:tr>
        <w:trPr>
          <w:cantSplit/>
        </w:trPr>
        <w:tc>
          <w:tcPr>
            <w:tcW w:type="dxa" w:w="605"/>
            <w:vAlign w:val="top"/>
            <w:tcMar>
              <w:top w:w="60" w:type="dxa"/>
              <w:start w:w="70" w:type="dxa"/>
              <w:bottom w:w="60" w:type="dxa"/>
              <w:end w:w="70" w:type="dxa"/>
            </w:tcMar>
            <w:shd w:fill="F3F6F9"/>
          </w:tcPr>
          <w:p>
            <w:pPr>
              <w:spacing w:after="0" w:before="0" w:line="240" w:lineRule="auto"/>
            </w:pPr>
            <w:r>
              <w:t>S1</w:t>
            </w:r>
          </w:p>
        </w:tc>
        <w:tc>
          <w:tcPr>
            <w:tcW w:type="dxa" w:w="1944"/>
            <w:vAlign w:val="top"/>
            <w:tcMar>
              <w:top w:w="60" w:type="dxa"/>
              <w:start w:w="70" w:type="dxa"/>
              <w:bottom w:w="60" w:type="dxa"/>
              <w:end w:w="70" w:type="dxa"/>
            </w:tcMar>
            <w:shd w:fill="F3F6F9"/>
          </w:tcPr>
          <w:p>
            <w:pPr>
              <w:spacing w:after="0" w:before="0" w:line="240" w:lineRule="auto"/>
            </w:pPr>
            <w:r>
              <w:t>Cross-document synthesis: D1–D9</w:t>
            </w:r>
          </w:p>
        </w:tc>
        <w:tc>
          <w:tcPr>
            <w:tcW w:type="dxa" w:w="5256"/>
            <w:vAlign w:val="top"/>
            <w:tcMar>
              <w:top w:w="60" w:type="dxa"/>
              <w:start w:w="70" w:type="dxa"/>
              <w:bottom w:w="60" w:type="dxa"/>
              <w:end w:w="70" w:type="dxa"/>
            </w:tcMar>
            <w:shd w:fill="F3F6F9"/>
          </w:tcPr>
          <w:p>
            <w:pPr>
              <w:spacing w:after="0" w:before="0" w:line="240" w:lineRule="auto"/>
            </w:pPr>
            <w:r>
              <w:t>Rights, consent, preferences, and involvement are present, but they are distributed across laws, standards, contracts, plans, and organizational rules rather than consolidated in one operational supported-decision standard.</w:t>
            </w:r>
          </w:p>
        </w:tc>
        <w:tc>
          <w:tcPr>
            <w:tcW w:type="dxa" w:w="1656"/>
            <w:vAlign w:val="top"/>
            <w:tcMar>
              <w:top w:w="60" w:type="dxa"/>
              <w:start w:w="70" w:type="dxa"/>
              <w:bottom w:w="60" w:type="dxa"/>
              <w:end w:w="70" w:type="dxa"/>
            </w:tcMar>
            <w:shd w:fill="F3F6F9"/>
          </w:tcPr>
          <w:p>
            <w:pPr>
              <w:spacing w:after="0" w:before="0" w:line="240" w:lineRule="auto"/>
            </w:pPr>
            <w:r>
              <w:t>Interpretive synthesis</w:t>
            </w:r>
          </w:p>
        </w:tc>
        <w:tc>
          <w:tcPr>
            <w:tcW w:type="dxa" w:w="1944"/>
            <w:vAlign w:val="top"/>
            <w:tcMar>
              <w:top w:w="60" w:type="dxa"/>
              <w:start w:w="70" w:type="dxa"/>
              <w:bottom w:w="60" w:type="dxa"/>
              <w:end w:w="70" w:type="dxa"/>
            </w:tcMar>
            <w:shd w:fill="F3F6F9"/>
          </w:tcPr>
          <w:p>
            <w:pPr>
              <w:spacing w:after="0" w:before="0" w:line="240" w:lineRule="auto"/>
            </w:pPr>
            <w:r>
              <w:t>fragmentation; implementation dependence</w:t>
            </w:r>
          </w:p>
        </w:tc>
        <w:tc>
          <w:tcPr>
            <w:tcW w:type="dxa" w:w="3096"/>
            <w:vAlign w:val="top"/>
            <w:tcMar>
              <w:top w:w="60" w:type="dxa"/>
              <w:start w:w="70" w:type="dxa"/>
              <w:bottom w:w="60" w:type="dxa"/>
              <w:end w:w="70" w:type="dxa"/>
            </w:tcMar>
            <w:shd w:fill="F3F6F9"/>
          </w:tcPr>
          <w:p>
            <w:pPr>
              <w:spacing w:after="0" w:before="0" w:line="240" w:lineRule="auto"/>
            </w:pPr>
            <w:r>
              <w:t>Theme 1</w:t>
            </w:r>
          </w:p>
        </w:tc>
      </w:tr>
      <w:tr>
        <w:trPr>
          <w:cantSplit/>
        </w:trPr>
        <w:tc>
          <w:tcPr>
            <w:tcW w:type="dxa" w:w="605"/>
            <w:vAlign w:val="top"/>
            <w:tcMar>
              <w:top w:w="60" w:type="dxa"/>
              <w:start w:w="70" w:type="dxa"/>
              <w:bottom w:w="60" w:type="dxa"/>
              <w:end w:w="70" w:type="dxa"/>
            </w:tcMar>
          </w:tcPr>
          <w:p>
            <w:pPr>
              <w:spacing w:after="0" w:before="0" w:line="240" w:lineRule="auto"/>
            </w:pPr>
            <w:r>
              <w:t>S2</w:t>
            </w:r>
          </w:p>
        </w:tc>
        <w:tc>
          <w:tcPr>
            <w:tcW w:type="dxa" w:w="1944"/>
            <w:vAlign w:val="top"/>
            <w:tcMar>
              <w:top w:w="60" w:type="dxa"/>
              <w:start w:w="70" w:type="dxa"/>
              <w:bottom w:w="60" w:type="dxa"/>
              <w:end w:w="70" w:type="dxa"/>
            </w:tcMar>
          </w:tcPr>
          <w:p>
            <w:pPr>
              <w:spacing w:after="0" w:before="0" w:line="240" w:lineRule="auto"/>
            </w:pPr>
            <w:r>
              <w:t>Cross-document synthesis: D4, D5, D7</w:t>
            </w:r>
          </w:p>
        </w:tc>
        <w:tc>
          <w:tcPr>
            <w:tcW w:type="dxa" w:w="5256"/>
            <w:vAlign w:val="top"/>
            <w:tcMar>
              <w:top w:w="60" w:type="dxa"/>
              <w:start w:w="70" w:type="dxa"/>
              <w:bottom w:w="60" w:type="dxa"/>
              <w:end w:w="70" w:type="dxa"/>
            </w:tcMar>
          </w:tcPr>
          <w:p>
            <w:pPr>
              <w:spacing w:after="0" w:before="0" w:line="240" w:lineRule="auto"/>
            </w:pPr>
            <w:r>
              <w:t>Formal evidence of involvement is frequently represented by a signed contract, assessment, or plan; requirements for documenting alternatives, adapted communication, disagreement, and enactment of preferences are less explicit.</w:t>
            </w:r>
          </w:p>
        </w:tc>
        <w:tc>
          <w:tcPr>
            <w:tcW w:type="dxa" w:w="1656"/>
            <w:vAlign w:val="top"/>
            <w:tcMar>
              <w:top w:w="60" w:type="dxa"/>
              <w:start w:w="70" w:type="dxa"/>
              <w:bottom w:w="60" w:type="dxa"/>
              <w:end w:w="70" w:type="dxa"/>
            </w:tcMar>
          </w:tcPr>
          <w:p>
            <w:pPr>
              <w:spacing w:after="0" w:before="0" w:line="240" w:lineRule="auto"/>
            </w:pPr>
            <w:r>
              <w:t>Interpretive asymmetry</w:t>
            </w:r>
          </w:p>
        </w:tc>
        <w:tc>
          <w:tcPr>
            <w:tcW w:type="dxa" w:w="1944"/>
            <w:vAlign w:val="top"/>
            <w:tcMar>
              <w:top w:w="60" w:type="dxa"/>
              <w:start w:w="70" w:type="dxa"/>
              <w:bottom w:w="60" w:type="dxa"/>
              <w:end w:w="70" w:type="dxa"/>
            </w:tcMar>
          </w:tcPr>
          <w:p>
            <w:pPr>
              <w:spacing w:after="0" w:before="0" w:line="240" w:lineRule="auto"/>
            </w:pPr>
            <w:r>
              <w:t>signature; options; communication support; disagreement</w:t>
            </w:r>
          </w:p>
        </w:tc>
        <w:tc>
          <w:tcPr>
            <w:tcW w:type="dxa" w:w="3096"/>
            <w:vAlign w:val="top"/>
            <w:tcMar>
              <w:top w:w="60" w:type="dxa"/>
              <w:start w:w="70" w:type="dxa"/>
              <w:bottom w:w="60" w:type="dxa"/>
              <w:end w:w="70" w:type="dxa"/>
            </w:tcMar>
          </w:tcPr>
          <w:p>
            <w:pPr>
              <w:spacing w:after="0" w:before="0" w:line="240" w:lineRule="auto"/>
            </w:pPr>
            <w:r>
              <w:t>Theme 2</w:t>
            </w:r>
          </w:p>
        </w:tc>
      </w:tr>
      <w:tr>
        <w:trPr>
          <w:cantSplit/>
        </w:trPr>
        <w:tc>
          <w:tcPr>
            <w:tcW w:type="dxa" w:w="605"/>
            <w:vAlign w:val="top"/>
            <w:tcMar>
              <w:top w:w="60" w:type="dxa"/>
              <w:start w:w="70" w:type="dxa"/>
              <w:bottom w:w="60" w:type="dxa"/>
              <w:end w:w="70" w:type="dxa"/>
            </w:tcMar>
            <w:shd w:fill="F3F6F9"/>
          </w:tcPr>
          <w:p>
            <w:pPr>
              <w:spacing w:after="0" w:before="0" w:line="240" w:lineRule="auto"/>
            </w:pPr>
            <w:r>
              <w:t>S3</w:t>
            </w:r>
          </w:p>
        </w:tc>
        <w:tc>
          <w:tcPr>
            <w:tcW w:type="dxa" w:w="1944"/>
            <w:vAlign w:val="top"/>
            <w:tcMar>
              <w:top w:w="60" w:type="dxa"/>
              <w:start w:w="70" w:type="dxa"/>
              <w:bottom w:w="60" w:type="dxa"/>
              <w:end w:w="70" w:type="dxa"/>
            </w:tcMar>
            <w:shd w:fill="F3F6F9"/>
          </w:tcPr>
          <w:p>
            <w:pPr>
              <w:spacing w:after="0" w:before="0" w:line="240" w:lineRule="auto"/>
            </w:pPr>
            <w:r>
              <w:t>Cross-document synthesis: D4, D5, D7–D9</w:t>
            </w:r>
          </w:p>
        </w:tc>
        <w:tc>
          <w:tcPr>
            <w:tcW w:type="dxa" w:w="5256"/>
            <w:vAlign w:val="top"/>
            <w:tcMar>
              <w:top w:w="60" w:type="dxa"/>
              <w:start w:w="70" w:type="dxa"/>
              <w:bottom w:w="60" w:type="dxa"/>
              <w:end w:w="70" w:type="dxa"/>
            </w:tcMar>
            <w:shd w:fill="F3F6F9"/>
          </w:tcPr>
          <w:p>
            <w:pPr>
              <w:spacing w:after="0" w:before="0" w:line="240" w:lineRule="auto"/>
            </w:pPr>
            <w:r>
              <w:t>Protection, health authorization, risk, records, reporting, and inspection have more detailed and inspectable implementation routes than everyday choice and negotiated positive risk-taking.</w:t>
            </w:r>
          </w:p>
        </w:tc>
        <w:tc>
          <w:tcPr>
            <w:tcW w:type="dxa" w:w="1656"/>
            <w:vAlign w:val="top"/>
            <w:tcMar>
              <w:top w:w="60" w:type="dxa"/>
              <w:start w:w="70" w:type="dxa"/>
              <w:bottom w:w="60" w:type="dxa"/>
              <w:end w:w="70" w:type="dxa"/>
            </w:tcMar>
            <w:shd w:fill="F3F6F9"/>
          </w:tcPr>
          <w:p>
            <w:pPr>
              <w:spacing w:after="0" w:before="0" w:line="240" w:lineRule="auto"/>
            </w:pPr>
            <w:r>
              <w:t>Interpretive asymmetry</w:t>
            </w:r>
          </w:p>
        </w:tc>
        <w:tc>
          <w:tcPr>
            <w:tcW w:type="dxa" w:w="1944"/>
            <w:vAlign w:val="top"/>
            <w:tcMar>
              <w:top w:w="60" w:type="dxa"/>
              <w:start w:w="70" w:type="dxa"/>
              <w:bottom w:w="60" w:type="dxa"/>
              <w:end w:w="70" w:type="dxa"/>
            </w:tcMar>
            <w:shd w:fill="F3F6F9"/>
          </w:tcPr>
          <w:p>
            <w:pPr>
              <w:spacing w:after="0" w:before="0" w:line="240" w:lineRule="auto"/>
            </w:pPr>
            <w:r>
              <w:t>protection; auditability; everyday autonomy</w:t>
            </w:r>
          </w:p>
        </w:tc>
        <w:tc>
          <w:tcPr>
            <w:tcW w:type="dxa" w:w="3096"/>
            <w:vAlign w:val="top"/>
            <w:tcMar>
              <w:top w:w="60" w:type="dxa"/>
              <w:start w:w="70" w:type="dxa"/>
              <w:bottom w:w="60" w:type="dxa"/>
              <w:end w:w="70" w:type="dxa"/>
            </w:tcMar>
            <w:shd w:fill="F3F6F9"/>
          </w:tcPr>
          <w:p>
            <w:pPr>
              <w:spacing w:after="0" w:before="0" w:line="240" w:lineRule="auto"/>
            </w:pPr>
            <w:r>
              <w:t>Theme 3</w:t>
            </w:r>
          </w:p>
        </w:tc>
      </w:tr>
      <w:tr>
        <w:trPr>
          <w:cantSplit/>
        </w:trPr>
        <w:tc>
          <w:tcPr>
            <w:tcW w:type="dxa" w:w="605"/>
            <w:vAlign w:val="top"/>
            <w:tcMar>
              <w:top w:w="60" w:type="dxa"/>
              <w:start w:w="70" w:type="dxa"/>
              <w:bottom w:w="60" w:type="dxa"/>
              <w:end w:w="70" w:type="dxa"/>
            </w:tcMar>
          </w:tcPr>
          <w:p>
            <w:pPr>
              <w:spacing w:after="0" w:before="0" w:line="240" w:lineRule="auto"/>
            </w:pPr>
            <w:r>
              <w:t>S4</w:t>
            </w:r>
          </w:p>
        </w:tc>
        <w:tc>
          <w:tcPr>
            <w:tcW w:type="dxa" w:w="1944"/>
            <w:vAlign w:val="top"/>
            <w:tcMar>
              <w:top w:w="60" w:type="dxa"/>
              <w:start w:w="70" w:type="dxa"/>
              <w:bottom w:w="60" w:type="dxa"/>
              <w:end w:w="70" w:type="dxa"/>
            </w:tcMar>
          </w:tcPr>
          <w:p>
            <w:pPr>
              <w:spacing w:after="0" w:before="0" w:line="240" w:lineRule="auto"/>
            </w:pPr>
            <w:r>
              <w:t>Cross-document synthesis: D1, D4–D7</w:t>
            </w:r>
          </w:p>
        </w:tc>
        <w:tc>
          <w:tcPr>
            <w:tcW w:type="dxa" w:w="5256"/>
            <w:vAlign w:val="top"/>
            <w:tcMar>
              <w:top w:w="60" w:type="dxa"/>
              <w:start w:w="70" w:type="dxa"/>
              <w:bottom w:w="60" w:type="dxa"/>
              <w:end w:w="70" w:type="dxa"/>
            </w:tcMar>
          </w:tcPr>
          <w:p>
            <w:pPr>
              <w:spacing w:after="0" w:before="0" w:line="240" w:lineRule="auto"/>
            </w:pPr>
            <w:r>
              <w:t>Participation is most concretely regulated in individual assessment, planning, contracting, complaints, satisfaction feedback, and community consultation; collective resident control over institutional rules is less specified.</w:t>
            </w:r>
          </w:p>
        </w:tc>
        <w:tc>
          <w:tcPr>
            <w:tcW w:type="dxa" w:w="1656"/>
            <w:vAlign w:val="top"/>
            <w:tcMar>
              <w:top w:w="60" w:type="dxa"/>
              <w:start w:w="70" w:type="dxa"/>
              <w:bottom w:w="60" w:type="dxa"/>
              <w:end w:w="70" w:type="dxa"/>
            </w:tcMar>
          </w:tcPr>
          <w:p>
            <w:pPr>
              <w:spacing w:after="0" w:before="0" w:line="240" w:lineRule="auto"/>
            </w:pPr>
            <w:r>
              <w:t>Negative/absence code</w:t>
            </w:r>
          </w:p>
        </w:tc>
        <w:tc>
          <w:tcPr>
            <w:tcW w:type="dxa" w:w="1944"/>
            <w:vAlign w:val="top"/>
            <w:tcMar>
              <w:top w:w="60" w:type="dxa"/>
              <w:start w:w="70" w:type="dxa"/>
              <w:bottom w:w="60" w:type="dxa"/>
              <w:end w:w="70" w:type="dxa"/>
            </w:tcMar>
          </w:tcPr>
          <w:p>
            <w:pPr>
              <w:spacing w:after="0" w:before="0" w:line="240" w:lineRule="auto"/>
            </w:pPr>
            <w:r>
              <w:t>individual participation; shared governance</w:t>
            </w:r>
          </w:p>
        </w:tc>
        <w:tc>
          <w:tcPr>
            <w:tcW w:type="dxa" w:w="3096"/>
            <w:vAlign w:val="top"/>
            <w:tcMar>
              <w:top w:w="60" w:type="dxa"/>
              <w:start w:w="70" w:type="dxa"/>
              <w:bottom w:w="60" w:type="dxa"/>
              <w:end w:w="70" w:type="dxa"/>
            </w:tcMar>
          </w:tcPr>
          <w:p>
            <w:pPr>
              <w:spacing w:after="0" w:before="0" w:line="240" w:lineRule="auto"/>
            </w:pPr>
            <w:r>
              <w:t>Theme 4</w:t>
            </w:r>
          </w:p>
        </w:tc>
      </w:tr>
      <w:tr>
        <w:trPr>
          <w:cantSplit/>
        </w:trPr>
        <w:tc>
          <w:tcPr>
            <w:tcW w:type="dxa" w:w="605"/>
            <w:vAlign w:val="top"/>
            <w:tcMar>
              <w:top w:w="60" w:type="dxa"/>
              <w:start w:w="70" w:type="dxa"/>
              <w:bottom w:w="60" w:type="dxa"/>
              <w:end w:w="70" w:type="dxa"/>
            </w:tcMar>
            <w:shd w:fill="F3F6F9"/>
          </w:tcPr>
          <w:p>
            <w:pPr>
              <w:spacing w:after="0" w:before="0" w:line="240" w:lineRule="auto"/>
            </w:pPr>
            <w:r>
              <w:t>S5</w:t>
            </w:r>
          </w:p>
        </w:tc>
        <w:tc>
          <w:tcPr>
            <w:tcW w:type="dxa" w:w="1944"/>
            <w:vAlign w:val="top"/>
            <w:tcMar>
              <w:top w:w="60" w:type="dxa"/>
              <w:start w:w="70" w:type="dxa"/>
              <w:bottom w:w="60" w:type="dxa"/>
              <w:end w:w="70" w:type="dxa"/>
            </w:tcMar>
            <w:shd w:fill="F3F6F9"/>
          </w:tcPr>
          <w:p>
            <w:pPr>
              <w:spacing w:after="0" w:before="0" w:line="240" w:lineRule="auto"/>
            </w:pPr>
            <w:r>
              <w:t>Cross-document synthesis: D1, D2, D4, D5, D7</w:t>
            </w:r>
          </w:p>
        </w:tc>
        <w:tc>
          <w:tcPr>
            <w:tcW w:type="dxa" w:w="5256"/>
            <w:vAlign w:val="top"/>
            <w:tcMar>
              <w:top w:w="60" w:type="dxa"/>
              <w:start w:w="70" w:type="dxa"/>
              <w:bottom w:w="60" w:type="dxa"/>
              <w:end w:w="70" w:type="dxa"/>
            </w:tcMar>
            <w:shd w:fill="F3F6F9"/>
          </w:tcPr>
          <w:p>
            <w:pPr>
              <w:spacing w:after="0" w:before="0" w:line="240" w:lineRule="auto"/>
            </w:pPr>
            <w:r>
              <w:t>Family and representatives are legitimate sources of support, but “beneficiary or representative” formulations are not consistently paired with an explicit duty to engage the older person directly to the greatest possible extent.</w:t>
            </w:r>
          </w:p>
        </w:tc>
        <w:tc>
          <w:tcPr>
            <w:tcW w:type="dxa" w:w="1656"/>
            <w:vAlign w:val="top"/>
            <w:tcMar>
              <w:top w:w="60" w:type="dxa"/>
              <w:start w:w="70" w:type="dxa"/>
              <w:bottom w:w="60" w:type="dxa"/>
              <w:end w:w="70" w:type="dxa"/>
            </w:tcMar>
            <w:shd w:fill="F3F6F9"/>
          </w:tcPr>
          <w:p>
            <w:pPr>
              <w:spacing w:after="0" w:before="0" w:line="240" w:lineRule="auto"/>
            </w:pPr>
            <w:r>
              <w:t>Interpretive gap</w:t>
            </w:r>
          </w:p>
        </w:tc>
        <w:tc>
          <w:tcPr>
            <w:tcW w:type="dxa" w:w="1944"/>
            <w:vAlign w:val="top"/>
            <w:tcMar>
              <w:top w:w="60" w:type="dxa"/>
              <w:start w:w="70" w:type="dxa"/>
              <w:bottom w:w="60" w:type="dxa"/>
              <w:end w:w="70" w:type="dxa"/>
            </w:tcMar>
            <w:shd w:fill="F3F6F9"/>
          </w:tcPr>
          <w:p>
            <w:pPr>
              <w:spacing w:after="0" w:before="0" w:line="240" w:lineRule="auto"/>
            </w:pPr>
            <w:r>
              <w:t>representation; direct communication; capacity presumption</w:t>
            </w:r>
          </w:p>
        </w:tc>
        <w:tc>
          <w:tcPr>
            <w:tcW w:type="dxa" w:w="3096"/>
            <w:vAlign w:val="top"/>
            <w:tcMar>
              <w:top w:w="60" w:type="dxa"/>
              <w:start w:w="70" w:type="dxa"/>
              <w:bottom w:w="60" w:type="dxa"/>
              <w:end w:w="70" w:type="dxa"/>
            </w:tcMar>
            <w:shd w:fill="F3F6F9"/>
          </w:tcPr>
          <w:p>
            <w:pPr>
              <w:spacing w:after="0" w:before="0" w:line="240" w:lineRule="auto"/>
            </w:pPr>
            <w:r>
              <w:t>Theme 5</w:t>
            </w:r>
          </w:p>
        </w:tc>
      </w:tr>
      <w:tr>
        <w:trPr>
          <w:cantSplit/>
        </w:trPr>
        <w:tc>
          <w:tcPr>
            <w:tcW w:type="dxa" w:w="605"/>
            <w:vAlign w:val="top"/>
            <w:tcMar>
              <w:top w:w="60" w:type="dxa"/>
              <w:start w:w="70" w:type="dxa"/>
              <w:bottom w:w="60" w:type="dxa"/>
              <w:end w:w="70" w:type="dxa"/>
            </w:tcMar>
          </w:tcPr>
          <w:p>
            <w:pPr>
              <w:spacing w:after="0" w:before="0" w:line="240" w:lineRule="auto"/>
            </w:pPr>
            <w:r>
              <w:t>S6</w:t>
            </w:r>
          </w:p>
        </w:tc>
        <w:tc>
          <w:tcPr>
            <w:tcW w:type="dxa" w:w="1944"/>
            <w:vAlign w:val="top"/>
            <w:tcMar>
              <w:top w:w="60" w:type="dxa"/>
              <w:start w:w="70" w:type="dxa"/>
              <w:bottom w:w="60" w:type="dxa"/>
              <w:end w:w="70" w:type="dxa"/>
            </w:tcMar>
          </w:tcPr>
          <w:p>
            <w:pPr>
              <w:spacing w:after="0" w:before="0" w:line="240" w:lineRule="auto"/>
            </w:pPr>
            <w:r>
              <w:t>Theoretical proposition derived from S1–S5</w:t>
            </w:r>
          </w:p>
        </w:tc>
        <w:tc>
          <w:tcPr>
            <w:tcW w:type="dxa" w:w="5256"/>
            <w:vAlign w:val="top"/>
            <w:tcMar>
              <w:top w:w="60" w:type="dxa"/>
              <w:start w:w="70" w:type="dxa"/>
              <w:bottom w:w="60" w:type="dxa"/>
              <w:end w:w="70" w:type="dxa"/>
            </w:tcMar>
          </w:tcPr>
          <w:p>
            <w:pPr>
              <w:spacing w:after="0" w:before="0" w:line="240" w:lineRule="auto"/>
            </w:pPr>
            <w:r>
              <w:t>Where protective and auditable requirements dominate organizational incentives while autonomy remains discretionary, interactions among regulation, routines, risk management, representation, and resource constraints may produce age-related loss of agency without discriminatory intent.</w:t>
            </w:r>
          </w:p>
        </w:tc>
        <w:tc>
          <w:tcPr>
            <w:tcW w:type="dxa" w:w="1656"/>
            <w:vAlign w:val="top"/>
            <w:tcMar>
              <w:top w:w="60" w:type="dxa"/>
              <w:start w:w="70" w:type="dxa"/>
              <w:bottom w:w="60" w:type="dxa"/>
              <w:end w:w="70" w:type="dxa"/>
            </w:tcMar>
          </w:tcPr>
          <w:p>
            <w:pPr>
              <w:spacing w:after="0" w:before="0" w:line="240" w:lineRule="auto"/>
            </w:pPr>
            <w:r>
              <w:t>Theory-generating synthesis</w:t>
            </w:r>
          </w:p>
        </w:tc>
        <w:tc>
          <w:tcPr>
            <w:tcW w:type="dxa" w:w="1944"/>
            <w:vAlign w:val="top"/>
            <w:tcMar>
              <w:top w:w="60" w:type="dxa"/>
              <w:start w:w="70" w:type="dxa"/>
              <w:bottom w:w="60" w:type="dxa"/>
              <w:end w:w="70" w:type="dxa"/>
            </w:tcMar>
          </w:tcPr>
          <w:p>
            <w:pPr>
              <w:spacing w:after="0" w:before="0" w:line="240" w:lineRule="auto"/>
            </w:pPr>
            <w:r>
              <w:t>protection-autonomy paradox; emergent institutional ageism</w:t>
            </w:r>
          </w:p>
        </w:tc>
        <w:tc>
          <w:tcPr>
            <w:tcW w:type="dxa" w:w="3096"/>
            <w:vAlign w:val="top"/>
            <w:tcMar>
              <w:top w:w="60" w:type="dxa"/>
              <w:start w:w="70" w:type="dxa"/>
              <w:bottom w:w="60" w:type="dxa"/>
              <w:end w:w="70" w:type="dxa"/>
            </w:tcMar>
          </w:tcPr>
          <w:p>
            <w:pPr>
              <w:spacing w:after="0" w:before="0" w:line="240" w:lineRule="auto"/>
            </w:pPr>
            <w:r>
              <w:t>Systems synthesis; proposition for empirical testing</w:t>
            </w:r>
          </w:p>
        </w:tc>
      </w:tr>
    </w:tbl>
    <w:p>
      <w:pPr>
        <w:pStyle w:val="SuppHeading1"/>
      </w:pPr>
      <w:r>
        <w:t>Official document key</w:t>
      </w:r>
    </w:p>
    <w:tbl>
      <w:tblPr>
        <w:tblW w:type="auto" w:w="0"/>
        <w:jc w:val="center"/>
        <w:tblLayout w:type="fixed"/>
        <w:tblLook w:firstColumn="1" w:firstRow="1" w:lastColumn="0" w:lastRow="0" w:noHBand="0" w:noVBand="1" w:val="04A0"/>
        <w:tblBorders>
          <w:top w:val="single" w:sz="4" w:space="0" w:color="B7C3D0"/>
          <w:left w:val="single" w:sz="4" w:space="0" w:color="B7C3D0"/>
          <w:bottom w:val="single" w:sz="4" w:space="0" w:color="B7C3D0"/>
          <w:right w:val="single" w:sz="4" w:space="0" w:color="B7C3D0"/>
          <w:insideH w:val="single" w:sz="4" w:space="0" w:color="B7C3D0"/>
          <w:insideV w:val="single" w:sz="4" w:space="0" w:color="B7C3D0"/>
        </w:tblBorders>
      </w:tblPr>
      <w:tblGrid>
        <w:gridCol w:w="4848"/>
        <w:gridCol w:w="4848"/>
        <w:gridCol w:w="4848"/>
      </w:tblGrid>
      <w:tr>
        <w:trPr>
          <w:cantSplit/>
          <w:tblHeader w:val="true"/>
        </w:trPr>
        <w:tc>
          <w:tcPr>
            <w:tcW w:type="dxa" w:w="792"/>
            <w:vAlign w:val="top"/>
            <w:tcMar>
              <w:top w:w="60" w:type="dxa"/>
              <w:start w:w="70" w:type="dxa"/>
              <w:bottom w:w="60" w:type="dxa"/>
              <w:end w:w="70" w:type="dxa"/>
            </w:tcMar>
            <w:shd w:fill="1F4E78"/>
          </w:tcPr>
          <w:p>
            <w:pPr>
              <w:spacing w:after="0" w:before="0" w:line="240" w:lineRule="auto"/>
            </w:pPr>
            <w:r>
              <w:t>ID</w:t>
            </w:r>
          </w:p>
        </w:tc>
        <w:tc>
          <w:tcPr>
            <w:tcW w:type="dxa" w:w="6120"/>
            <w:vAlign w:val="top"/>
            <w:tcMar>
              <w:top w:w="60" w:type="dxa"/>
              <w:start w:w="70" w:type="dxa"/>
              <w:bottom w:w="60" w:type="dxa"/>
              <w:end w:w="70" w:type="dxa"/>
            </w:tcMar>
            <w:shd w:fill="1F4E78"/>
          </w:tcPr>
          <w:p>
            <w:pPr>
              <w:spacing w:after="0" w:before="0" w:line="240" w:lineRule="auto"/>
            </w:pPr>
            <w:r>
              <w:t>Document</w:t>
            </w:r>
          </w:p>
        </w:tc>
        <w:tc>
          <w:tcPr>
            <w:tcW w:type="dxa" w:w="7488"/>
            <w:vAlign w:val="top"/>
            <w:tcMar>
              <w:top w:w="60" w:type="dxa"/>
              <w:start w:w="70" w:type="dxa"/>
              <w:bottom w:w="60" w:type="dxa"/>
              <w:end w:w="70" w:type="dxa"/>
            </w:tcMar>
            <w:shd w:fill="1F4E78"/>
          </w:tcPr>
          <w:p>
            <w:pPr>
              <w:spacing w:after="0" w:before="0" w:line="240" w:lineRule="auto"/>
            </w:pPr>
            <w:r>
              <w:t>Official source</w:t>
            </w:r>
          </w:p>
        </w:tc>
      </w:tr>
      <w:tr>
        <w:trPr>
          <w:cantSplit/>
        </w:trPr>
        <w:tc>
          <w:tcPr>
            <w:tcW w:type="dxa" w:w="792"/>
            <w:vAlign w:val="top"/>
            <w:tcMar>
              <w:top w:w="60" w:type="dxa"/>
              <w:start w:w="70" w:type="dxa"/>
              <w:bottom w:w="60" w:type="dxa"/>
              <w:end w:w="70" w:type="dxa"/>
            </w:tcMar>
          </w:tcPr>
          <w:p>
            <w:pPr>
              <w:spacing w:after="0" w:before="0" w:line="240" w:lineRule="auto"/>
            </w:pPr>
            <w:r>
              <w:t>D1</w:t>
            </w:r>
          </w:p>
        </w:tc>
        <w:tc>
          <w:tcPr>
            <w:tcW w:type="dxa" w:w="6120"/>
            <w:vAlign w:val="top"/>
            <w:tcMar>
              <w:top w:w="60" w:type="dxa"/>
              <w:start w:w="70" w:type="dxa"/>
              <w:bottom w:w="60" w:type="dxa"/>
              <w:end w:w="70" w:type="dxa"/>
            </w:tcMar>
          </w:tcPr>
          <w:p>
            <w:pPr>
              <w:spacing w:after="0" w:before="0" w:line="240" w:lineRule="auto"/>
            </w:pPr>
            <w:r>
              <w:t>Law no. 292/2011 on social assistance, consolidated version</w:t>
            </w:r>
          </w:p>
        </w:tc>
        <w:tc>
          <w:tcPr>
            <w:tcW w:type="dxa" w:w="7488"/>
            <w:vAlign w:val="top"/>
            <w:tcMar>
              <w:top w:w="60" w:type="dxa"/>
              <w:start w:w="70" w:type="dxa"/>
              <w:bottom w:w="60" w:type="dxa"/>
              <w:end w:w="70" w:type="dxa"/>
            </w:tcMar>
          </w:tcPr>
          <w:p>
            <w:pPr>
              <w:spacing w:after="0" w:before="0" w:line="240" w:lineRule="auto"/>
            </w:pPr>
            <w:r>
              <w:t>https://legislatie.just.ro/Public/DetaliiDocumentAfis/304452</w:t>
            </w:r>
          </w:p>
        </w:tc>
      </w:tr>
      <w:tr>
        <w:trPr>
          <w:cantSplit/>
        </w:trPr>
        <w:tc>
          <w:tcPr>
            <w:tcW w:type="dxa" w:w="792"/>
            <w:vAlign w:val="top"/>
            <w:tcMar>
              <w:top w:w="60" w:type="dxa"/>
              <w:start w:w="70" w:type="dxa"/>
              <w:bottom w:w="60" w:type="dxa"/>
              <w:end w:w="70" w:type="dxa"/>
            </w:tcMar>
            <w:shd w:fill="F3F6F9"/>
          </w:tcPr>
          <w:p>
            <w:pPr>
              <w:spacing w:after="0" w:before="0" w:line="240" w:lineRule="auto"/>
            </w:pPr>
            <w:r>
              <w:t>D2</w:t>
            </w:r>
          </w:p>
        </w:tc>
        <w:tc>
          <w:tcPr>
            <w:tcW w:type="dxa" w:w="6120"/>
            <w:vAlign w:val="top"/>
            <w:tcMar>
              <w:top w:w="60" w:type="dxa"/>
              <w:start w:w="70" w:type="dxa"/>
              <w:bottom w:w="60" w:type="dxa"/>
              <w:end w:w="70" w:type="dxa"/>
            </w:tcMar>
            <w:shd w:fill="F3F6F9"/>
          </w:tcPr>
          <w:p>
            <w:pPr>
              <w:spacing w:after="0" w:before="0" w:line="240" w:lineRule="auto"/>
            </w:pPr>
            <w:r>
              <w:t>Law no. 17/2000 on social assistance for older persons, republished</w:t>
            </w:r>
          </w:p>
        </w:tc>
        <w:tc>
          <w:tcPr>
            <w:tcW w:type="dxa" w:w="7488"/>
            <w:vAlign w:val="top"/>
            <w:tcMar>
              <w:top w:w="60" w:type="dxa"/>
              <w:start w:w="70" w:type="dxa"/>
              <w:bottom w:w="60" w:type="dxa"/>
              <w:end w:w="70" w:type="dxa"/>
            </w:tcMar>
            <w:shd w:fill="F3F6F9"/>
          </w:tcPr>
          <w:p>
            <w:pPr>
              <w:spacing w:after="0" w:before="0" w:line="240" w:lineRule="auto"/>
            </w:pPr>
            <w:r>
              <w:t>https://legislatie.just.ro/Public/DetaliiDocumentAfis/304454</w:t>
            </w:r>
          </w:p>
        </w:tc>
      </w:tr>
      <w:tr>
        <w:trPr>
          <w:cantSplit/>
        </w:trPr>
        <w:tc>
          <w:tcPr>
            <w:tcW w:type="dxa" w:w="792"/>
            <w:vAlign w:val="top"/>
            <w:tcMar>
              <w:top w:w="60" w:type="dxa"/>
              <w:start w:w="70" w:type="dxa"/>
              <w:bottom w:w="60" w:type="dxa"/>
              <w:end w:w="70" w:type="dxa"/>
            </w:tcMar>
          </w:tcPr>
          <w:p>
            <w:pPr>
              <w:spacing w:after="0" w:before="0" w:line="240" w:lineRule="auto"/>
            </w:pPr>
            <w:r>
              <w:t>D3</w:t>
            </w:r>
          </w:p>
        </w:tc>
        <w:tc>
          <w:tcPr>
            <w:tcW w:type="dxa" w:w="6120"/>
            <w:vAlign w:val="top"/>
            <w:tcMar>
              <w:top w:w="60" w:type="dxa"/>
              <w:start w:w="70" w:type="dxa"/>
              <w:bottom w:w="60" w:type="dxa"/>
              <w:end w:w="70" w:type="dxa"/>
            </w:tcMar>
          </w:tcPr>
          <w:p>
            <w:pPr>
              <w:spacing w:after="0" w:before="0" w:line="240" w:lineRule="auto"/>
            </w:pPr>
            <w:r>
              <w:t>Government Decision no. 1492/2022 and National Strategy 2023–2030</w:t>
            </w:r>
          </w:p>
        </w:tc>
        <w:tc>
          <w:tcPr>
            <w:tcW w:type="dxa" w:w="7488"/>
            <w:vAlign w:val="top"/>
            <w:tcMar>
              <w:top w:w="60" w:type="dxa"/>
              <w:start w:w="70" w:type="dxa"/>
              <w:bottom w:w="60" w:type="dxa"/>
              <w:end w:w="70" w:type="dxa"/>
            </w:tcMar>
          </w:tcPr>
          <w:p>
            <w:pPr>
              <w:spacing w:after="0" w:before="0" w:line="240" w:lineRule="auto"/>
            </w:pPr>
            <w:r>
              <w:t>https://legislatie.just.ro/Public/DetaliiDocument/263098 ; https://legislatie.just.ro/Public/DetaliiDocumentAfis/263601</w:t>
            </w:r>
          </w:p>
        </w:tc>
      </w:tr>
      <w:tr>
        <w:trPr>
          <w:cantSplit/>
        </w:trPr>
        <w:tc>
          <w:tcPr>
            <w:tcW w:type="dxa" w:w="792"/>
            <w:vAlign w:val="top"/>
            <w:tcMar>
              <w:top w:w="60" w:type="dxa"/>
              <w:start w:w="70" w:type="dxa"/>
              <w:bottom w:w="60" w:type="dxa"/>
              <w:end w:w="70" w:type="dxa"/>
            </w:tcMar>
            <w:shd w:fill="F3F6F9"/>
          </w:tcPr>
          <w:p>
            <w:pPr>
              <w:spacing w:after="0" w:before="0" w:line="240" w:lineRule="auto"/>
            </w:pPr>
            <w:r>
              <w:t>D4</w:t>
            </w:r>
          </w:p>
        </w:tc>
        <w:tc>
          <w:tcPr>
            <w:tcW w:type="dxa" w:w="6120"/>
            <w:vAlign w:val="top"/>
            <w:tcMar>
              <w:top w:w="60" w:type="dxa"/>
              <w:start w:w="70" w:type="dxa"/>
              <w:bottom w:w="60" w:type="dxa"/>
              <w:end w:w="70" w:type="dxa"/>
            </w:tcMar>
            <w:shd w:fill="F3F6F9"/>
          </w:tcPr>
          <w:p>
            <w:pPr>
              <w:spacing w:after="0" w:before="0" w:line="240" w:lineRule="auto"/>
            </w:pPr>
            <w:r>
              <w:t>Order no. 29/2019, Annex 1, residential-service quality standards</w:t>
            </w:r>
          </w:p>
        </w:tc>
        <w:tc>
          <w:tcPr>
            <w:tcW w:type="dxa" w:w="7488"/>
            <w:vAlign w:val="top"/>
            <w:tcMar>
              <w:top w:w="60" w:type="dxa"/>
              <w:start w:w="70" w:type="dxa"/>
              <w:bottom w:w="60" w:type="dxa"/>
              <w:end w:w="70" w:type="dxa"/>
            </w:tcMar>
            <w:shd w:fill="F3F6F9"/>
          </w:tcPr>
          <w:p>
            <w:pPr>
              <w:spacing w:after="0" w:before="0" w:line="240" w:lineRule="auto"/>
            </w:pPr>
            <w:r>
              <w:t>https://legislatie.just.ro/Public/DetaliiDocument/211018</w:t>
            </w:r>
          </w:p>
        </w:tc>
      </w:tr>
      <w:tr>
        <w:trPr>
          <w:cantSplit/>
        </w:trPr>
        <w:tc>
          <w:tcPr>
            <w:tcW w:type="dxa" w:w="792"/>
            <w:vAlign w:val="top"/>
            <w:tcMar>
              <w:top w:w="60" w:type="dxa"/>
              <w:start w:w="70" w:type="dxa"/>
              <w:bottom w:w="60" w:type="dxa"/>
              <w:end w:w="70" w:type="dxa"/>
            </w:tcMar>
          </w:tcPr>
          <w:p>
            <w:pPr>
              <w:spacing w:after="0" w:before="0" w:line="240" w:lineRule="auto"/>
            </w:pPr>
            <w:r>
              <w:t>D5</w:t>
            </w:r>
          </w:p>
        </w:tc>
        <w:tc>
          <w:tcPr>
            <w:tcW w:type="dxa" w:w="6120"/>
            <w:vAlign w:val="top"/>
            <w:tcMar>
              <w:top w:w="60" w:type="dxa"/>
              <w:start w:w="70" w:type="dxa"/>
              <w:bottom w:w="60" w:type="dxa"/>
              <w:end w:w="70" w:type="dxa"/>
            </w:tcMar>
          </w:tcPr>
          <w:p>
            <w:pPr>
              <w:spacing w:after="0" w:before="0" w:line="240" w:lineRule="auto"/>
            </w:pPr>
            <w:r>
              <w:t>Order no. 2489/2023, case-management standards</w:t>
            </w:r>
          </w:p>
        </w:tc>
        <w:tc>
          <w:tcPr>
            <w:tcW w:type="dxa" w:w="7488"/>
            <w:vAlign w:val="top"/>
            <w:tcMar>
              <w:top w:w="60" w:type="dxa"/>
              <w:start w:w="70" w:type="dxa"/>
              <w:bottom w:w="60" w:type="dxa"/>
              <w:end w:w="70" w:type="dxa"/>
            </w:tcMar>
          </w:tcPr>
          <w:p>
            <w:pPr>
              <w:spacing w:after="0" w:before="0" w:line="240" w:lineRule="auto"/>
            </w:pPr>
            <w:r>
              <w:t>https://legislatie.just.ro/Public/DetaliiDocument/277683</w:t>
            </w:r>
          </w:p>
        </w:tc>
      </w:tr>
      <w:tr>
        <w:trPr>
          <w:cantSplit/>
        </w:trPr>
        <w:tc>
          <w:tcPr>
            <w:tcW w:type="dxa" w:w="792"/>
            <w:vAlign w:val="top"/>
            <w:tcMar>
              <w:top w:w="60" w:type="dxa"/>
              <w:start w:w="70" w:type="dxa"/>
              <w:bottom w:w="60" w:type="dxa"/>
              <w:end w:w="70" w:type="dxa"/>
            </w:tcMar>
            <w:shd w:fill="F3F6F9"/>
          </w:tcPr>
          <w:p>
            <w:pPr>
              <w:spacing w:after="0" w:before="0" w:line="240" w:lineRule="auto"/>
            </w:pPr>
            <w:r>
              <w:t>D6</w:t>
            </w:r>
          </w:p>
        </w:tc>
        <w:tc>
          <w:tcPr>
            <w:tcW w:type="dxa" w:w="6120"/>
            <w:vAlign w:val="top"/>
            <w:tcMar>
              <w:top w:w="60" w:type="dxa"/>
              <w:start w:w="70" w:type="dxa"/>
              <w:bottom w:w="60" w:type="dxa"/>
              <w:end w:w="70" w:type="dxa"/>
            </w:tcMar>
            <w:shd w:fill="F3F6F9"/>
          </w:tcPr>
          <w:p>
            <w:pPr>
              <w:spacing w:after="0" w:before="0" w:line="240" w:lineRule="auto"/>
            </w:pPr>
            <w:r>
              <w:t>Order no. 1923/2024, community-needs methodology</w:t>
            </w:r>
          </w:p>
        </w:tc>
        <w:tc>
          <w:tcPr>
            <w:tcW w:type="dxa" w:w="7488"/>
            <w:vAlign w:val="top"/>
            <w:tcMar>
              <w:top w:w="60" w:type="dxa"/>
              <w:start w:w="70" w:type="dxa"/>
              <w:bottom w:w="60" w:type="dxa"/>
              <w:end w:w="70" w:type="dxa"/>
            </w:tcMar>
            <w:shd w:fill="F3F6F9"/>
          </w:tcPr>
          <w:p>
            <w:pPr>
              <w:spacing w:after="0" w:before="0" w:line="240" w:lineRule="auto"/>
            </w:pPr>
            <w:r>
              <w:t>https://legislatie.just.ro/Public/DetaliiDocument/288311</w:t>
            </w:r>
          </w:p>
        </w:tc>
      </w:tr>
      <w:tr>
        <w:trPr>
          <w:cantSplit/>
        </w:trPr>
        <w:tc>
          <w:tcPr>
            <w:tcW w:type="dxa" w:w="792"/>
            <w:vAlign w:val="top"/>
            <w:tcMar>
              <w:top w:w="60" w:type="dxa"/>
              <w:start w:w="70" w:type="dxa"/>
              <w:bottom w:w="60" w:type="dxa"/>
              <w:end w:w="70" w:type="dxa"/>
            </w:tcMar>
          </w:tcPr>
          <w:p>
            <w:pPr>
              <w:spacing w:after="0" w:before="0" w:line="240" w:lineRule="auto"/>
            </w:pPr>
            <w:r>
              <w:t>D7</w:t>
            </w:r>
          </w:p>
        </w:tc>
        <w:tc>
          <w:tcPr>
            <w:tcW w:type="dxa" w:w="6120"/>
            <w:vAlign w:val="top"/>
            <w:tcMar>
              <w:top w:w="60" w:type="dxa"/>
              <w:start w:w="70" w:type="dxa"/>
              <w:bottom w:w="60" w:type="dxa"/>
              <w:end w:w="70" w:type="dxa"/>
            </w:tcMar>
          </w:tcPr>
          <w:p>
            <w:pPr>
              <w:spacing w:after="0" w:before="0" w:line="240" w:lineRule="auto"/>
            </w:pPr>
            <w:r>
              <w:t>Order no. 1126/2025, framework contract and monitoring instruments</w:t>
            </w:r>
          </w:p>
        </w:tc>
        <w:tc>
          <w:tcPr>
            <w:tcW w:type="dxa" w:w="7488"/>
            <w:vAlign w:val="top"/>
            <w:tcMar>
              <w:top w:w="60" w:type="dxa"/>
              <w:start w:w="70" w:type="dxa"/>
              <w:bottom w:w="60" w:type="dxa"/>
              <w:end w:w="70" w:type="dxa"/>
            </w:tcMar>
          </w:tcPr>
          <w:p>
            <w:pPr>
              <w:spacing w:after="0" w:before="0" w:line="240" w:lineRule="auto"/>
            </w:pPr>
            <w:r>
              <w:t>https://legislatie.just.ro/Public/DetaliiDocument/298260</w:t>
            </w:r>
          </w:p>
        </w:tc>
      </w:tr>
      <w:tr>
        <w:trPr>
          <w:cantSplit/>
        </w:trPr>
        <w:tc>
          <w:tcPr>
            <w:tcW w:type="dxa" w:w="792"/>
            <w:vAlign w:val="top"/>
            <w:tcMar>
              <w:top w:w="60" w:type="dxa"/>
              <w:start w:w="70" w:type="dxa"/>
              <w:bottom w:w="60" w:type="dxa"/>
              <w:end w:w="70" w:type="dxa"/>
            </w:tcMar>
            <w:shd w:fill="F3F6F9"/>
          </w:tcPr>
          <w:p>
            <w:pPr>
              <w:spacing w:after="0" w:before="0" w:line="240" w:lineRule="auto"/>
            </w:pPr>
            <w:r>
              <w:t>D8</w:t>
            </w:r>
          </w:p>
        </w:tc>
        <w:tc>
          <w:tcPr>
            <w:tcW w:type="dxa" w:w="6120"/>
            <w:vAlign w:val="top"/>
            <w:tcMar>
              <w:top w:w="60" w:type="dxa"/>
              <w:start w:w="70" w:type="dxa"/>
              <w:bottom w:w="60" w:type="dxa"/>
              <w:end w:w="70" w:type="dxa"/>
            </w:tcMar>
            <w:shd w:fill="F3F6F9"/>
          </w:tcPr>
          <w:p>
            <w:pPr>
              <w:spacing w:after="0" w:before="0" w:line="240" w:lineRule="auto"/>
            </w:pPr>
            <w:r>
              <w:t>Order no. 328/2025 as amended, health authorization requirements</w:t>
            </w:r>
          </w:p>
        </w:tc>
        <w:tc>
          <w:tcPr>
            <w:tcW w:type="dxa" w:w="7488"/>
            <w:vAlign w:val="top"/>
            <w:tcMar>
              <w:top w:w="60" w:type="dxa"/>
              <w:start w:w="70" w:type="dxa"/>
              <w:bottom w:w="60" w:type="dxa"/>
              <w:end w:w="70" w:type="dxa"/>
            </w:tcMar>
            <w:shd w:fill="F3F6F9"/>
          </w:tcPr>
          <w:p>
            <w:pPr>
              <w:spacing w:after="0" w:before="0" w:line="240" w:lineRule="auto"/>
            </w:pPr>
            <w:r>
              <w:t>https://legislatie.just.ro/Public/DetaliiDocument/305995</w:t>
            </w:r>
          </w:p>
        </w:tc>
      </w:tr>
      <w:tr>
        <w:trPr>
          <w:cantSplit/>
        </w:trPr>
        <w:tc>
          <w:tcPr>
            <w:tcW w:type="dxa" w:w="792"/>
            <w:vAlign w:val="top"/>
            <w:tcMar>
              <w:top w:w="60" w:type="dxa"/>
              <w:start w:w="70" w:type="dxa"/>
              <w:bottom w:w="60" w:type="dxa"/>
              <w:end w:w="70" w:type="dxa"/>
            </w:tcMar>
          </w:tcPr>
          <w:p>
            <w:pPr>
              <w:spacing w:after="0" w:before="0" w:line="240" w:lineRule="auto"/>
            </w:pPr>
            <w:r>
              <w:t>D9</w:t>
            </w:r>
          </w:p>
        </w:tc>
        <w:tc>
          <w:tcPr>
            <w:tcW w:type="dxa" w:w="6120"/>
            <w:vAlign w:val="top"/>
            <w:tcMar>
              <w:top w:w="60" w:type="dxa"/>
              <w:start w:w="70" w:type="dxa"/>
              <w:bottom w:w="60" w:type="dxa"/>
              <w:end w:w="70" w:type="dxa"/>
            </w:tcMar>
          </w:tcPr>
          <w:p>
            <w:pPr>
              <w:spacing w:after="0" w:before="0" w:line="240" w:lineRule="auto"/>
            </w:pPr>
            <w:r>
              <w:t>Government Decision no. 268/2026, nomenclature and framework regulation</w:t>
            </w:r>
          </w:p>
        </w:tc>
        <w:tc>
          <w:tcPr>
            <w:tcW w:type="dxa" w:w="7488"/>
            <w:vAlign w:val="top"/>
            <w:tcMar>
              <w:top w:w="60" w:type="dxa"/>
              <w:start w:w="70" w:type="dxa"/>
              <w:bottom w:w="60" w:type="dxa"/>
              <w:end w:w="70" w:type="dxa"/>
            </w:tcMar>
          </w:tcPr>
          <w:p>
            <w:pPr>
              <w:spacing w:after="0" w:before="0" w:line="240" w:lineRule="auto"/>
            </w:pPr>
            <w:r>
              <w:t>https://legislatie.just.ro/Public/DetaliiDocument/310587</w:t>
            </w:r>
          </w:p>
        </w:tc>
      </w:tr>
    </w:tbl>
    <w:p>
      <w:pPr>
        <w:pStyle w:val="SuppHeading1"/>
      </w:pPr>
      <w:r>
        <w:t>Interpretive boundary</w:t>
      </w:r>
    </w:p>
    <w:p>
      <w:r>
        <w:t>The matrix identifies regulatory conditions and analytic hypotheses. It does not demonstrate how any specific provider implements the rules, does not estimate the prevalence of ageism, and does not establish resident health outcomes. The theoretical proposition should therefore be tested in future implementation and resident-led research.</w:t>
      </w:r>
    </w:p>
    <w:sectPr>
      <w:pgSz w:w="15840" w:h="12240" w:orient="landscape"/>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ppTitle">
    <w:name w:val="SuppTitle"/>
    <w:pPr>
      <w:spacing w:before="80" w:after="80"/>
    </w:pPr>
    <w:rPr>
      <w:rFonts w:ascii="Arial" w:hAnsi="Arial"/>
      <w:b/>
      <w:color w:val="1F4E78"/>
      <w:sz w:val="30"/>
    </w:rPr>
  </w:style>
  <w:style w:type="paragraph" w:customStyle="1" w:styleId="SuppSubtitle">
    <w:name w:val="SuppSubtitle"/>
    <w:pPr>
      <w:spacing w:before="80" w:after="80"/>
    </w:pPr>
    <w:rPr>
      <w:rFonts w:ascii="Arial" w:hAnsi="Arial"/>
      <w:b w:val="0"/>
      <w:color w:val="404040"/>
      <w:sz w:val="20"/>
    </w:rPr>
  </w:style>
  <w:style w:type="paragraph" w:customStyle="1" w:styleId="SuppHeading1">
    <w:name w:val="SuppHeading1"/>
    <w:pPr>
      <w:spacing w:before="80" w:after="80"/>
    </w:pPr>
    <w:rPr>
      <w:rFonts w:ascii="Arial" w:hAnsi="Arial"/>
      <w:b/>
      <w:color w:val="1F4E78"/>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2: Source-linked evidence matrix</dc:title>
  <dc:subject>BMC Geriatrics supplementary information</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