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B997D" w14:textId="77777777" w:rsidR="00A660B0" w:rsidRDefault="00000000">
      <w:pPr>
        <w:spacing w:after="160"/>
      </w:pPr>
      <w:r>
        <w:rPr>
          <w:b/>
          <w:sz w:val="24"/>
        </w:rPr>
        <w:t>Electronic Supplementary Material</w:t>
      </w:r>
    </w:p>
    <w:p w14:paraId="106C3EEF" w14:textId="77777777" w:rsidR="00A660B0" w:rsidRDefault="00000000">
      <w:pPr>
        <w:spacing w:after="160"/>
      </w:pPr>
      <w:r>
        <w:rPr>
          <w:b/>
          <w:sz w:val="22"/>
        </w:rPr>
        <w:t>Buffer-disciplined freezing-directed conjugation of an anti-HER2 aptamer to gold nanoparticles with a salt-challenge quality gate</w:t>
      </w:r>
    </w:p>
    <w:p w14:paraId="23B7073B" w14:textId="77777777" w:rsidR="00A660B0" w:rsidRDefault="00000000">
      <w:r>
        <w:t>Delima Engga Maretha¹* · Chairul Ichsan² · Rohmatulaili² · Bagus Rizkyantoro² · Irfan Muzakki² · Rindy Apriliani² · Nabillah Bilqis Haffizhoh²</w:t>
      </w:r>
    </w:p>
    <w:p w14:paraId="3F9D22F2" w14:textId="77777777" w:rsidR="00A660B0" w:rsidRDefault="00000000">
      <w:pPr>
        <w:spacing w:after="40"/>
      </w:pPr>
      <w:r>
        <w:rPr>
          <w:sz w:val="18"/>
        </w:rPr>
        <w:t>¹ Department of Biology, Faculty of Science and Technology, Universitas Islam Negeri Raden Fatah Palembang, Palembang, South Sumatra 30267, Indonesia</w:t>
      </w:r>
    </w:p>
    <w:p w14:paraId="0A5286D1" w14:textId="77777777" w:rsidR="00A660B0" w:rsidRDefault="00000000">
      <w:pPr>
        <w:spacing w:after="40"/>
      </w:pPr>
      <w:r>
        <w:rPr>
          <w:sz w:val="18"/>
        </w:rPr>
        <w:t>² Department of Chemistry, Faculty of Science and Technology, Universitas Islam Negeri Raden Fatah Palembang, Palembang, South Sumatra 30267, Indonesia</w:t>
      </w:r>
    </w:p>
    <w:p w14:paraId="1B0ABECB" w14:textId="77777777" w:rsidR="00A660B0" w:rsidRDefault="00000000">
      <w:pPr>
        <w:spacing w:after="80"/>
      </w:pPr>
      <w:r>
        <w:rPr>
          <w:sz w:val="18"/>
        </w:rPr>
        <w:t>* Corresponding author: Delima Engga Maretha, delimaenggamaretha_uin@radenfatah.ac.id</w:t>
      </w:r>
    </w:p>
    <w:p w14:paraId="06463470" w14:textId="77777777" w:rsidR="00A660B0" w:rsidRDefault="00000000">
      <w:pPr>
        <w:spacing w:after="320"/>
      </w:pPr>
      <w:r>
        <w:rPr>
          <w:i/>
          <w:sz w:val="18"/>
        </w:rPr>
        <w:t>Submitted to Microchimica Acta</w:t>
      </w:r>
    </w:p>
    <w:p w14:paraId="4E565320" w14:textId="77777777" w:rsidR="00A660B0" w:rsidRDefault="00000000">
      <w:pPr>
        <w:keepNext/>
        <w:spacing w:before="160" w:after="80" w:line="240" w:lineRule="auto"/>
      </w:pPr>
      <w:r>
        <w:rPr>
          <w:b/>
          <w:sz w:val="18"/>
        </w:rPr>
        <w:t>Table S1</w:t>
      </w:r>
      <w:r>
        <w:rPr>
          <w:sz w:val="18"/>
        </w:rPr>
        <w:t xml:space="preserve"> Upstream unit operations and their design rationale</w:t>
      </w:r>
    </w:p>
    <w:tbl>
      <w:tblPr>
        <w:tblW w:w="0" w:type="auto"/>
        <w:tblBorders>
          <w:top w:val="single" w:sz="6" w:space="0" w:color="000000"/>
          <w:bottom w:val="single" w:sz="6" w:space="0" w:color="000000"/>
          <w:insideH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2448"/>
        <w:gridCol w:w="5184"/>
      </w:tblGrid>
      <w:tr w:rsidR="00A660B0" w14:paraId="5E7754C8" w14:textId="77777777">
        <w:trPr>
          <w:cantSplit/>
          <w:tblHeader/>
        </w:trPr>
        <w:tc>
          <w:tcPr>
            <w:tcW w:w="1728" w:type="dxa"/>
          </w:tcPr>
          <w:p w14:paraId="60BFD36E" w14:textId="77777777" w:rsidR="00A660B0" w:rsidRDefault="00000000">
            <w:pPr>
              <w:spacing w:before="40" w:after="40" w:line="240" w:lineRule="auto"/>
            </w:pPr>
            <w:r>
              <w:rPr>
                <w:b/>
                <w:sz w:val="18"/>
              </w:rPr>
              <w:t>Step</w:t>
            </w:r>
          </w:p>
        </w:tc>
        <w:tc>
          <w:tcPr>
            <w:tcW w:w="2448" w:type="dxa"/>
          </w:tcPr>
          <w:p w14:paraId="3A1F16E0" w14:textId="77777777" w:rsidR="00A660B0" w:rsidRDefault="00000000">
            <w:pPr>
              <w:spacing w:before="40" w:after="40" w:line="240" w:lineRule="auto"/>
            </w:pPr>
            <w:r>
              <w:rPr>
                <w:b/>
                <w:sz w:val="18"/>
              </w:rPr>
              <w:t>Operation</w:t>
            </w:r>
          </w:p>
        </w:tc>
        <w:tc>
          <w:tcPr>
            <w:tcW w:w="5184" w:type="dxa"/>
          </w:tcPr>
          <w:p w14:paraId="55BD6923" w14:textId="77777777" w:rsidR="00A660B0" w:rsidRDefault="00000000">
            <w:pPr>
              <w:spacing w:before="40" w:after="40" w:line="240" w:lineRule="auto"/>
            </w:pPr>
            <w:r>
              <w:rPr>
                <w:b/>
                <w:sz w:val="18"/>
              </w:rPr>
              <w:t>Rationale</w:t>
            </w:r>
          </w:p>
        </w:tc>
      </w:tr>
      <w:tr w:rsidR="00A660B0" w14:paraId="08F67E05" w14:textId="77777777">
        <w:trPr>
          <w:cantSplit/>
        </w:trPr>
        <w:tc>
          <w:tcPr>
            <w:tcW w:w="1728" w:type="dxa"/>
          </w:tcPr>
          <w:p w14:paraId="22FC5A2B" w14:textId="77777777" w:rsidR="00A660B0" w:rsidRDefault="00000000">
            <w:pPr>
              <w:spacing w:before="40" w:after="40" w:line="240" w:lineRule="auto"/>
            </w:pPr>
            <w:r>
              <w:rPr>
                <w:sz w:val="18"/>
              </w:rPr>
              <w:t>Reduction</w:t>
            </w:r>
          </w:p>
        </w:tc>
        <w:tc>
          <w:tcPr>
            <w:tcW w:w="2448" w:type="dxa"/>
          </w:tcPr>
          <w:p w14:paraId="461BF179" w14:textId="77777777" w:rsidR="00A660B0" w:rsidRDefault="00000000">
            <w:pPr>
              <w:spacing w:before="40" w:after="40" w:line="240" w:lineRule="auto"/>
            </w:pPr>
            <w:r>
              <w:rPr>
                <w:sz w:val="18"/>
              </w:rPr>
              <w:t>DTT 50 mM, 1–2 h</w:t>
            </w:r>
          </w:p>
        </w:tc>
        <w:tc>
          <w:tcPr>
            <w:tcW w:w="5184" w:type="dxa"/>
          </w:tcPr>
          <w:p w14:paraId="390B7E3B" w14:textId="77777777" w:rsidR="00A660B0" w:rsidRDefault="00000000">
            <w:pPr>
              <w:spacing w:before="40" w:after="40" w:line="240" w:lineRule="auto"/>
            </w:pPr>
            <w:r>
              <w:rPr>
                <w:sz w:val="18"/>
              </w:rPr>
              <w:t>Cleaves the 5′-disulfide to the free thiol; a ~500-fold excess is sufficient while limiting the DTT to be removed</w:t>
            </w:r>
          </w:p>
        </w:tc>
      </w:tr>
      <w:tr w:rsidR="00A660B0" w14:paraId="0BD77001" w14:textId="77777777">
        <w:trPr>
          <w:cantSplit/>
        </w:trPr>
        <w:tc>
          <w:tcPr>
            <w:tcW w:w="1728" w:type="dxa"/>
          </w:tcPr>
          <w:p w14:paraId="734D3E76" w14:textId="77777777" w:rsidR="00A660B0" w:rsidRDefault="00000000">
            <w:pPr>
              <w:spacing w:before="40" w:after="40" w:line="240" w:lineRule="auto"/>
            </w:pPr>
            <w:r>
              <w:rPr>
                <w:sz w:val="18"/>
              </w:rPr>
              <w:t>Purification</w:t>
            </w:r>
          </w:p>
        </w:tc>
        <w:tc>
          <w:tcPr>
            <w:tcW w:w="2448" w:type="dxa"/>
          </w:tcPr>
          <w:p w14:paraId="75621AFE" w14:textId="77777777" w:rsidR="00A660B0" w:rsidRDefault="00000000">
            <w:pPr>
              <w:spacing w:before="40" w:after="40" w:line="240" w:lineRule="auto"/>
            </w:pPr>
            <w:r>
              <w:rPr>
                <w:sz w:val="18"/>
              </w:rPr>
              <w:t>Ethanol precipitation</w:t>
            </w:r>
          </w:p>
        </w:tc>
        <w:tc>
          <w:tcPr>
            <w:tcW w:w="5184" w:type="dxa"/>
          </w:tcPr>
          <w:p w14:paraId="4FB2724A" w14:textId="77777777" w:rsidR="00A660B0" w:rsidRDefault="00000000">
            <w:pPr>
              <w:spacing w:before="40" w:after="40" w:line="240" w:lineRule="auto"/>
            </w:pPr>
            <w:r>
              <w:rPr>
                <w:sz w:val="18"/>
              </w:rPr>
              <w:t>Removes DTT completely; dissolving the pellet in a measured volume fixes the aptamer concentration (e.g. 50 µM)</w:t>
            </w:r>
          </w:p>
        </w:tc>
      </w:tr>
      <w:tr w:rsidR="00A660B0" w14:paraId="56B4BB87" w14:textId="77777777">
        <w:trPr>
          <w:cantSplit/>
        </w:trPr>
        <w:tc>
          <w:tcPr>
            <w:tcW w:w="1728" w:type="dxa"/>
          </w:tcPr>
          <w:p w14:paraId="62F09826" w14:textId="77777777" w:rsidR="00A660B0" w:rsidRDefault="00000000">
            <w:pPr>
              <w:spacing w:before="40" w:after="40" w:line="240" w:lineRule="auto"/>
            </w:pPr>
            <w:r>
              <w:rPr>
                <w:sz w:val="18"/>
              </w:rPr>
              <w:t>Buffer discipline</w:t>
            </w:r>
          </w:p>
        </w:tc>
        <w:tc>
          <w:tcPr>
            <w:tcW w:w="2448" w:type="dxa"/>
          </w:tcPr>
          <w:p w14:paraId="4309D614" w14:textId="77777777" w:rsidR="00A660B0" w:rsidRDefault="00000000">
            <w:pPr>
              <w:spacing w:before="40" w:after="40" w:line="240" w:lineRule="auto"/>
            </w:pPr>
            <w:r>
              <w:rPr>
                <w:sz w:val="18"/>
              </w:rPr>
              <w:t>Water or low-salt media upstream</w:t>
            </w:r>
          </w:p>
        </w:tc>
        <w:tc>
          <w:tcPr>
            <w:tcW w:w="5184" w:type="dxa"/>
          </w:tcPr>
          <w:p w14:paraId="6B6682CC" w14:textId="77777777" w:rsidR="00A660B0" w:rsidRDefault="00000000">
            <w:pPr>
              <w:spacing w:before="40" w:after="40" w:line="240" w:lineRule="auto"/>
            </w:pPr>
            <w:r>
              <w:rPr>
                <w:sz w:val="18"/>
              </w:rPr>
              <w:t>Keeps NaCl below the CCC; PBS only after conjugation</w:t>
            </w:r>
          </w:p>
        </w:tc>
      </w:tr>
      <w:tr w:rsidR="00A660B0" w14:paraId="10B8E94D" w14:textId="77777777">
        <w:trPr>
          <w:cantSplit/>
        </w:trPr>
        <w:tc>
          <w:tcPr>
            <w:tcW w:w="1728" w:type="dxa"/>
          </w:tcPr>
          <w:p w14:paraId="6E8B07C7" w14:textId="77777777" w:rsidR="00A660B0" w:rsidRDefault="00000000">
            <w:pPr>
              <w:spacing w:before="40" w:after="40" w:line="240" w:lineRule="auto"/>
            </w:pPr>
            <w:r>
              <w:rPr>
                <w:sz w:val="18"/>
              </w:rPr>
              <w:t>Conjugation</w:t>
            </w:r>
          </w:p>
        </w:tc>
        <w:tc>
          <w:tcPr>
            <w:tcW w:w="2448" w:type="dxa"/>
          </w:tcPr>
          <w:p w14:paraId="66B6400C" w14:textId="77777777" w:rsidR="00A660B0" w:rsidRDefault="00000000">
            <w:pPr>
              <w:spacing w:before="40" w:after="40" w:line="240" w:lineRule="auto"/>
            </w:pPr>
            <w:r>
              <w:rPr>
                <w:sz w:val="18"/>
              </w:rPr>
              <w:t>Freeze at −20 °C for ≥2 h, then slow thaw</w:t>
            </w:r>
          </w:p>
        </w:tc>
        <w:tc>
          <w:tcPr>
            <w:tcW w:w="5184" w:type="dxa"/>
          </w:tcPr>
          <w:p w14:paraId="78C3F5C8" w14:textId="77777777" w:rsidR="00A660B0" w:rsidRDefault="00000000">
            <w:pPr>
              <w:spacing w:before="40" w:after="40" w:line="240" w:lineRule="auto"/>
            </w:pPr>
            <w:r>
              <w:rPr>
                <w:sz w:val="18"/>
              </w:rPr>
              <w:t>Reagentless, dense loading; no salt, acid or surfactant</w:t>
            </w:r>
          </w:p>
        </w:tc>
      </w:tr>
      <w:tr w:rsidR="00A660B0" w14:paraId="4B1E832A" w14:textId="77777777">
        <w:trPr>
          <w:cantSplit/>
        </w:trPr>
        <w:tc>
          <w:tcPr>
            <w:tcW w:w="1728" w:type="dxa"/>
          </w:tcPr>
          <w:p w14:paraId="20DAFB54" w14:textId="77777777" w:rsidR="00A660B0" w:rsidRDefault="00000000">
            <w:pPr>
              <w:spacing w:before="40" w:after="40" w:line="240" w:lineRule="auto"/>
            </w:pPr>
            <w:r>
              <w:rPr>
                <w:sz w:val="18"/>
              </w:rPr>
              <w:t>Ratio</w:t>
            </w:r>
          </w:p>
        </w:tc>
        <w:tc>
          <w:tcPr>
            <w:tcW w:w="2448" w:type="dxa"/>
          </w:tcPr>
          <w:p w14:paraId="0BE87C84" w14:textId="77777777" w:rsidR="00A660B0" w:rsidRDefault="00000000">
            <w:pPr>
              <w:spacing w:before="40" w:after="40" w:line="240" w:lineRule="auto"/>
            </w:pPr>
            <w:r>
              <w:rPr>
                <w:sz w:val="18"/>
              </w:rPr>
              <w:t>~500:1 aptamer to particle</w:t>
            </w:r>
          </w:p>
        </w:tc>
        <w:tc>
          <w:tcPr>
            <w:tcW w:w="5184" w:type="dxa"/>
          </w:tcPr>
          <w:p w14:paraId="70FD93DD" w14:textId="77777777" w:rsidR="00A660B0" w:rsidRDefault="00000000">
            <w:pPr>
              <w:spacing w:before="40" w:after="40" w:line="240" w:lineRule="auto"/>
            </w:pPr>
            <w:r>
              <w:rPr>
                <w:sz w:val="18"/>
              </w:rPr>
              <w:t>Ensures adequate surface protection (raised from ~216:1)</w:t>
            </w:r>
          </w:p>
        </w:tc>
      </w:tr>
      <w:tr w:rsidR="00A660B0" w14:paraId="14A0400E" w14:textId="77777777">
        <w:trPr>
          <w:cantSplit/>
        </w:trPr>
        <w:tc>
          <w:tcPr>
            <w:tcW w:w="1728" w:type="dxa"/>
          </w:tcPr>
          <w:p w14:paraId="6C9AC217" w14:textId="77777777" w:rsidR="00A660B0" w:rsidRDefault="00000000">
            <w:pPr>
              <w:spacing w:before="40" w:after="40" w:line="240" w:lineRule="auto"/>
            </w:pPr>
            <w:r>
              <w:rPr>
                <w:sz w:val="18"/>
              </w:rPr>
              <w:t>Quality gate</w:t>
            </w:r>
          </w:p>
        </w:tc>
        <w:tc>
          <w:tcPr>
            <w:tcW w:w="2448" w:type="dxa"/>
          </w:tcPr>
          <w:p w14:paraId="0814D269" w14:textId="77777777" w:rsidR="00A660B0" w:rsidRDefault="00000000">
            <w:pPr>
              <w:spacing w:before="40" w:after="40" w:line="240" w:lineRule="auto"/>
            </w:pPr>
            <w:r>
              <w:rPr>
                <w:sz w:val="18"/>
              </w:rPr>
              <w:t>Salt-challenge at 500 mM NaCl</w:t>
            </w:r>
          </w:p>
        </w:tc>
        <w:tc>
          <w:tcPr>
            <w:tcW w:w="5184" w:type="dxa"/>
          </w:tcPr>
          <w:p w14:paraId="21D8C8E8" w14:textId="77777777" w:rsidR="00A660B0" w:rsidRDefault="00000000">
            <w:pPr>
              <w:spacing w:before="40" w:after="40" w:line="240" w:lineRule="auto"/>
            </w:pPr>
            <w:r>
              <w:rPr>
                <w:sz w:val="18"/>
              </w:rPr>
              <w:t>Equipment-free pass/fail before washing</w:t>
            </w:r>
          </w:p>
        </w:tc>
      </w:tr>
    </w:tbl>
    <w:p w14:paraId="62C60F68" w14:textId="77777777" w:rsidR="00A660B0" w:rsidRDefault="00A660B0">
      <w:pPr>
        <w:spacing w:after="280"/>
      </w:pPr>
    </w:p>
    <w:p w14:paraId="6349FD11" w14:textId="77777777" w:rsidR="00A660B0" w:rsidRDefault="00000000">
      <w:pPr>
        <w:keepNext/>
        <w:spacing w:before="160" w:after="80" w:line="240" w:lineRule="auto"/>
      </w:pPr>
      <w:r>
        <w:rPr>
          <w:b/>
          <w:sz w:val="18"/>
        </w:rPr>
        <w:t>Table S2</w:t>
      </w:r>
      <w:r>
        <w:rPr>
          <w:sz w:val="18"/>
        </w:rPr>
        <w:t xml:space="preserve"> Interpretation of the salt-challenge quality gate</w:t>
      </w:r>
    </w:p>
    <w:tbl>
      <w:tblPr>
        <w:tblW w:w="0" w:type="auto"/>
        <w:tblBorders>
          <w:top w:val="single" w:sz="6" w:space="0" w:color="000000"/>
          <w:bottom w:val="single" w:sz="6" w:space="0" w:color="000000"/>
          <w:insideH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36"/>
        <w:gridCol w:w="2736"/>
        <w:gridCol w:w="3888"/>
      </w:tblGrid>
      <w:tr w:rsidR="00A660B0" w14:paraId="18FD44C4" w14:textId="77777777">
        <w:trPr>
          <w:cantSplit/>
          <w:tblHeader/>
        </w:trPr>
        <w:tc>
          <w:tcPr>
            <w:tcW w:w="2736" w:type="dxa"/>
          </w:tcPr>
          <w:p w14:paraId="287E71C9" w14:textId="77777777" w:rsidR="00A660B0" w:rsidRDefault="00000000">
            <w:pPr>
              <w:spacing w:before="40" w:after="40" w:line="240" w:lineRule="auto"/>
            </w:pPr>
            <w:r>
              <w:rPr>
                <w:b/>
                <w:sz w:val="18"/>
              </w:rPr>
              <w:t>Observation at ~500 mM NaCl</w:t>
            </w:r>
          </w:p>
        </w:tc>
        <w:tc>
          <w:tcPr>
            <w:tcW w:w="2736" w:type="dxa"/>
          </w:tcPr>
          <w:p w14:paraId="15DFE21F" w14:textId="77777777" w:rsidR="00A660B0" w:rsidRDefault="00000000">
            <w:pPr>
              <w:spacing w:before="40" w:after="40" w:line="240" w:lineRule="auto"/>
            </w:pPr>
            <w:r>
              <w:rPr>
                <w:b/>
                <w:sz w:val="18"/>
              </w:rPr>
              <w:t>Interpretation</w:t>
            </w:r>
          </w:p>
        </w:tc>
        <w:tc>
          <w:tcPr>
            <w:tcW w:w="3888" w:type="dxa"/>
          </w:tcPr>
          <w:p w14:paraId="48F27848" w14:textId="77777777" w:rsidR="00A660B0" w:rsidRDefault="00000000">
            <w:pPr>
              <w:spacing w:before="40" w:after="40" w:line="240" w:lineRule="auto"/>
            </w:pPr>
            <w:r>
              <w:rPr>
                <w:b/>
                <w:sz w:val="18"/>
              </w:rPr>
              <w:t>Action</w:t>
            </w:r>
          </w:p>
        </w:tc>
      </w:tr>
      <w:tr w:rsidR="00A660B0" w14:paraId="5918510D" w14:textId="77777777">
        <w:trPr>
          <w:cantSplit/>
        </w:trPr>
        <w:tc>
          <w:tcPr>
            <w:tcW w:w="2736" w:type="dxa"/>
          </w:tcPr>
          <w:p w14:paraId="4743C82D" w14:textId="77777777" w:rsidR="00A660B0" w:rsidRDefault="00000000">
            <w:pPr>
              <w:spacing w:before="40" w:after="40" w:line="240" w:lineRule="auto"/>
            </w:pPr>
            <w:r>
              <w:rPr>
                <w:sz w:val="18"/>
              </w:rPr>
              <w:t>Stays red</w:t>
            </w:r>
          </w:p>
        </w:tc>
        <w:tc>
          <w:tcPr>
            <w:tcW w:w="2736" w:type="dxa"/>
          </w:tcPr>
          <w:p w14:paraId="0E63504D" w14:textId="77777777" w:rsidR="00A660B0" w:rsidRDefault="00000000">
            <w:pPr>
              <w:spacing w:before="40" w:after="40" w:line="240" w:lineRule="auto"/>
            </w:pPr>
            <w:r>
              <w:rPr>
                <w:sz w:val="18"/>
              </w:rPr>
              <w:t>Adequate loading; true conjugate</w:t>
            </w:r>
          </w:p>
        </w:tc>
        <w:tc>
          <w:tcPr>
            <w:tcW w:w="3888" w:type="dxa"/>
          </w:tcPr>
          <w:p w14:paraId="130C474F" w14:textId="77777777" w:rsidR="00A660B0" w:rsidRDefault="00000000">
            <w:pPr>
              <w:spacing w:before="40" w:after="40" w:line="240" w:lineRule="auto"/>
            </w:pPr>
            <w:r>
              <w:rPr>
                <w:sz w:val="18"/>
              </w:rPr>
              <w:t>Proceed to washing</w:t>
            </w:r>
          </w:p>
        </w:tc>
      </w:tr>
      <w:tr w:rsidR="00A660B0" w14:paraId="2F08AE38" w14:textId="77777777">
        <w:trPr>
          <w:cantSplit/>
        </w:trPr>
        <w:tc>
          <w:tcPr>
            <w:tcW w:w="2736" w:type="dxa"/>
          </w:tcPr>
          <w:p w14:paraId="14EA5823" w14:textId="77777777" w:rsidR="00A660B0" w:rsidRDefault="00000000">
            <w:pPr>
              <w:spacing w:before="40" w:after="40" w:line="240" w:lineRule="auto"/>
            </w:pPr>
            <w:r>
              <w:rPr>
                <w:sz w:val="18"/>
              </w:rPr>
              <w:t>Turns purple or blue</w:t>
            </w:r>
          </w:p>
        </w:tc>
        <w:tc>
          <w:tcPr>
            <w:tcW w:w="2736" w:type="dxa"/>
          </w:tcPr>
          <w:p w14:paraId="7D43E637" w14:textId="77777777" w:rsidR="00A660B0" w:rsidRDefault="00000000">
            <w:pPr>
              <w:spacing w:before="40" w:after="40" w:line="240" w:lineRule="auto"/>
            </w:pPr>
            <w:r>
              <w:rPr>
                <w:sz w:val="18"/>
              </w:rPr>
              <w:t>Insufficient loading</w:t>
            </w:r>
          </w:p>
        </w:tc>
        <w:tc>
          <w:tcPr>
            <w:tcW w:w="3888" w:type="dxa"/>
          </w:tcPr>
          <w:p w14:paraId="30E3D254" w14:textId="77777777" w:rsidR="00A660B0" w:rsidRDefault="00000000">
            <w:pPr>
              <w:spacing w:before="40" w:after="40" w:line="240" w:lineRule="auto"/>
            </w:pPr>
            <w:r>
              <w:rPr>
                <w:sz w:val="18"/>
              </w:rPr>
              <w:t>Do not wash; add a freeze–thaw cycle or raise the ratio to 800–1000:1</w:t>
            </w:r>
          </w:p>
        </w:tc>
      </w:tr>
      <w:tr w:rsidR="00A660B0" w14:paraId="5889A615" w14:textId="77777777">
        <w:trPr>
          <w:cantSplit/>
        </w:trPr>
        <w:tc>
          <w:tcPr>
            <w:tcW w:w="2736" w:type="dxa"/>
          </w:tcPr>
          <w:p w14:paraId="7B105BAE" w14:textId="77777777" w:rsidR="00A660B0" w:rsidRDefault="00000000">
            <w:pPr>
              <w:spacing w:before="40" w:after="40" w:line="240" w:lineRule="auto"/>
            </w:pPr>
            <w:r>
              <w:rPr>
                <w:sz w:val="18"/>
              </w:rPr>
              <w:t>Purple pellet after centrifugation</w:t>
            </w:r>
          </w:p>
        </w:tc>
        <w:tc>
          <w:tcPr>
            <w:tcW w:w="2736" w:type="dxa"/>
          </w:tcPr>
          <w:p w14:paraId="3D9A0B09" w14:textId="77777777" w:rsidR="00A660B0" w:rsidRDefault="00000000">
            <w:pPr>
              <w:spacing w:before="40" w:after="40" w:line="240" w:lineRule="auto"/>
            </w:pPr>
            <w:r>
              <w:rPr>
                <w:sz w:val="18"/>
              </w:rPr>
              <w:t>Pseudo-stable; died on concentration</w:t>
            </w:r>
          </w:p>
        </w:tc>
        <w:tc>
          <w:tcPr>
            <w:tcW w:w="3888" w:type="dxa"/>
          </w:tcPr>
          <w:p w14:paraId="59A6369A" w14:textId="77777777" w:rsidR="00A660B0" w:rsidRDefault="00000000">
            <w:pPr>
              <w:spacing w:before="40" w:after="40" w:line="240" w:lineRule="auto"/>
            </w:pPr>
            <w:r>
              <w:rPr>
                <w:sz w:val="18"/>
              </w:rPr>
              <w:t>Improve loading first; reduce g-force and time; resuspend stepwise</w:t>
            </w:r>
          </w:p>
        </w:tc>
      </w:tr>
    </w:tbl>
    <w:p w14:paraId="33B5624D" w14:textId="77777777" w:rsidR="0093482B" w:rsidRDefault="0093482B"/>
    <w:sectPr w:rsidR="0093482B" w:rsidSect="0003461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1ABDA" w14:textId="77777777" w:rsidR="0093482B" w:rsidRDefault="0093482B">
      <w:pPr>
        <w:spacing w:after="0" w:line="240" w:lineRule="auto"/>
      </w:pPr>
      <w:r>
        <w:separator/>
      </w:r>
    </w:p>
  </w:endnote>
  <w:endnote w:type="continuationSeparator" w:id="0">
    <w:p w14:paraId="66A5D190" w14:textId="77777777" w:rsidR="0093482B" w:rsidRDefault="00934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BB7C5" w14:textId="77777777" w:rsidR="00A660B0" w:rsidRDefault="00000000">
    <w:pPr>
      <w:pStyle w:val="Footer"/>
      <w:jc w:val="center"/>
    </w:pPr>
    <w:r>
      <w:fldChar w:fldCharType="begin"/>
    </w:r>
    <w:r>
      <w:instrText xml:space="preserve"> PAGE </w:instrText>
    </w:r>
    <w:r w:rsidR="00125D98">
      <w:fldChar w:fldCharType="separate"/>
    </w:r>
    <w:r w:rsidR="00125D9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16DCE" w14:textId="77777777" w:rsidR="0093482B" w:rsidRDefault="0093482B">
      <w:pPr>
        <w:spacing w:after="0" w:line="240" w:lineRule="auto"/>
      </w:pPr>
      <w:r>
        <w:separator/>
      </w:r>
    </w:p>
  </w:footnote>
  <w:footnote w:type="continuationSeparator" w:id="0">
    <w:p w14:paraId="2389A2C9" w14:textId="77777777" w:rsidR="0093482B" w:rsidRDefault="00934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8179350">
    <w:abstractNumId w:val="8"/>
  </w:num>
  <w:num w:numId="2" w16cid:durableId="248469685">
    <w:abstractNumId w:val="6"/>
  </w:num>
  <w:num w:numId="3" w16cid:durableId="1456673773">
    <w:abstractNumId w:val="5"/>
  </w:num>
  <w:num w:numId="4" w16cid:durableId="1793549496">
    <w:abstractNumId w:val="4"/>
  </w:num>
  <w:num w:numId="5" w16cid:durableId="587806657">
    <w:abstractNumId w:val="7"/>
  </w:num>
  <w:num w:numId="6" w16cid:durableId="2080785394">
    <w:abstractNumId w:val="3"/>
  </w:num>
  <w:num w:numId="7" w16cid:durableId="1504540652">
    <w:abstractNumId w:val="2"/>
  </w:num>
  <w:num w:numId="8" w16cid:durableId="1071384972">
    <w:abstractNumId w:val="1"/>
  </w:num>
  <w:num w:numId="9" w16cid:durableId="1652827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5D98"/>
    <w:rsid w:val="0015074B"/>
    <w:rsid w:val="0029639D"/>
    <w:rsid w:val="00326F90"/>
    <w:rsid w:val="003621F2"/>
    <w:rsid w:val="0093482B"/>
    <w:rsid w:val="00A660B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EBF838"/>
  <w14:defaultImageDpi w14:val="300"/>
  <w15:docId w15:val="{10CC7A17-A898-47CA-8514-94FE3F5B6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Times New Roman" w:eastAsia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Delima Engga M</dc:creator>
  <cp:keywords/>
  <dc:description>generated by python-docx</dc:description>
  <cp:lastModifiedBy>Notebook HP</cp:lastModifiedBy>
  <cp:revision>2</cp:revision>
  <dcterms:created xsi:type="dcterms:W3CDTF">2026-08-06T02:20:00Z</dcterms:created>
  <dcterms:modified xsi:type="dcterms:W3CDTF">2026-08-06T02:20:00Z</dcterms:modified>
  <cp:category/>
</cp:coreProperties>
</file>