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B3F" w:rsidRPr="00E06A59" w:rsidRDefault="004D4E22">
      <w:pPr>
        <w:jc w:val="center"/>
        <w:rPr>
          <w:rFonts w:asciiTheme="majorBidi" w:hAnsiTheme="majorBidi" w:cstheme="majorBidi"/>
          <w:sz w:val="28"/>
          <w:szCs w:val="28"/>
        </w:rPr>
      </w:pPr>
      <w:r w:rsidRPr="00E06A59">
        <w:rPr>
          <w:rFonts w:asciiTheme="majorBidi" w:hAnsiTheme="majorBidi" w:cstheme="majorBidi"/>
          <w:b/>
          <w:sz w:val="28"/>
          <w:szCs w:val="28"/>
        </w:rPr>
        <w:t xml:space="preserve">CARE Checklist – </w:t>
      </w:r>
      <w:r w:rsidR="006D49D7" w:rsidRPr="00E06A59">
        <w:rPr>
          <w:rFonts w:asciiTheme="majorBidi" w:hAnsiTheme="majorBidi" w:cstheme="majorBidi"/>
          <w:b/>
          <w:sz w:val="28"/>
          <w:szCs w:val="28"/>
        </w:rPr>
        <w:t>Case Report</w:t>
      </w:r>
    </w:p>
    <w:p w:rsidR="00506B3F" w:rsidRPr="00E06A59" w:rsidRDefault="004D4E22">
      <w:pPr>
        <w:jc w:val="center"/>
        <w:rPr>
          <w:rFonts w:asciiTheme="majorBidi" w:hAnsiTheme="majorBidi" w:cstheme="majorBidi"/>
          <w:i/>
          <w:sz w:val="24"/>
          <w:szCs w:val="24"/>
        </w:rPr>
      </w:pPr>
      <w:r w:rsidRPr="00E06A59">
        <w:rPr>
          <w:rFonts w:asciiTheme="majorBidi" w:hAnsiTheme="majorBidi" w:cstheme="majorBidi"/>
          <w:i/>
          <w:sz w:val="24"/>
          <w:szCs w:val="24"/>
        </w:rPr>
        <w:t xml:space="preserve"> “Incidental diagnosis of moderate congenital factor XI deficiency in a child during preoperative </w:t>
      </w:r>
      <w:r w:rsidR="006D49D7" w:rsidRPr="00E06A59">
        <w:rPr>
          <w:rFonts w:asciiTheme="majorBidi" w:hAnsiTheme="majorBidi" w:cstheme="majorBidi"/>
          <w:i/>
          <w:sz w:val="24"/>
          <w:szCs w:val="24"/>
        </w:rPr>
        <w:t>screening:</w:t>
      </w:r>
      <w:r w:rsidRPr="00E06A59">
        <w:rPr>
          <w:rFonts w:asciiTheme="majorBidi" w:hAnsiTheme="majorBidi" w:cstheme="majorBidi"/>
          <w:i/>
          <w:sz w:val="24"/>
          <w:szCs w:val="24"/>
        </w:rPr>
        <w:t xml:space="preserve"> a case report”</w:t>
      </w:r>
    </w:p>
    <w:p w:rsidR="006D49D7" w:rsidRDefault="006D49D7">
      <w:pPr>
        <w:jc w:val="center"/>
      </w:pPr>
    </w:p>
    <w:p w:rsidR="006D49D7" w:rsidRPr="00770C95" w:rsidRDefault="006D49D7" w:rsidP="00770C95">
      <w:pPr>
        <w:rPr>
          <w:rFonts w:asciiTheme="majorBidi" w:hAnsiTheme="majorBidi" w:cstheme="majorBidi"/>
          <w:sz w:val="24"/>
          <w:szCs w:val="24"/>
        </w:rPr>
      </w:pPr>
      <w:r w:rsidRPr="00E06A59">
        <w:rPr>
          <w:rFonts w:asciiTheme="majorBidi" w:hAnsiTheme="majorBidi" w:cstheme="majorBidi"/>
          <w:sz w:val="24"/>
          <w:szCs w:val="24"/>
        </w:rPr>
        <w:t>Completed according to the 2013 CARE Checklist. Line numbers refer to the revised manuscript submitted with this checklist.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1704"/>
        <w:gridCol w:w="6420"/>
        <w:gridCol w:w="1663"/>
      </w:tblGrid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  <w:b/>
              </w:rPr>
              <w:t>Item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  <w:b/>
                <w:bCs/>
              </w:rPr>
            </w:pPr>
            <w:r w:rsidRPr="00770C95">
              <w:rPr>
                <w:rFonts w:asciiTheme="majorBidi" w:hAnsiTheme="majorBidi" w:cstheme="majorBidi"/>
                <w:b/>
                <w:bCs/>
              </w:rPr>
              <w:t xml:space="preserve">Topic 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  <w:b/>
              </w:rPr>
              <w:t>Checklist item description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  <w:b/>
              </w:rPr>
            </w:pPr>
            <w:r w:rsidRPr="00770C95">
              <w:rPr>
                <w:rFonts w:asciiTheme="majorBidi" w:hAnsiTheme="majorBidi" w:cstheme="majorBidi"/>
                <w:b/>
              </w:rPr>
              <w:t>Reported on line(s)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Title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 xml:space="preserve"> “Incidental diagnosis of moderate congenital factor XI deficiency in a child during preoperative screening: a case report”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3–4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Key Words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keywords reported in the manuscript; verify that “case report” is included in the submitted keyword list if required by the CARE form.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99–100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Abstract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background describes congenital factor XI deficiency as rare, clinically variable, and potentially silent; incidental diagnosis during preoperative screening is highlighted.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45–50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Abstract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3-year-old boy; isolated prolonged aPTT; recurrent bruising after minor trauma; normal CBC/PT/fibrinogen/VWF; mixing study correction; factor assays.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52–64 and 91–92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Abstract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moderate congenital factor XI deficiency (FXI activity 41.2%); preoperative assessment before circumcision; circumcision performed without bleeding complications.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63–64 and 91–92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3d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Abstract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consider FXI deficiency with isolated prolonged aPTT; diagnosis requires mixing study and FXI activity; bleeding risk should incorporate bleeding history and procedure type.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93–98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Introduction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background on congenital FXI deficiency, variable bleeding phenotype, isolated prolonged aPTT, diagnostic approach, and rationale for reporting this case.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103–154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5a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Patient Information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3-year-old Moroccan boy; non-consanguineous parents; no significant medical/surgical history; no known family history of bleeding disorders.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183–190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5b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Patient Information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 xml:space="preserve">isolated prolonged </w:t>
            </w:r>
            <w:proofErr w:type="spellStart"/>
            <w:r w:rsidRPr="00770C95">
              <w:rPr>
                <w:rFonts w:asciiTheme="majorBidi" w:hAnsiTheme="majorBidi" w:cstheme="majorBidi"/>
              </w:rPr>
              <w:t>aPTT</w:t>
            </w:r>
            <w:proofErr w:type="spellEnd"/>
            <w:r w:rsidRPr="00770C95">
              <w:rPr>
                <w:rFonts w:asciiTheme="majorBidi" w:hAnsiTheme="majorBidi" w:cstheme="majorBidi"/>
              </w:rPr>
              <w:t xml:space="preserve"> discovered before planned circumcision; recurrent bruising after minor trauma; no epistaxis, gingival bleeding, hemarthrosis, or spontaneous hemorrhage.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183–190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5c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Patient Information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non-consanguineous parents; no significant medical/surgical history; no known family history of bleeding disorders. No molecular genetic testing is reported.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187–190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5d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Patient Information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Not applicable: no relevant previous intervention is reported before the diagnostic work-up.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Clinical Findings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Not explicitly reported in the manuscript. The clinical findings reported are the bleeding history/recurrent bruising and absence of epistaxis, gingival bleeding, hemarthrosis, or spontaneous hemorrhage (lines 187–190).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Timeline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Table II provides the chronological summary, including preoperative screening, hematological/coagulation assessment, diagnosis, circumcision, and outcome.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268–285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8a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Diagnostic Assessment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bookmarkStart w:id="0" w:name="_GoBack"/>
            <w:bookmarkEnd w:id="0"/>
            <w:r w:rsidRPr="00770C95">
              <w:rPr>
                <w:rFonts w:asciiTheme="majorBidi" w:hAnsiTheme="majorBidi" w:cstheme="majorBidi"/>
              </w:rPr>
              <w:t xml:space="preserve"> PT, </w:t>
            </w:r>
            <w:proofErr w:type="spellStart"/>
            <w:r w:rsidRPr="00770C95">
              <w:rPr>
                <w:rFonts w:asciiTheme="majorBidi" w:hAnsiTheme="majorBidi" w:cstheme="majorBidi"/>
              </w:rPr>
              <w:t>aPTT</w:t>
            </w:r>
            <w:proofErr w:type="spellEnd"/>
            <w:r w:rsidRPr="00770C95">
              <w:rPr>
                <w:rFonts w:asciiTheme="majorBidi" w:hAnsiTheme="majorBidi" w:cstheme="majorBidi"/>
              </w:rPr>
              <w:t>, fibrinogen, VWF activity, mixing study, Rosner index, FVIII/FIX/FXI assays; FXI assay performed by one-stage clotting assay on ACL TOP 750.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191–203 and 230–246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8b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Diagnostic Assessment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Not applicable: no diagnostic delay or specific obstacle is described.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lastRenderedPageBreak/>
              <w:t>8c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Diagnostic Assessment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mixing study corrected the aPTT and Rosner index was 9.44%, supporting factor deficiency rather than inhibitor; FVIII/FIX normal; FXI 41.2%, consistent with moderate congenital FXI deficiency.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197–203 and 247–250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8d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Diagnostic Assessment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Not applicable: no individualized prognosis is explicitly reported.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9a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Therapeutic Intervention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individualized perioperative management; circumcision was performed without factor replacement; the manuscript discusses available treatment options in the Discussion but these were not administered to this patient.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247–250 and 265–267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9b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Therapeutic Intervention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circumcision was performed without factor replacement. No pharmacological treatment/dose is reported as administered.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265–267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9c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Therapeutic Intervention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 factor replacement was introduced; management was based on individualized bleeding-risk assessment before the procedure.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247–250 and 265–267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10a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Follow-up and Outcomes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circumcision completed without bleeding complications; parents expressed satisfaction and reassurance regarding the management and outcome.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265–267 and 424–430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10b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Follow-up and Outcomes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 xml:space="preserve"> postoperative outcome documented without hemorrhagic complication; no additional follow-up laboratory result is reported.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265–267 and 285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10c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Follow-up and Outcomes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Not applicable: no ongoing pharmacological treatment was administered.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10d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Follow-up and Outcomes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no bleeding complications or other adverse/unanticipated events were reported after circumcision.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265–267 and 284–285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11a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Discussion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strength is the detailed laboratory evaluation (mixing study, Rosner index, specific factor assays); limitation is the absence of molecular genetic analysis of the FXI gene.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380–411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11b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Discussion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discussion of FXI deficiency, variability of bleeding phenotype, diagnostic approach, bleeding-risk assessment, and treatment options, supported by references.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287–379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11c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Discussion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individualized bleeding-risk assessment is emphasized, integrating personal bleeding history and procedure type rather than relying only on FXI activity.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360–379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11d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Discussion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conclusion emphasizes considering congenital FXI deficiency with isolated prolonged aPTT, structured laboratory diagnosis, individualized bleeding-risk assessment, and laboratory/clinical collaboration.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412–423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Patient Perspective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the patient's parents report satisfaction, reassurance, and appreciation that the coagulation abnormality was identified before circumcision and that the procedure was completed safely.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424–430</w:t>
            </w:r>
          </w:p>
        </w:tc>
      </w:tr>
      <w:tr w:rsidR="007571AD" w:rsidRPr="00770C95" w:rsidTr="007571AD">
        <w:trPr>
          <w:jc w:val="center"/>
        </w:trPr>
        <w:tc>
          <w:tcPr>
            <w:tcW w:w="717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723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Informed Consent</w:t>
            </w:r>
          </w:p>
        </w:tc>
        <w:tc>
          <w:tcPr>
            <w:tcW w:w="659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written informed consent obtained from the patient's parents for publication and accompanying images; copy of signed consent available for review by the Editor-in-Chief.</w:t>
            </w:r>
          </w:p>
        </w:tc>
        <w:tc>
          <w:tcPr>
            <w:tcW w:w="1689" w:type="dxa"/>
          </w:tcPr>
          <w:p w:rsidR="007571AD" w:rsidRPr="00770C95" w:rsidRDefault="007571AD">
            <w:pPr>
              <w:rPr>
                <w:rFonts w:asciiTheme="majorBidi" w:hAnsiTheme="majorBidi" w:cstheme="majorBidi"/>
              </w:rPr>
            </w:pPr>
            <w:r w:rsidRPr="00770C95">
              <w:rPr>
                <w:rFonts w:asciiTheme="majorBidi" w:hAnsiTheme="majorBidi" w:cstheme="majorBidi"/>
              </w:rPr>
              <w:t>Lines 473–476</w:t>
            </w:r>
          </w:p>
        </w:tc>
      </w:tr>
    </w:tbl>
    <w:p w:rsidR="00506B3F" w:rsidRDefault="00506B3F"/>
    <w:p w:rsidR="00BF0C91" w:rsidRPr="00BF0C91" w:rsidRDefault="00BF0C91" w:rsidP="00BF0C91">
      <w:pPr>
        <w:rPr>
          <w:rFonts w:asciiTheme="majorBidi" w:hAnsiTheme="majorBidi" w:cstheme="majorBidi"/>
          <w:sz w:val="24"/>
          <w:szCs w:val="24"/>
        </w:rPr>
      </w:pPr>
      <w:r w:rsidRPr="00BF0C91">
        <w:rPr>
          <w:rFonts w:asciiTheme="majorBidi" w:hAnsiTheme="majorBidi" w:cstheme="majorBidi"/>
          <w:b/>
          <w:sz w:val="24"/>
          <w:szCs w:val="24"/>
        </w:rPr>
        <w:t xml:space="preserve">Note: </w:t>
      </w:r>
      <w:r w:rsidRPr="00BF0C91">
        <w:rPr>
          <w:rFonts w:asciiTheme="majorBidi" w:hAnsiTheme="majorBidi" w:cstheme="majorBidi"/>
          <w:sz w:val="24"/>
          <w:szCs w:val="24"/>
        </w:rPr>
        <w:t>“Not applicable” has been used where the CARE item is not relevant to this case report, in accordance with the editorial request.</w:t>
      </w:r>
    </w:p>
    <w:p w:rsidR="00506B3F" w:rsidRDefault="00506B3F"/>
    <w:sectPr w:rsidR="00506B3F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C2"/>
    <w:rsid w:val="00034616"/>
    <w:rsid w:val="0006063C"/>
    <w:rsid w:val="0015074B"/>
    <w:rsid w:val="0029639D"/>
    <w:rsid w:val="00326F90"/>
    <w:rsid w:val="00382498"/>
    <w:rsid w:val="004D4E22"/>
    <w:rsid w:val="00506B3F"/>
    <w:rsid w:val="006D49D7"/>
    <w:rsid w:val="007571AD"/>
    <w:rsid w:val="00770C95"/>
    <w:rsid w:val="00AA1D8D"/>
    <w:rsid w:val="00B47730"/>
    <w:rsid w:val="00BF0C91"/>
    <w:rsid w:val="00CB0664"/>
    <w:rsid w:val="00E06A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E71AF"/>
  <w14:defaultImageDpi w14:val="300"/>
  <w15:docId w15:val="{B43DA81C-4810-4EA3-AD30-7BEEDCA5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A27C20-A9F4-408F-B5C4-9E5BE844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5067</Characters>
  <Application>Microsoft Office Word</Application>
  <DocSecurity>0</DocSecurity>
  <Lines>42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saida</cp:lastModifiedBy>
  <cp:revision>3</cp:revision>
  <dcterms:created xsi:type="dcterms:W3CDTF">2026-10-03T16:19:00Z</dcterms:created>
  <dcterms:modified xsi:type="dcterms:W3CDTF">2026-10-03T16:32:00Z</dcterms:modified>
  <cp:category/>
</cp:coreProperties>
</file>