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3424" w14:textId="7026E87E" w:rsidR="003051D8" w:rsidRDefault="003051D8" w:rsidP="003051D8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  <w:r w:rsidRPr="00877E81">
        <w:rPr>
          <w:rFonts w:ascii="Times New Roman" w:hAnsi="Times New Roman" w:cs="Times New Roman"/>
          <w:b/>
          <w:bCs/>
        </w:rPr>
        <w:t>Table S2. Covariate balance before and after stabilized inverse probability of treatment weighting in the completed-episode cohort.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051D8" w:rsidRPr="00877E81" w14:paraId="2F567050" w14:textId="77777777" w:rsidTr="00213733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781107B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Covariate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2D6242DC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Absolute SMD before IPTW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2DABB549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Absolute SMD after IPTW</w:t>
            </w:r>
          </w:p>
        </w:tc>
      </w:tr>
      <w:tr w:rsidR="003051D8" w:rsidRPr="00877E81" w14:paraId="78BE6499" w14:textId="77777777" w:rsidTr="00213733">
        <w:tc>
          <w:tcPr>
            <w:tcW w:w="2831" w:type="dxa"/>
            <w:tcBorders>
              <w:top w:val="single" w:sz="4" w:space="0" w:color="auto"/>
            </w:tcBorders>
          </w:tcPr>
          <w:p w14:paraId="221F68C8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2A039195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65F4BB32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3051D8" w:rsidRPr="00877E81" w14:paraId="63506628" w14:textId="77777777" w:rsidTr="00213733">
        <w:tc>
          <w:tcPr>
            <w:tcW w:w="2831" w:type="dxa"/>
          </w:tcPr>
          <w:p w14:paraId="3B262FF4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2831" w:type="dxa"/>
          </w:tcPr>
          <w:p w14:paraId="430A6C8C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2832" w:type="dxa"/>
          </w:tcPr>
          <w:p w14:paraId="01F30696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3051D8" w:rsidRPr="00877E81" w14:paraId="08D392CA" w14:textId="77777777" w:rsidTr="00213733">
        <w:tc>
          <w:tcPr>
            <w:tcW w:w="2831" w:type="dxa"/>
          </w:tcPr>
          <w:p w14:paraId="1E6BF92F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maximum pain</w:t>
            </w:r>
          </w:p>
        </w:tc>
        <w:tc>
          <w:tcPr>
            <w:tcW w:w="2831" w:type="dxa"/>
          </w:tcPr>
          <w:p w14:paraId="2F4332BA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2832" w:type="dxa"/>
          </w:tcPr>
          <w:p w14:paraId="3FFDDB51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</w:tr>
      <w:tr w:rsidR="003051D8" w:rsidRPr="00877E81" w14:paraId="3DA25F51" w14:textId="77777777" w:rsidTr="00213733">
        <w:tc>
          <w:tcPr>
            <w:tcW w:w="2831" w:type="dxa"/>
          </w:tcPr>
          <w:p w14:paraId="37B2F320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total deficit score</w:t>
            </w:r>
          </w:p>
        </w:tc>
        <w:tc>
          <w:tcPr>
            <w:tcW w:w="2831" w:type="dxa"/>
          </w:tcPr>
          <w:p w14:paraId="6725DEC0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832" w:type="dxa"/>
          </w:tcPr>
          <w:p w14:paraId="32DF5A92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3051D8" w:rsidRPr="00877E81" w14:paraId="40A5739A" w14:textId="77777777" w:rsidTr="00213733">
        <w:tc>
          <w:tcPr>
            <w:tcW w:w="2831" w:type="dxa"/>
          </w:tcPr>
          <w:p w14:paraId="192F7CD2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external-rotation deficit</w:t>
            </w:r>
          </w:p>
        </w:tc>
        <w:tc>
          <w:tcPr>
            <w:tcW w:w="2831" w:type="dxa"/>
          </w:tcPr>
          <w:p w14:paraId="4DD44853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2832" w:type="dxa"/>
          </w:tcPr>
          <w:p w14:paraId="63E76F4B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3051D8" w:rsidRPr="00877E81" w14:paraId="1C999C86" w14:textId="77777777" w:rsidTr="00213733">
        <w:tc>
          <w:tcPr>
            <w:tcW w:w="2831" w:type="dxa"/>
            <w:tcBorders>
              <w:bottom w:val="single" w:sz="4" w:space="0" w:color="auto"/>
            </w:tcBorders>
          </w:tcPr>
          <w:p w14:paraId="2650AF3E" w14:textId="77777777" w:rsidR="003051D8" w:rsidRPr="00877E81" w:rsidRDefault="003051D8" w:rsidP="00213733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sleeper-test deficit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005F9E44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6F4747C7" w14:textId="77777777" w:rsidR="003051D8" w:rsidRPr="00877E81" w:rsidRDefault="003051D8" w:rsidP="00213733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</w:tbl>
    <w:p w14:paraId="4C1692E0" w14:textId="77777777" w:rsidR="003051D8" w:rsidRDefault="003051D8" w:rsidP="003051D8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CA0E3C">
        <w:rPr>
          <w:rFonts w:ascii="Times New Roman" w:hAnsi="Times New Roman" w:cs="Times New Roman"/>
          <w:b/>
          <w:bCs/>
          <w:sz w:val="18"/>
          <w:szCs w:val="18"/>
        </w:rPr>
        <w:t>IPTW, inverse probability of treatment weighting; SMD, standardized mean difference. Values are absolute SMDs comparing hybrid and in-clinic rehabilitation episodes. The propensity-score model included age, sex, baseline maximum pain, baseline total deficit score, baseline external-rotation deficit, and baseline sleeper-test deficit.</w:t>
      </w:r>
    </w:p>
    <w:p w14:paraId="190D7F2F" w14:textId="77777777" w:rsidR="003051D8" w:rsidRDefault="003051D8" w:rsidP="003051D8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3FEEC8DF" w14:textId="77777777" w:rsidR="00650901" w:rsidRDefault="00650901"/>
    <w:sectPr w:rsidR="006509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FA"/>
    <w:rsid w:val="000C7852"/>
    <w:rsid w:val="000F1FA7"/>
    <w:rsid w:val="001630C0"/>
    <w:rsid w:val="001A3295"/>
    <w:rsid w:val="003051D8"/>
    <w:rsid w:val="00650901"/>
    <w:rsid w:val="006F3C0C"/>
    <w:rsid w:val="009779FA"/>
    <w:rsid w:val="00A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FDB"/>
  <w15:chartTrackingRefBased/>
  <w15:docId w15:val="{AB9FA58D-FDD2-4023-84DE-E8196C6F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1D8"/>
  </w:style>
  <w:style w:type="paragraph" w:styleId="Ttulo1">
    <w:name w:val="heading 1"/>
    <w:basedOn w:val="Normal"/>
    <w:next w:val="Normal"/>
    <w:link w:val="Ttulo1Car"/>
    <w:uiPriority w:val="9"/>
    <w:qFormat/>
    <w:rsid w:val="0097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7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7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7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7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7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79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79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7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79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7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7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79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79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79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7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79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79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Castano</dc:creator>
  <cp:keywords/>
  <dc:description/>
  <cp:lastModifiedBy>Lorena Castano</cp:lastModifiedBy>
  <cp:revision>3</cp:revision>
  <dcterms:created xsi:type="dcterms:W3CDTF">2026-08-05T17:05:00Z</dcterms:created>
  <dcterms:modified xsi:type="dcterms:W3CDTF">2026-08-05T17:05:00Z</dcterms:modified>
</cp:coreProperties>
</file>