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7EB43E" w14:textId="4DFED8A5" w:rsidR="00AC3CF1" w:rsidRDefault="00AC3CF1" w:rsidP="003B7FED">
      <w:pPr>
        <w:shd w:val="clear" w:color="auto" w:fill="FFFFFF" w:themeFill="background1"/>
        <w:spacing w:after="120" w:line="480" w:lineRule="auto"/>
        <w:jc w:val="both"/>
        <w:rPr>
          <w:rFonts w:ascii="Arial" w:eastAsia="Times New Roman" w:hAnsi="Arial" w:cs="Arial"/>
          <w:b/>
          <w:bCs/>
          <w:color w:val="333333"/>
          <w:sz w:val="24"/>
          <w:szCs w:val="24"/>
          <w:lang w:val="en-GB" w:eastAsia="en-GB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val="en-GB" w:eastAsia="en-GB"/>
        </w:rPr>
        <w:t>SUPPLEMENTARY FIGURES AND TABLES</w:t>
      </w:r>
    </w:p>
    <w:p w14:paraId="1984C26F" w14:textId="329D742D" w:rsidR="003B7FED" w:rsidRPr="00F96667" w:rsidRDefault="003B7FED" w:rsidP="003B7FED">
      <w:pPr>
        <w:shd w:val="clear" w:color="auto" w:fill="FFFFFF" w:themeFill="background1"/>
        <w:spacing w:after="120" w:line="480" w:lineRule="auto"/>
        <w:jc w:val="both"/>
        <w:rPr>
          <w:rFonts w:ascii="Arial" w:eastAsia="Times New Roman" w:hAnsi="Arial" w:cs="Arial"/>
          <w:b/>
          <w:bCs/>
          <w:color w:val="333333"/>
          <w:sz w:val="24"/>
          <w:szCs w:val="24"/>
          <w:lang w:val="en-GB" w:eastAsia="en-GB"/>
        </w:rPr>
      </w:pPr>
      <w:r w:rsidRPr="006966AE">
        <w:rPr>
          <w:rFonts w:ascii="Arial" w:eastAsia="Times New Roman" w:hAnsi="Arial" w:cs="Arial"/>
          <w:b/>
          <w:bCs/>
          <w:color w:val="333333"/>
          <w:sz w:val="24"/>
          <w:szCs w:val="24"/>
          <w:lang w:val="en-GB" w:eastAsia="en-GB"/>
        </w:rPr>
        <w:t>Supplementary figure 1</w:t>
      </w:r>
      <w:r w:rsidRPr="00F96667">
        <w:rPr>
          <w:rFonts w:ascii="Arial" w:eastAsia="Times New Roman" w:hAnsi="Arial" w:cs="Arial"/>
          <w:b/>
          <w:bCs/>
          <w:color w:val="333333"/>
          <w:sz w:val="24"/>
          <w:szCs w:val="24"/>
          <w:lang w:val="en-GB" w:eastAsia="en-GB"/>
        </w:rPr>
        <w:t xml:space="preserve">. </w:t>
      </w:r>
      <w:r w:rsidRPr="003B7FED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Further characterisation of patient-derived iPSC lines carrying </w:t>
      </w:r>
      <w:r w:rsidRPr="003B7FED">
        <w:rPr>
          <w:rFonts w:ascii="Arial" w:eastAsia="Times New Roman" w:hAnsi="Arial" w:cs="Arial"/>
          <w:i/>
          <w:iCs/>
          <w:color w:val="333333"/>
          <w:sz w:val="24"/>
          <w:szCs w:val="24"/>
          <w:lang w:val="en-GB" w:eastAsia="en-GB"/>
        </w:rPr>
        <w:t>RYR1</w:t>
      </w:r>
      <w:r w:rsidRPr="003B7FED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-pathogenic variants.</w:t>
      </w:r>
    </w:p>
    <w:p w14:paraId="74CD4C34" w14:textId="77777777" w:rsidR="00847E66" w:rsidRPr="00F96667" w:rsidRDefault="00847E66" w:rsidP="00847E66">
      <w:pPr>
        <w:shd w:val="clear" w:color="auto" w:fill="FFFFFF" w:themeFill="background1"/>
        <w:spacing w:after="120" w:line="48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  <w:lang w:val="en-GB" w:eastAsia="en-GB"/>
        </w:rPr>
      </w:pPr>
      <w:r>
        <w:rPr>
          <w:rFonts w:ascii="Arial" w:eastAsia="Times New Roman" w:hAnsi="Arial" w:cs="Arial"/>
          <w:b/>
          <w:bCs/>
          <w:noProof/>
          <w:color w:val="000000" w:themeColor="text1"/>
          <w:sz w:val="24"/>
          <w:szCs w:val="24"/>
          <w:lang w:val="en-GB" w:eastAsia="en-GB"/>
        </w:rPr>
        <w:drawing>
          <wp:inline distT="0" distB="0" distL="0" distR="0" wp14:anchorId="301F063C" wp14:editId="313EFA06">
            <wp:extent cx="5731510" cy="7498715"/>
            <wp:effectExtent l="0" t="0" r="0" b="0"/>
            <wp:docPr id="212407683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076836" name="Picture 21240768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9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BCE46" w14:textId="77777777" w:rsidR="00847E66" w:rsidRPr="00F96667" w:rsidRDefault="00847E66" w:rsidP="00847E66">
      <w:pPr>
        <w:pStyle w:val="ListParagraph"/>
        <w:numPr>
          <w:ilvl w:val="0"/>
          <w:numId w:val="1"/>
        </w:numPr>
        <w:shd w:val="clear" w:color="auto" w:fill="FFFFFF" w:themeFill="background1"/>
        <w:spacing w:after="120" w:line="48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F96667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lastRenderedPageBreak/>
        <w:t xml:space="preserve">Brightfield images of iPSC colonies showing colony morphology. Scale bar: 500 </w:t>
      </w:r>
      <w:r w:rsidRPr="00F96667">
        <w:rPr>
          <w:rFonts w:ascii="Arial" w:eastAsia="Times New Roman" w:hAnsi="Arial" w:cs="Arial"/>
          <w:color w:val="000000" w:themeColor="text1"/>
          <w:sz w:val="24"/>
          <w:szCs w:val="24"/>
          <w:lang w:val="en-GB" w:eastAsia="en-GB"/>
        </w:rPr>
        <w:t>µm.</w:t>
      </w:r>
    </w:p>
    <w:p w14:paraId="68C54FA9" w14:textId="77777777" w:rsidR="00847E66" w:rsidRPr="000F7534" w:rsidRDefault="00847E66" w:rsidP="00847E66">
      <w:pPr>
        <w:pStyle w:val="ListParagraph"/>
        <w:numPr>
          <w:ilvl w:val="0"/>
          <w:numId w:val="1"/>
        </w:numPr>
        <w:shd w:val="clear" w:color="auto" w:fill="FFFFFF" w:themeFill="background1"/>
        <w:spacing w:after="120" w:line="48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0F753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Immunostaining for NANOG, OCT3/4 and SOX2 in R2452W iPSCs and A4894P iPSCs. 2 clones per line were characterised for pluripotency. Nuclei are counterstained with DAPI. Scale bar: 100 µm.</w:t>
      </w:r>
    </w:p>
    <w:p w14:paraId="748DFD4E" w14:textId="77777777" w:rsidR="00847E66" w:rsidRPr="000F7534" w:rsidRDefault="00847E66" w:rsidP="00847E66">
      <w:pPr>
        <w:pStyle w:val="ListParagraph"/>
        <w:numPr>
          <w:ilvl w:val="0"/>
          <w:numId w:val="1"/>
        </w:numPr>
        <w:shd w:val="clear" w:color="auto" w:fill="FFFFFF" w:themeFill="background1"/>
        <w:spacing w:after="120" w:line="48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0F753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Copy number variation analysis on two clones per patient-derived cell line. Analysis performed by Stem Genomics.</w:t>
      </w:r>
    </w:p>
    <w:p w14:paraId="063B7D4B" w14:textId="77777777" w:rsidR="00847E66" w:rsidRPr="000F7534" w:rsidRDefault="00847E66" w:rsidP="00847E66">
      <w:pPr>
        <w:pStyle w:val="ListParagraph"/>
        <w:numPr>
          <w:ilvl w:val="0"/>
          <w:numId w:val="1"/>
        </w:numPr>
        <w:shd w:val="clear" w:color="auto" w:fill="FFFFFF" w:themeFill="background1"/>
        <w:spacing w:after="120" w:line="48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0F753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Copy number variation showing single copy number values for each chromosome. Chromosomes with gain in copy number indicated with asterisks. </w:t>
      </w:r>
    </w:p>
    <w:p w14:paraId="33426590" w14:textId="77777777" w:rsidR="00847E66" w:rsidRPr="000F7534" w:rsidRDefault="00847E66" w:rsidP="00847E66">
      <w:pPr>
        <w:pStyle w:val="ListParagraph"/>
        <w:numPr>
          <w:ilvl w:val="0"/>
          <w:numId w:val="1"/>
        </w:numPr>
        <w:shd w:val="clear" w:color="auto" w:fill="FFFFFF" w:themeFill="background1"/>
        <w:spacing w:after="120" w:line="48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0F753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Quantitative PCR analysis confirming the expression of pluripotency marker genes OCT3/4, SOX2 and NANOG. Gene expression levels assessed in comparison to a healthy control iPSC line (Healthy Ctrl). Additional controls include the patient-derived primary myoblasts before reprogramming to iPSC, and human fibroblasts.</w:t>
      </w:r>
    </w:p>
    <w:p w14:paraId="153F0B73" w14:textId="77777777" w:rsidR="00847E66" w:rsidRDefault="00847E66" w:rsidP="00847E66">
      <w:pPr>
        <w:shd w:val="clear" w:color="auto" w:fill="FFFFFF" w:themeFill="background1"/>
        <w:spacing w:after="120" w:line="48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highlight w:val="yellow"/>
          <w:lang w:val="en-GB" w:eastAsia="en-GB"/>
        </w:rPr>
      </w:pPr>
    </w:p>
    <w:p w14:paraId="2EA6EEDB" w14:textId="72071C65" w:rsidR="00847E66" w:rsidRPr="000F7534" w:rsidRDefault="00847E66" w:rsidP="00847E66">
      <w:pPr>
        <w:shd w:val="clear" w:color="auto" w:fill="FFFFFF" w:themeFill="background1"/>
        <w:spacing w:after="120" w:line="48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highlight w:val="yellow"/>
          <w:lang w:val="en-GB" w:eastAsia="en-GB"/>
        </w:rPr>
      </w:pPr>
    </w:p>
    <w:p w14:paraId="55260440" w14:textId="6068762E" w:rsidR="00847E66" w:rsidRPr="000F7534" w:rsidRDefault="00847E66" w:rsidP="00847E66">
      <w:pPr>
        <w:shd w:val="clear" w:color="auto" w:fill="FFFFFF" w:themeFill="background1"/>
        <w:spacing w:after="120" w:line="48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0F7534">
        <w:rPr>
          <w:rFonts w:ascii="Arial" w:eastAsia="Times New Roman" w:hAnsi="Arial" w:cs="Arial"/>
          <w:b/>
          <w:bCs/>
          <w:color w:val="333333"/>
          <w:sz w:val="24"/>
          <w:szCs w:val="24"/>
          <w:lang w:val="en-GB" w:eastAsia="en-GB"/>
        </w:rPr>
        <w:lastRenderedPageBreak/>
        <w:t>Supplementary figure 2</w:t>
      </w:r>
      <w:r w:rsidRPr="00F96667">
        <w:rPr>
          <w:rFonts w:ascii="Arial" w:eastAsia="Times New Roman" w:hAnsi="Arial" w:cs="Arial"/>
          <w:b/>
          <w:bCs/>
          <w:color w:val="333333"/>
          <w:sz w:val="24"/>
          <w:szCs w:val="24"/>
          <w:lang w:val="en-GB" w:eastAsia="en-GB"/>
        </w:rPr>
        <w:t xml:space="preserve">. </w:t>
      </w:r>
      <w:r w:rsidRPr="003B7FED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Characterisation of iPSC-derived skeletal myogenic cells.</w:t>
      </w:r>
      <w:r w:rsidRPr="000F753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r w:rsidR="003B7FED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en-GB" w:eastAsia="en-GB"/>
        </w:rPr>
        <w:drawing>
          <wp:inline distT="0" distB="0" distL="0" distR="0" wp14:anchorId="228ABD72" wp14:editId="7EDC0B56">
            <wp:extent cx="5731510" cy="7169150"/>
            <wp:effectExtent l="0" t="0" r="0" b="6350"/>
            <wp:docPr id="51083600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836008" name="Picture 51083600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6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DEA09" w14:textId="77777777" w:rsidR="00847E66" w:rsidRPr="00F96667" w:rsidRDefault="00847E66" w:rsidP="00847E66">
      <w:pPr>
        <w:pStyle w:val="ListParagraph"/>
        <w:numPr>
          <w:ilvl w:val="0"/>
          <w:numId w:val="2"/>
        </w:numPr>
        <w:shd w:val="clear" w:color="auto" w:fill="FFFFFF" w:themeFill="background1"/>
        <w:spacing w:after="120" w:line="48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F96667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Brightfield images showing cell morphology during iPSC to myoblasts differentiation, from Day 0 to day 24 of differentiation. Scale bar: 500 µm.</w:t>
      </w:r>
    </w:p>
    <w:p w14:paraId="2F882C7E" w14:textId="77777777" w:rsidR="00847E66" w:rsidRPr="000F7534" w:rsidRDefault="00847E66" w:rsidP="00847E66">
      <w:pPr>
        <w:pStyle w:val="ListParagraph"/>
        <w:numPr>
          <w:ilvl w:val="0"/>
          <w:numId w:val="2"/>
        </w:numPr>
        <w:shd w:val="clear" w:color="auto" w:fill="FFFFFF" w:themeFill="background1"/>
        <w:spacing w:after="120" w:line="48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0F753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lastRenderedPageBreak/>
        <w:t xml:space="preserve">Brightfield images showing iPSC derived myoblasts morphological appearance when cultured in cell culture flasks during cell expansion in </w:t>
      </w:r>
      <w:r w:rsidRPr="000F7534">
        <w:rPr>
          <w:rFonts w:ascii="Arial" w:hAnsi="Arial" w:cs="Arial"/>
          <w:sz w:val="24"/>
          <w:szCs w:val="24"/>
          <w:lang w:val="en-GB"/>
        </w:rPr>
        <w:t xml:space="preserve">Skeletal Muscle Growth Medium. Scale bar: 500 </w:t>
      </w:r>
      <w:r w:rsidRPr="000F753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500 µm.</w:t>
      </w:r>
    </w:p>
    <w:p w14:paraId="161FB3B8" w14:textId="77777777" w:rsidR="00847E66" w:rsidRPr="000F7534" w:rsidRDefault="00847E66" w:rsidP="00847E66">
      <w:pPr>
        <w:pStyle w:val="ListParagraph"/>
        <w:numPr>
          <w:ilvl w:val="0"/>
          <w:numId w:val="2"/>
        </w:numPr>
        <w:shd w:val="clear" w:color="auto" w:fill="FFFFFF" w:themeFill="background1"/>
        <w:spacing w:after="120" w:line="48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0F753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Immunofluorescence staining for MYOD and DESMIN in Healthy Ctrl and RYR1 patient-derived myotubes. Nuclei are counterstained with DAPI. Scale bar: 100 µm.</w:t>
      </w:r>
    </w:p>
    <w:p w14:paraId="593E5A6E" w14:textId="77777777" w:rsidR="00847E66" w:rsidRPr="000F7534" w:rsidRDefault="00847E66" w:rsidP="00847E66">
      <w:pPr>
        <w:pStyle w:val="ListParagraph"/>
        <w:numPr>
          <w:ilvl w:val="0"/>
          <w:numId w:val="2"/>
        </w:numPr>
        <w:shd w:val="clear" w:color="auto" w:fill="FFFFFF" w:themeFill="background1"/>
        <w:spacing w:after="120" w:line="48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0F753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Quantitative PCR analysis evaluating the expression of </w:t>
      </w:r>
      <w:r w:rsidRPr="000F7534">
        <w:rPr>
          <w:rFonts w:ascii="Arial" w:eastAsia="Times New Roman" w:hAnsi="Arial" w:cs="Arial"/>
          <w:i/>
          <w:iCs/>
          <w:color w:val="333333"/>
          <w:sz w:val="24"/>
          <w:szCs w:val="24"/>
          <w:lang w:val="en-GB" w:eastAsia="en-GB"/>
        </w:rPr>
        <w:t>TTN</w:t>
      </w:r>
      <w:r w:rsidRPr="000F753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over time during terminal differentiation (myoblasts to myotubes). Gene expression levels assessed by comparing the expression at day 3 and at day 5 to the expression at D0 (myoblasts stage). N=3 independent differentiations.</w:t>
      </w:r>
    </w:p>
    <w:p w14:paraId="48201DD4" w14:textId="77777777" w:rsidR="00847E66" w:rsidRPr="000F7534" w:rsidRDefault="00847E66" w:rsidP="00847E66">
      <w:pPr>
        <w:pStyle w:val="ListParagraph"/>
        <w:numPr>
          <w:ilvl w:val="0"/>
          <w:numId w:val="2"/>
        </w:numPr>
        <w:shd w:val="clear" w:color="auto" w:fill="FFFFFF" w:themeFill="background1"/>
        <w:spacing w:after="120" w:line="48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0F753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Quantitative PCR analysis evaluating the expression of </w:t>
      </w:r>
      <w:r w:rsidRPr="000F7534">
        <w:rPr>
          <w:rFonts w:ascii="Arial" w:eastAsia="Times New Roman" w:hAnsi="Arial" w:cs="Arial"/>
          <w:i/>
          <w:iCs/>
          <w:color w:val="333333"/>
          <w:sz w:val="24"/>
          <w:szCs w:val="24"/>
          <w:lang w:val="en-GB" w:eastAsia="en-GB"/>
        </w:rPr>
        <w:t>TTN</w:t>
      </w:r>
      <w:r w:rsidRPr="000F753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over time during terminal differentiation (myoblasts to myotubes). Gene expression levels assessed by comparing the expression at day 3 and at day 5 to the expression at D0 (myoblasts stage). N=3 independent differentiations.</w:t>
      </w:r>
    </w:p>
    <w:p w14:paraId="13252F20" w14:textId="77777777" w:rsidR="00847E66" w:rsidRPr="000F7534" w:rsidRDefault="00847E66" w:rsidP="00847E66">
      <w:pPr>
        <w:pStyle w:val="ListParagraph"/>
        <w:numPr>
          <w:ilvl w:val="0"/>
          <w:numId w:val="2"/>
        </w:numPr>
        <w:shd w:val="clear" w:color="auto" w:fill="FFFFFF" w:themeFill="background1"/>
        <w:spacing w:after="120" w:line="48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0F753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Bar plots comparing </w:t>
      </w:r>
      <w:r w:rsidRPr="000F7534">
        <w:rPr>
          <w:rFonts w:ascii="Arial" w:eastAsia="Times New Roman" w:hAnsi="Arial" w:cs="Arial"/>
          <w:i/>
          <w:iCs/>
          <w:color w:val="333333"/>
          <w:sz w:val="24"/>
          <w:szCs w:val="24"/>
          <w:lang w:val="en-GB" w:eastAsia="en-GB"/>
        </w:rPr>
        <w:t>RYR1</w:t>
      </w:r>
      <w:r w:rsidRPr="000F753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and </w:t>
      </w:r>
      <w:r w:rsidRPr="000F7534">
        <w:rPr>
          <w:rFonts w:ascii="Arial" w:eastAsia="Times New Roman" w:hAnsi="Arial" w:cs="Arial"/>
          <w:i/>
          <w:iCs/>
          <w:color w:val="333333"/>
          <w:sz w:val="24"/>
          <w:szCs w:val="24"/>
          <w:lang w:val="en-GB" w:eastAsia="en-GB"/>
        </w:rPr>
        <w:t>TTN</w:t>
      </w:r>
      <w:r w:rsidRPr="000F753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gene expression over time assessed via real time PCR. </w:t>
      </w:r>
    </w:p>
    <w:p w14:paraId="148DA1B0" w14:textId="77777777" w:rsidR="00847E66" w:rsidRPr="000F7534" w:rsidRDefault="00847E66" w:rsidP="00847E66">
      <w:pPr>
        <w:shd w:val="clear" w:color="auto" w:fill="FFFFFF" w:themeFill="background1"/>
        <w:spacing w:after="120" w:line="480" w:lineRule="auto"/>
        <w:ind w:firstLine="720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</w:p>
    <w:p w14:paraId="1880A638" w14:textId="6CF72B86" w:rsidR="00847E66" w:rsidRDefault="00847E66" w:rsidP="00847E66">
      <w:pPr>
        <w:shd w:val="clear" w:color="auto" w:fill="FFFFFF" w:themeFill="background1"/>
        <w:spacing w:after="120" w:line="480" w:lineRule="auto"/>
        <w:jc w:val="both"/>
        <w:rPr>
          <w:rFonts w:ascii="Arial" w:eastAsia="Times New Roman" w:hAnsi="Arial" w:cs="Arial"/>
          <w:b/>
          <w:bCs/>
          <w:color w:val="333333"/>
          <w:sz w:val="24"/>
          <w:szCs w:val="24"/>
          <w:lang w:val="en-GB" w:eastAsia="en-GB"/>
        </w:rPr>
      </w:pPr>
    </w:p>
    <w:p w14:paraId="1A757E8C" w14:textId="55AA7867" w:rsidR="00847E66" w:rsidRPr="000F7534" w:rsidRDefault="00847E66" w:rsidP="003B7FED">
      <w:pPr>
        <w:shd w:val="clear" w:color="auto" w:fill="FFFFFF" w:themeFill="background1"/>
        <w:spacing w:after="120" w:line="480" w:lineRule="auto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0F7534">
        <w:rPr>
          <w:rFonts w:ascii="Arial" w:eastAsia="Times New Roman" w:hAnsi="Arial" w:cs="Arial"/>
          <w:b/>
          <w:bCs/>
          <w:color w:val="333333"/>
          <w:sz w:val="24"/>
          <w:szCs w:val="24"/>
          <w:lang w:val="en-GB" w:eastAsia="en-GB"/>
        </w:rPr>
        <w:lastRenderedPageBreak/>
        <w:t>Supplementary figure 3</w:t>
      </w:r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.</w:t>
      </w:r>
      <w:r w:rsidRPr="000F753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r w:rsidRPr="003B7FED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Additional information on phenotypic readouts in RYR1-RM iPSC-derived skeletal myotubes.</w:t>
      </w:r>
      <w:r w:rsidR="003B7FED" w:rsidRPr="003B7FED">
        <w:rPr>
          <w:rFonts w:ascii="Arial" w:eastAsia="Times New Roman" w:hAnsi="Arial" w:cs="Arial"/>
          <w:noProof/>
          <w:color w:val="333333"/>
          <w:sz w:val="24"/>
          <w:szCs w:val="24"/>
          <w:lang w:val="en-GB" w:eastAsia="en-GB"/>
        </w:rPr>
        <w:t xml:space="preserve"> </w:t>
      </w:r>
      <w:r w:rsidR="003B7FED">
        <w:rPr>
          <w:rFonts w:ascii="Arial" w:eastAsia="Times New Roman" w:hAnsi="Arial" w:cs="Arial"/>
          <w:b/>
          <w:bCs/>
          <w:noProof/>
          <w:color w:val="333333"/>
          <w:sz w:val="24"/>
          <w:szCs w:val="24"/>
          <w:lang w:val="en-GB" w:eastAsia="en-GB"/>
        </w:rPr>
        <w:drawing>
          <wp:inline distT="0" distB="0" distL="0" distR="0" wp14:anchorId="7B633ACB" wp14:editId="368F5CE5">
            <wp:extent cx="5731510" cy="6079490"/>
            <wp:effectExtent l="0" t="0" r="0" b="3810"/>
            <wp:docPr id="100758096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580960" name="Picture 100758096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7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49049" w14:textId="77777777" w:rsidR="00847E66" w:rsidRPr="000F7534" w:rsidRDefault="00847E66" w:rsidP="00847E66">
      <w:pPr>
        <w:pStyle w:val="ListParagraph"/>
        <w:numPr>
          <w:ilvl w:val="0"/>
          <w:numId w:val="3"/>
        </w:numPr>
        <w:shd w:val="clear" w:color="auto" w:fill="FFFFFF" w:themeFill="background1"/>
        <w:spacing w:after="120" w:line="48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0F753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Nuclear major axis length. Violin plots show the dispersion of nuclei quantitative parameters across three independent experiments, showing consistent behaviour within cell line. N=3 independent experiments; n&gt;19000 nuclei measured for each cell line for each experiment. </w:t>
      </w:r>
    </w:p>
    <w:p w14:paraId="00A008AE" w14:textId="77777777" w:rsidR="00847E66" w:rsidRPr="000F7534" w:rsidRDefault="00847E66" w:rsidP="00847E66">
      <w:pPr>
        <w:pStyle w:val="ListParagraph"/>
        <w:numPr>
          <w:ilvl w:val="0"/>
          <w:numId w:val="3"/>
        </w:numPr>
        <w:shd w:val="clear" w:color="auto" w:fill="FFFFFF" w:themeFill="background1"/>
        <w:spacing w:after="120" w:line="48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0F753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lastRenderedPageBreak/>
        <w:t xml:space="preserve">Nuclear circularity. Violin plots show the dispersion of nuclei quantitative parameters across three independent experiments, showing consistent behaviour within cell line. N=3 independent experiments; n&gt;19000 nuclei measured for each cell line for each experiment. </w:t>
      </w:r>
    </w:p>
    <w:p w14:paraId="1679AB9E" w14:textId="77777777" w:rsidR="00847E66" w:rsidRPr="000F7534" w:rsidRDefault="00847E66" w:rsidP="00847E66">
      <w:pPr>
        <w:pStyle w:val="ListParagraph"/>
        <w:numPr>
          <w:ilvl w:val="0"/>
          <w:numId w:val="3"/>
        </w:numPr>
        <w:shd w:val="clear" w:color="auto" w:fill="FFFFFF" w:themeFill="background1"/>
        <w:spacing w:after="120" w:line="48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0F753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Quantification of number of myotubes per field, done using the same automatised pipeline. Data points represent the mean number of myotubes per field observed in each independent experiment; error bars indicate standard deviation. N=3 independent experiments. One-way Anova. Healthy Ctrl vs A4894P: *=0.0414. Healthy Ctrl vs R2452W: **=0.0255. R2452W vs A4894P: ns.</w:t>
      </w:r>
    </w:p>
    <w:p w14:paraId="54B98CE9" w14:textId="77777777" w:rsidR="00847E66" w:rsidRPr="000F7534" w:rsidRDefault="00847E66" w:rsidP="00847E66">
      <w:pPr>
        <w:pStyle w:val="ListParagraph"/>
        <w:numPr>
          <w:ilvl w:val="0"/>
          <w:numId w:val="3"/>
        </w:numPr>
        <w:shd w:val="clear" w:color="auto" w:fill="FFFFFF" w:themeFill="background1"/>
        <w:spacing w:after="120" w:line="48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0F753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Representative images showing how the myotube directionality analysis was performed. Orange lines represent angles. Circular SD value, quantifying myotube alignment = 8.7 (left image) and 28.4 (right image). </w:t>
      </w:r>
    </w:p>
    <w:p w14:paraId="6D5FBB0B" w14:textId="77777777" w:rsidR="00847E66" w:rsidRPr="000F7534" w:rsidRDefault="00847E66" w:rsidP="00847E66">
      <w:pPr>
        <w:pStyle w:val="ListParagraph"/>
        <w:numPr>
          <w:ilvl w:val="0"/>
          <w:numId w:val="3"/>
        </w:numPr>
        <w:shd w:val="clear" w:color="auto" w:fill="FFFFFF" w:themeFill="background1"/>
        <w:spacing w:after="120" w:line="48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0F7534">
        <w:rPr>
          <w:rFonts w:ascii="Arial" w:hAnsi="Arial" w:cs="Arial"/>
          <w:sz w:val="24"/>
          <w:szCs w:val="24"/>
          <w:lang w:val="en-GB"/>
        </w:rPr>
        <w:t>Quantification of ΔF/F</w:t>
      </w:r>
      <w:r w:rsidRPr="000F7534">
        <w:rPr>
          <w:rFonts w:ascii="Cambria Math" w:hAnsi="Cambria Math" w:cs="Cambria Math"/>
          <w:sz w:val="24"/>
          <w:szCs w:val="24"/>
          <w:lang w:val="en-GB"/>
        </w:rPr>
        <w:t>₀</w:t>
      </w:r>
      <w:r w:rsidRPr="000F7534">
        <w:rPr>
          <w:rFonts w:ascii="Arial" w:hAnsi="Arial" w:cs="Arial"/>
          <w:sz w:val="24"/>
          <w:szCs w:val="24"/>
          <w:lang w:val="en-GB"/>
        </w:rPr>
        <w:t xml:space="preserve"> to assess calcium transients following caffeine stimulation, analysis performed on whole field of view. </w:t>
      </w:r>
      <w:r w:rsidRPr="000F753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Data points represent the mean value for each independent well, error bars indicate standard deviation. </w:t>
      </w:r>
      <w:r w:rsidRPr="000F7534">
        <w:rPr>
          <w:rFonts w:ascii="Arial" w:hAnsi="Arial" w:cs="Arial"/>
          <w:sz w:val="24"/>
          <w:szCs w:val="24"/>
          <w:lang w:val="en-GB"/>
        </w:rPr>
        <w:t xml:space="preserve">N=2 independent experiments, n=2 wells per cell line. </w:t>
      </w:r>
      <w:proofErr w:type="gramStart"/>
      <w:r w:rsidRPr="000F7534">
        <w:rPr>
          <w:rFonts w:ascii="Arial" w:hAnsi="Arial" w:cs="Arial"/>
          <w:sz w:val="24"/>
          <w:szCs w:val="24"/>
          <w:lang w:val="en-GB"/>
        </w:rPr>
        <w:t>One way</w:t>
      </w:r>
      <w:proofErr w:type="gramEnd"/>
      <w:r w:rsidRPr="000F7534">
        <w:rPr>
          <w:rFonts w:ascii="Arial" w:hAnsi="Arial" w:cs="Arial"/>
          <w:sz w:val="24"/>
          <w:szCs w:val="24"/>
          <w:lang w:val="en-GB"/>
        </w:rPr>
        <w:t xml:space="preserve"> Anova. </w:t>
      </w:r>
      <w:r w:rsidRPr="000F753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Not significant (ns), p &gt; 0.05.</w:t>
      </w:r>
    </w:p>
    <w:p w14:paraId="0C9788EA" w14:textId="77777777" w:rsidR="00847E66" w:rsidRPr="000F7534" w:rsidRDefault="00847E66" w:rsidP="00847E66">
      <w:pPr>
        <w:pStyle w:val="ListParagraph"/>
        <w:numPr>
          <w:ilvl w:val="0"/>
          <w:numId w:val="3"/>
        </w:numPr>
        <w:shd w:val="clear" w:color="auto" w:fill="FFFFFF" w:themeFill="background1"/>
        <w:spacing w:after="120" w:line="48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0F7534">
        <w:rPr>
          <w:rFonts w:ascii="Arial" w:hAnsi="Arial" w:cs="Arial"/>
          <w:sz w:val="24"/>
          <w:szCs w:val="24"/>
          <w:lang w:val="en-GB"/>
        </w:rPr>
        <w:t xml:space="preserve">Representative frames from live-cell imaging showing GCaMP6 fluorescence before and at the peak of 20V electrical stimulation of myotubes. </w:t>
      </w:r>
      <w:r w:rsidRPr="000F753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Scale bar: 100 µm.</w:t>
      </w:r>
    </w:p>
    <w:p w14:paraId="2C6C2C7C" w14:textId="77777777" w:rsidR="00847E66" w:rsidRPr="000F7534" w:rsidRDefault="00847E66" w:rsidP="00847E66">
      <w:pPr>
        <w:pStyle w:val="ListParagraph"/>
        <w:numPr>
          <w:ilvl w:val="0"/>
          <w:numId w:val="3"/>
        </w:numPr>
        <w:shd w:val="clear" w:color="auto" w:fill="FFFFFF" w:themeFill="background1"/>
        <w:spacing w:after="120" w:line="48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n-GB" w:eastAsia="en-GB"/>
        </w:rPr>
      </w:pPr>
      <w:r w:rsidRPr="000F7534">
        <w:rPr>
          <w:rFonts w:ascii="Arial" w:hAnsi="Arial" w:cs="Arial"/>
          <w:sz w:val="24"/>
          <w:szCs w:val="24"/>
          <w:lang w:val="en-GB"/>
        </w:rPr>
        <w:t>Representative calcium transient traces recorded from myotubes during electrical stimulation.</w:t>
      </w:r>
    </w:p>
    <w:p w14:paraId="4CF362B8" w14:textId="77777777" w:rsidR="00847E66" w:rsidRDefault="00847E66" w:rsidP="00847E66">
      <w:pPr>
        <w:pStyle w:val="ListParagraph"/>
        <w:numPr>
          <w:ilvl w:val="0"/>
          <w:numId w:val="3"/>
        </w:numPr>
        <w:shd w:val="clear" w:color="auto" w:fill="FFFFFF" w:themeFill="background1"/>
        <w:spacing w:after="120" w:line="48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0F753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Average normalised peak of fluorescence in the field upon 20V electrical stimulation. Each dot represents an independent well analysed. N=4, n=15 wells. Not significant (ns), p &gt; 0.05.</w:t>
      </w:r>
    </w:p>
    <w:p w14:paraId="2DC6D883" w14:textId="4CB2EAE4" w:rsidR="003B7FED" w:rsidRDefault="003B7FED">
      <w:pPr>
        <w:spacing w:line="278" w:lineRule="auto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br w:type="page"/>
      </w:r>
    </w:p>
    <w:p w14:paraId="5B819A9E" w14:textId="5DD623A5" w:rsidR="003B7FED" w:rsidRPr="00E939F8" w:rsidRDefault="003B7FED" w:rsidP="003B7FED">
      <w:pPr>
        <w:shd w:val="clear" w:color="auto" w:fill="FFFFFF" w:themeFill="background1"/>
        <w:spacing w:after="120" w:line="48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3B7FED">
        <w:rPr>
          <w:rFonts w:ascii="Arial" w:hAnsi="Arial" w:cs="Arial"/>
          <w:b/>
          <w:bCs/>
          <w:sz w:val="24"/>
          <w:szCs w:val="24"/>
          <w:lang w:val="en-GB"/>
        </w:rPr>
        <w:lastRenderedPageBreak/>
        <w:t>Supplemental Table 1</w:t>
      </w:r>
      <w:r>
        <w:rPr>
          <w:rFonts w:ascii="Arial" w:hAnsi="Arial" w:cs="Arial"/>
          <w:sz w:val="24"/>
          <w:szCs w:val="24"/>
          <w:lang w:val="en-GB"/>
        </w:rPr>
        <w:t>.</w:t>
      </w:r>
      <w:r w:rsidRPr="00E939F8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L</w:t>
      </w:r>
      <w:r w:rsidRPr="00E939F8">
        <w:rPr>
          <w:rFonts w:ascii="Arial" w:hAnsi="Arial" w:cs="Arial"/>
          <w:sz w:val="24"/>
          <w:szCs w:val="24"/>
          <w:lang w:val="en-GB"/>
        </w:rPr>
        <w:t>ist of primers used in this study.</w:t>
      </w:r>
    </w:p>
    <w:tbl>
      <w:tblPr>
        <w:tblW w:w="8926" w:type="dxa"/>
        <w:jc w:val="center"/>
        <w:tblLook w:val="04A0" w:firstRow="1" w:lastRow="0" w:firstColumn="1" w:lastColumn="0" w:noHBand="0" w:noVBand="1"/>
      </w:tblPr>
      <w:tblGrid>
        <w:gridCol w:w="1558"/>
        <w:gridCol w:w="3206"/>
        <w:gridCol w:w="3225"/>
        <w:gridCol w:w="937"/>
      </w:tblGrid>
      <w:tr w:rsidR="003B7FED" w:rsidRPr="002B35A1" w14:paraId="54D27D0D" w14:textId="77777777" w:rsidTr="00E7279B">
        <w:trPr>
          <w:trHeight w:val="320"/>
          <w:jc w:val="center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593C4" w14:textId="77777777" w:rsidR="003B7FED" w:rsidRPr="002B35A1" w:rsidRDefault="003B7FED" w:rsidP="00E7279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B35A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  <w:t>Primers used for PCR amplification</w:t>
            </w:r>
          </w:p>
        </w:tc>
      </w:tr>
      <w:tr w:rsidR="003B7FED" w:rsidRPr="002B35A1" w14:paraId="11D025E2" w14:textId="77777777" w:rsidTr="00E7279B">
        <w:trPr>
          <w:trHeight w:val="440"/>
          <w:jc w:val="center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43411" w14:textId="77777777" w:rsidR="003B7FED" w:rsidRPr="002B35A1" w:rsidRDefault="003B7FED" w:rsidP="00E7279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B35A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  <w:t>Region of interest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E2992" w14:textId="77777777" w:rsidR="003B7FED" w:rsidRPr="002B35A1" w:rsidRDefault="003B7FED" w:rsidP="00E7279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B35A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  <w:t>forward primer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DA51F" w14:textId="77777777" w:rsidR="003B7FED" w:rsidRPr="002B35A1" w:rsidRDefault="003B7FED" w:rsidP="00E7279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B35A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  <w:t>reverse primer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4835C" w14:textId="77777777" w:rsidR="003B7FED" w:rsidRPr="002B35A1" w:rsidRDefault="003B7FED" w:rsidP="00E7279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B35A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  <w:t>amplicon length</w:t>
            </w:r>
          </w:p>
        </w:tc>
      </w:tr>
      <w:tr w:rsidR="003B7FED" w:rsidRPr="002B35A1" w14:paraId="64146C5E" w14:textId="77777777" w:rsidTr="00E7279B">
        <w:trPr>
          <w:trHeight w:val="320"/>
          <w:jc w:val="center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A112F" w14:textId="77777777" w:rsidR="003B7FED" w:rsidRPr="002B35A1" w:rsidRDefault="003B7FED" w:rsidP="00E7279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B35A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  <w:t>RYR1 exon 46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24038" w14:textId="77777777" w:rsidR="003B7FED" w:rsidRPr="002B35A1" w:rsidRDefault="003B7FED" w:rsidP="00E7279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B35A1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:lang w:val="en-GB" w:eastAsia="en-GB"/>
                <w14:ligatures w14:val="none"/>
              </w:rPr>
              <w:t>GTCCAATGGGGGAGACGGA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67FD6" w14:textId="77777777" w:rsidR="003B7FED" w:rsidRPr="002B35A1" w:rsidRDefault="003B7FED" w:rsidP="00E7279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B35A1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:lang w:val="en-GB" w:eastAsia="en-GB"/>
                <w14:ligatures w14:val="none"/>
              </w:rPr>
              <w:t>CTTTGCCCAGGGTGGGAAT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2DFE7" w14:textId="77777777" w:rsidR="003B7FED" w:rsidRPr="002B35A1" w:rsidRDefault="003B7FED" w:rsidP="00E7279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B35A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  <w:t>531</w:t>
            </w:r>
          </w:p>
        </w:tc>
      </w:tr>
      <w:tr w:rsidR="003B7FED" w:rsidRPr="002B35A1" w14:paraId="61E84E75" w14:textId="77777777" w:rsidTr="00E7279B">
        <w:trPr>
          <w:trHeight w:val="320"/>
          <w:jc w:val="center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E4EFA" w14:textId="77777777" w:rsidR="003B7FED" w:rsidRPr="002B35A1" w:rsidRDefault="003B7FED" w:rsidP="00E7279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B35A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  <w:t>RYR1 exon 102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8BE30" w14:textId="77777777" w:rsidR="003B7FED" w:rsidRPr="002B35A1" w:rsidRDefault="003B7FED" w:rsidP="00E7279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B35A1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:lang w:val="en-GB" w:eastAsia="en-GB"/>
                <w14:ligatures w14:val="none"/>
              </w:rPr>
              <w:t>TCTGGCTGTTGGTCCCTGTC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50A89" w14:textId="77777777" w:rsidR="003B7FED" w:rsidRPr="002B35A1" w:rsidRDefault="003B7FED" w:rsidP="00E7279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B35A1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:lang w:val="en-GB" w:eastAsia="en-GB"/>
                <w14:ligatures w14:val="none"/>
              </w:rPr>
              <w:t>CCCAGCACTGACCCTGGATG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1EE1C" w14:textId="77777777" w:rsidR="003B7FED" w:rsidRPr="002B35A1" w:rsidRDefault="003B7FED" w:rsidP="00E7279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B35A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  <w:t>335</w:t>
            </w:r>
          </w:p>
        </w:tc>
      </w:tr>
      <w:tr w:rsidR="003B7FED" w:rsidRPr="002B35A1" w14:paraId="0F5F5A76" w14:textId="77777777" w:rsidTr="00E7279B">
        <w:trPr>
          <w:trHeight w:val="320"/>
          <w:jc w:val="center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6D7BE" w14:textId="77777777" w:rsidR="003B7FED" w:rsidRPr="002B35A1" w:rsidRDefault="003B7FED" w:rsidP="00E7279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B35A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  <w:t>Primers used for quantitative PCR</w:t>
            </w:r>
          </w:p>
        </w:tc>
      </w:tr>
      <w:tr w:rsidR="003B7FED" w:rsidRPr="002B35A1" w14:paraId="372345D6" w14:textId="77777777" w:rsidTr="00E7279B">
        <w:trPr>
          <w:trHeight w:val="320"/>
          <w:jc w:val="center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E0A74" w14:textId="77777777" w:rsidR="003B7FED" w:rsidRPr="002B35A1" w:rsidRDefault="003B7FED" w:rsidP="00E7279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B35A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  <w:t>gene of interest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3D6B7" w14:textId="77777777" w:rsidR="003B7FED" w:rsidRPr="002B35A1" w:rsidRDefault="003B7FED" w:rsidP="00E7279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B35A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  <w:t>forward primer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0E466" w14:textId="77777777" w:rsidR="003B7FED" w:rsidRPr="002B35A1" w:rsidRDefault="003B7FED" w:rsidP="00E7279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B35A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  <w:t>reverse primer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068E" w14:textId="77777777" w:rsidR="003B7FED" w:rsidRPr="002B35A1" w:rsidRDefault="003B7FED" w:rsidP="00E7279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B35A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  <w:t>amplicon length</w:t>
            </w:r>
          </w:p>
        </w:tc>
      </w:tr>
      <w:tr w:rsidR="003B7FED" w:rsidRPr="002B35A1" w14:paraId="4D5514F7" w14:textId="77777777" w:rsidTr="00E7279B">
        <w:trPr>
          <w:trHeight w:val="320"/>
          <w:jc w:val="center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AEAD2" w14:textId="77777777" w:rsidR="003B7FED" w:rsidRPr="002B35A1" w:rsidRDefault="003B7FED" w:rsidP="00E7279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B35A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  <w:t>housekeeping 18S rRNA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F7073" w14:textId="77777777" w:rsidR="003B7FED" w:rsidRPr="002B35A1" w:rsidRDefault="003B7FED" w:rsidP="00E7279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B35A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  <w:t>GTAACCCGTTGAACCCCATT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9D6C6" w14:textId="77777777" w:rsidR="003B7FED" w:rsidRPr="002B35A1" w:rsidRDefault="003B7FED" w:rsidP="00E7279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B35A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  <w:t>CCATCCAATCGGTAGTAGCG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15274" w14:textId="77777777" w:rsidR="003B7FED" w:rsidRPr="002B35A1" w:rsidRDefault="003B7FED" w:rsidP="00E7279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B35A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  <w:t>151</w:t>
            </w:r>
          </w:p>
        </w:tc>
      </w:tr>
      <w:tr w:rsidR="003B7FED" w:rsidRPr="002B35A1" w14:paraId="40F517AA" w14:textId="77777777" w:rsidTr="00E7279B">
        <w:trPr>
          <w:trHeight w:val="320"/>
          <w:jc w:val="center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225FD" w14:textId="77777777" w:rsidR="003B7FED" w:rsidRPr="002B35A1" w:rsidRDefault="003B7FED" w:rsidP="00E7279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B35A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  <w:t>RYR1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84814" w14:textId="77777777" w:rsidR="003B7FED" w:rsidRPr="002B35A1" w:rsidRDefault="003B7FED" w:rsidP="00E7279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1B1B1B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B35A1">
              <w:rPr>
                <w:rFonts w:ascii="Arial" w:eastAsia="Times New Roman" w:hAnsi="Arial" w:cs="Arial"/>
                <w:color w:val="1B1B1B"/>
                <w:kern w:val="0"/>
                <w:sz w:val="18"/>
                <w:szCs w:val="18"/>
                <w:lang w:val="en-GB" w:eastAsia="en-GB"/>
                <w14:ligatures w14:val="none"/>
              </w:rPr>
              <w:t>TCAACACGCCGTCTTTCCCT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21A0F" w14:textId="77777777" w:rsidR="003B7FED" w:rsidRPr="002B35A1" w:rsidRDefault="003B7FED" w:rsidP="00E7279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1B1B1B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B35A1">
              <w:rPr>
                <w:rFonts w:ascii="Arial" w:eastAsia="Times New Roman" w:hAnsi="Arial" w:cs="Arial"/>
                <w:color w:val="1B1B1B"/>
                <w:kern w:val="0"/>
                <w:sz w:val="18"/>
                <w:szCs w:val="18"/>
                <w:lang w:val="en-GB" w:eastAsia="en-GB"/>
                <w14:ligatures w14:val="none"/>
              </w:rPr>
              <w:t>GTTGGGCTTGCGCTCATTGT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E6F6A" w14:textId="77777777" w:rsidR="003B7FED" w:rsidRPr="002B35A1" w:rsidRDefault="003B7FED" w:rsidP="00E7279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B35A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  <w:t>161</w:t>
            </w:r>
          </w:p>
        </w:tc>
      </w:tr>
      <w:tr w:rsidR="003B7FED" w:rsidRPr="002B35A1" w14:paraId="63558903" w14:textId="77777777" w:rsidTr="00E7279B">
        <w:trPr>
          <w:trHeight w:val="320"/>
          <w:jc w:val="center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9ACA7" w14:textId="77777777" w:rsidR="003B7FED" w:rsidRPr="002B35A1" w:rsidRDefault="003B7FED" w:rsidP="00E7279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B35A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  <w:t>TITIN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1389E" w14:textId="77777777" w:rsidR="003B7FED" w:rsidRPr="002B35A1" w:rsidRDefault="003B7FED" w:rsidP="00E7279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B35A1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:lang w:val="en-GB" w:eastAsia="en-GB"/>
                <w14:ligatures w14:val="none"/>
              </w:rPr>
              <w:t>GCACGTGGAGACTGTCAAGA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5D6D8" w14:textId="77777777" w:rsidR="003B7FED" w:rsidRPr="002B35A1" w:rsidRDefault="003B7FED" w:rsidP="00E7279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B35A1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:lang w:val="en-GB" w:eastAsia="en-GB"/>
                <w14:ligatures w14:val="none"/>
              </w:rPr>
              <w:t>AGCATCTGAGGGGGAGATGT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00752" w14:textId="77777777" w:rsidR="003B7FED" w:rsidRPr="002B35A1" w:rsidRDefault="003B7FED" w:rsidP="00E7279B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B35A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  <w:t>214</w:t>
            </w:r>
          </w:p>
        </w:tc>
      </w:tr>
    </w:tbl>
    <w:p w14:paraId="63762914" w14:textId="77777777" w:rsidR="003B7FED" w:rsidRPr="00E939F8" w:rsidRDefault="003B7FED" w:rsidP="003B7FED">
      <w:pPr>
        <w:shd w:val="clear" w:color="auto" w:fill="FFFFFF" w:themeFill="background1"/>
        <w:spacing w:after="120" w:line="48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4712E12C" w14:textId="6D1D3204" w:rsidR="003B7FED" w:rsidRPr="00E939F8" w:rsidRDefault="003B7FED" w:rsidP="003B7FED">
      <w:pPr>
        <w:shd w:val="clear" w:color="auto" w:fill="FFFFFF" w:themeFill="background1"/>
        <w:spacing w:after="120" w:line="48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3B7FED">
        <w:rPr>
          <w:rFonts w:ascii="Arial" w:hAnsi="Arial" w:cs="Arial"/>
          <w:b/>
          <w:bCs/>
          <w:sz w:val="24"/>
          <w:szCs w:val="24"/>
          <w:lang w:val="en-GB"/>
        </w:rPr>
        <w:t>Supplemental Table 2</w:t>
      </w:r>
      <w:r>
        <w:rPr>
          <w:rFonts w:ascii="Arial" w:hAnsi="Arial" w:cs="Arial"/>
          <w:sz w:val="24"/>
          <w:szCs w:val="24"/>
          <w:lang w:val="en-GB"/>
        </w:rPr>
        <w:t>.</w:t>
      </w:r>
      <w:r w:rsidRPr="00E939F8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L</w:t>
      </w:r>
      <w:r w:rsidRPr="00E939F8">
        <w:rPr>
          <w:rFonts w:ascii="Arial" w:hAnsi="Arial" w:cs="Arial"/>
          <w:sz w:val="24"/>
          <w:szCs w:val="24"/>
          <w:lang w:val="en-GB"/>
        </w:rPr>
        <w:t>ist of primary antibodies used in this study.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4395"/>
        <w:gridCol w:w="1842"/>
        <w:gridCol w:w="1083"/>
      </w:tblGrid>
      <w:tr w:rsidR="003B7FED" w:rsidRPr="00E939F8" w14:paraId="599E1837" w14:textId="77777777" w:rsidTr="00E7279B">
        <w:tc>
          <w:tcPr>
            <w:tcW w:w="1696" w:type="dxa"/>
          </w:tcPr>
          <w:p w14:paraId="3A5526F5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E939F8">
              <w:rPr>
                <w:rFonts w:ascii="Arial" w:hAnsi="Arial" w:cs="Arial"/>
                <w:b/>
                <w:bCs/>
                <w:lang w:val="en-GB"/>
              </w:rPr>
              <w:t>antibody</w:t>
            </w:r>
          </w:p>
        </w:tc>
        <w:tc>
          <w:tcPr>
            <w:tcW w:w="4395" w:type="dxa"/>
          </w:tcPr>
          <w:p w14:paraId="6FC453E7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E939F8">
              <w:rPr>
                <w:rFonts w:ascii="Arial" w:hAnsi="Arial" w:cs="Arial"/>
                <w:b/>
                <w:bCs/>
                <w:lang w:val="en-GB"/>
              </w:rPr>
              <w:t>company</w:t>
            </w:r>
          </w:p>
        </w:tc>
        <w:tc>
          <w:tcPr>
            <w:tcW w:w="1842" w:type="dxa"/>
          </w:tcPr>
          <w:p w14:paraId="59D3A905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E939F8">
              <w:rPr>
                <w:rFonts w:ascii="Arial" w:hAnsi="Arial" w:cs="Arial"/>
                <w:b/>
                <w:bCs/>
                <w:lang w:val="en-GB"/>
              </w:rPr>
              <w:t>species</w:t>
            </w:r>
          </w:p>
        </w:tc>
        <w:tc>
          <w:tcPr>
            <w:tcW w:w="1083" w:type="dxa"/>
          </w:tcPr>
          <w:p w14:paraId="2808186F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E939F8">
              <w:rPr>
                <w:rFonts w:ascii="Arial" w:hAnsi="Arial" w:cs="Arial"/>
                <w:b/>
                <w:bCs/>
                <w:lang w:val="en-GB"/>
              </w:rPr>
              <w:t>dilution</w:t>
            </w:r>
          </w:p>
        </w:tc>
      </w:tr>
      <w:tr w:rsidR="003B7FED" w:rsidRPr="00E939F8" w14:paraId="24AD9BC9" w14:textId="77777777" w:rsidTr="00E7279B">
        <w:tc>
          <w:tcPr>
            <w:tcW w:w="1696" w:type="dxa"/>
          </w:tcPr>
          <w:p w14:paraId="2113D12C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NANOG</w:t>
            </w:r>
          </w:p>
        </w:tc>
        <w:tc>
          <w:tcPr>
            <w:tcW w:w="4395" w:type="dxa"/>
          </w:tcPr>
          <w:p w14:paraId="104C3AA3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Abcam, ab80892</w:t>
            </w:r>
          </w:p>
        </w:tc>
        <w:tc>
          <w:tcPr>
            <w:tcW w:w="1842" w:type="dxa"/>
          </w:tcPr>
          <w:p w14:paraId="577234CA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Rabbit</w:t>
            </w:r>
          </w:p>
        </w:tc>
        <w:tc>
          <w:tcPr>
            <w:tcW w:w="1083" w:type="dxa"/>
          </w:tcPr>
          <w:p w14:paraId="535FFE5A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1:200</w:t>
            </w:r>
          </w:p>
        </w:tc>
      </w:tr>
      <w:tr w:rsidR="003B7FED" w:rsidRPr="00E939F8" w14:paraId="2B29DED9" w14:textId="77777777" w:rsidTr="00E7279B">
        <w:tc>
          <w:tcPr>
            <w:tcW w:w="1696" w:type="dxa"/>
          </w:tcPr>
          <w:p w14:paraId="333E46BC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OCT3/4</w:t>
            </w:r>
          </w:p>
        </w:tc>
        <w:tc>
          <w:tcPr>
            <w:tcW w:w="4395" w:type="dxa"/>
          </w:tcPr>
          <w:p w14:paraId="772C7688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Santa Cruz, sc-5279</w:t>
            </w:r>
          </w:p>
        </w:tc>
        <w:tc>
          <w:tcPr>
            <w:tcW w:w="1842" w:type="dxa"/>
          </w:tcPr>
          <w:p w14:paraId="7FCC303F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Mouse IgG2b</w:t>
            </w:r>
          </w:p>
        </w:tc>
        <w:tc>
          <w:tcPr>
            <w:tcW w:w="1083" w:type="dxa"/>
          </w:tcPr>
          <w:p w14:paraId="5763CFDB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1:100</w:t>
            </w:r>
          </w:p>
        </w:tc>
      </w:tr>
      <w:tr w:rsidR="003B7FED" w:rsidRPr="00E939F8" w14:paraId="56533A0B" w14:textId="77777777" w:rsidTr="00E7279B">
        <w:tc>
          <w:tcPr>
            <w:tcW w:w="1696" w:type="dxa"/>
          </w:tcPr>
          <w:p w14:paraId="0056FFF4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SOX2</w:t>
            </w:r>
          </w:p>
        </w:tc>
        <w:tc>
          <w:tcPr>
            <w:tcW w:w="4395" w:type="dxa"/>
          </w:tcPr>
          <w:p w14:paraId="24A5F44E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Millipore, AB5603</w:t>
            </w:r>
          </w:p>
        </w:tc>
        <w:tc>
          <w:tcPr>
            <w:tcW w:w="1842" w:type="dxa"/>
          </w:tcPr>
          <w:p w14:paraId="0D9A24D0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Rabbit</w:t>
            </w:r>
          </w:p>
        </w:tc>
        <w:tc>
          <w:tcPr>
            <w:tcW w:w="1083" w:type="dxa"/>
          </w:tcPr>
          <w:p w14:paraId="6D830492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1:200</w:t>
            </w:r>
          </w:p>
        </w:tc>
      </w:tr>
      <w:tr w:rsidR="003B7FED" w:rsidRPr="00E939F8" w14:paraId="003E885F" w14:textId="77777777" w:rsidTr="00E7279B">
        <w:tc>
          <w:tcPr>
            <w:tcW w:w="1696" w:type="dxa"/>
          </w:tcPr>
          <w:p w14:paraId="51E68C24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SMA</w:t>
            </w:r>
          </w:p>
        </w:tc>
        <w:tc>
          <w:tcPr>
            <w:tcW w:w="4395" w:type="dxa"/>
          </w:tcPr>
          <w:p w14:paraId="149B1A3F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Sigma A2547</w:t>
            </w:r>
          </w:p>
        </w:tc>
        <w:tc>
          <w:tcPr>
            <w:tcW w:w="1842" w:type="dxa"/>
          </w:tcPr>
          <w:p w14:paraId="1D4A9C36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Mouse IgG2A</w:t>
            </w:r>
          </w:p>
        </w:tc>
        <w:tc>
          <w:tcPr>
            <w:tcW w:w="1083" w:type="dxa"/>
          </w:tcPr>
          <w:p w14:paraId="5257755E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1:500</w:t>
            </w:r>
          </w:p>
        </w:tc>
      </w:tr>
      <w:tr w:rsidR="003B7FED" w:rsidRPr="00E939F8" w14:paraId="7E44E726" w14:textId="77777777" w:rsidTr="00E7279B">
        <w:tc>
          <w:tcPr>
            <w:tcW w:w="1696" w:type="dxa"/>
          </w:tcPr>
          <w:p w14:paraId="7A02433B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GATA4</w:t>
            </w:r>
          </w:p>
        </w:tc>
        <w:tc>
          <w:tcPr>
            <w:tcW w:w="4395" w:type="dxa"/>
          </w:tcPr>
          <w:p w14:paraId="43DA1A68" w14:textId="77777777" w:rsidR="003B7FED" w:rsidRPr="00E939F8" w:rsidRDefault="003B7FED" w:rsidP="00E7279B">
            <w:pPr>
              <w:spacing w:line="48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 xml:space="preserve">Rb anti GATA4 Cell </w:t>
            </w:r>
            <w:proofErr w:type="spellStart"/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Signaling</w:t>
            </w:r>
            <w:proofErr w:type="spellEnd"/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 xml:space="preserve"> D3A3M</w:t>
            </w:r>
          </w:p>
        </w:tc>
        <w:tc>
          <w:tcPr>
            <w:tcW w:w="1842" w:type="dxa"/>
          </w:tcPr>
          <w:p w14:paraId="2133E61E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Rabbit</w:t>
            </w:r>
          </w:p>
        </w:tc>
        <w:tc>
          <w:tcPr>
            <w:tcW w:w="1083" w:type="dxa"/>
          </w:tcPr>
          <w:p w14:paraId="5F0FDAAC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1:400</w:t>
            </w:r>
          </w:p>
        </w:tc>
      </w:tr>
      <w:tr w:rsidR="003B7FED" w:rsidRPr="00E939F8" w14:paraId="73FE47D5" w14:textId="77777777" w:rsidTr="00E7279B">
        <w:tc>
          <w:tcPr>
            <w:tcW w:w="1696" w:type="dxa"/>
          </w:tcPr>
          <w:p w14:paraId="3464A7DF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TUJ1 (TUBB3)</w:t>
            </w:r>
          </w:p>
        </w:tc>
        <w:tc>
          <w:tcPr>
            <w:tcW w:w="4395" w:type="dxa"/>
          </w:tcPr>
          <w:p w14:paraId="1488F4A6" w14:textId="77777777" w:rsidR="003B7FED" w:rsidRPr="00E939F8" w:rsidRDefault="003B7FED" w:rsidP="00E7279B">
            <w:pPr>
              <w:spacing w:line="48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 xml:space="preserve">Cell </w:t>
            </w:r>
            <w:proofErr w:type="spellStart"/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Signaling</w:t>
            </w:r>
            <w:proofErr w:type="spellEnd"/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, SDL.3D10</w:t>
            </w:r>
          </w:p>
        </w:tc>
        <w:tc>
          <w:tcPr>
            <w:tcW w:w="1842" w:type="dxa"/>
          </w:tcPr>
          <w:p w14:paraId="651E4797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Mouse IgG2B</w:t>
            </w:r>
          </w:p>
        </w:tc>
        <w:tc>
          <w:tcPr>
            <w:tcW w:w="1083" w:type="dxa"/>
          </w:tcPr>
          <w:p w14:paraId="55AD4A0A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1:500</w:t>
            </w:r>
          </w:p>
        </w:tc>
      </w:tr>
      <w:tr w:rsidR="003B7FED" w:rsidRPr="00E939F8" w14:paraId="341FB9AE" w14:textId="77777777" w:rsidTr="00E7279B">
        <w:tc>
          <w:tcPr>
            <w:tcW w:w="1696" w:type="dxa"/>
          </w:tcPr>
          <w:p w14:paraId="7D16AD49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PAX7</w:t>
            </w:r>
          </w:p>
        </w:tc>
        <w:tc>
          <w:tcPr>
            <w:tcW w:w="4395" w:type="dxa"/>
          </w:tcPr>
          <w:p w14:paraId="6A02D3E9" w14:textId="77777777" w:rsidR="003B7FED" w:rsidRPr="00E939F8" w:rsidRDefault="003B7FED" w:rsidP="00E7279B">
            <w:pPr>
              <w:spacing w:line="48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DSHB, PAX7-s</w:t>
            </w:r>
          </w:p>
        </w:tc>
        <w:tc>
          <w:tcPr>
            <w:tcW w:w="1842" w:type="dxa"/>
          </w:tcPr>
          <w:p w14:paraId="09887E5E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Mouse IgG1</w:t>
            </w:r>
          </w:p>
        </w:tc>
        <w:tc>
          <w:tcPr>
            <w:tcW w:w="1083" w:type="dxa"/>
          </w:tcPr>
          <w:p w14:paraId="5464A521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1:50</w:t>
            </w:r>
          </w:p>
        </w:tc>
      </w:tr>
      <w:tr w:rsidR="003B7FED" w:rsidRPr="00E939F8" w14:paraId="38BA7B33" w14:textId="77777777" w:rsidTr="00E7279B">
        <w:tc>
          <w:tcPr>
            <w:tcW w:w="1696" w:type="dxa"/>
          </w:tcPr>
          <w:p w14:paraId="4023281F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MYOD1</w:t>
            </w:r>
          </w:p>
        </w:tc>
        <w:tc>
          <w:tcPr>
            <w:tcW w:w="4395" w:type="dxa"/>
          </w:tcPr>
          <w:p w14:paraId="1FC6F3EC" w14:textId="77777777" w:rsidR="003B7FED" w:rsidRPr="00E939F8" w:rsidRDefault="003B7FED" w:rsidP="00E7279B">
            <w:pPr>
              <w:spacing w:line="48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 xml:space="preserve">Cell </w:t>
            </w:r>
            <w:proofErr w:type="spellStart"/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Signaling</w:t>
            </w:r>
            <w:proofErr w:type="spellEnd"/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, D8G3</w:t>
            </w:r>
          </w:p>
        </w:tc>
        <w:tc>
          <w:tcPr>
            <w:tcW w:w="1842" w:type="dxa"/>
          </w:tcPr>
          <w:p w14:paraId="2E88633A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Rabbit</w:t>
            </w:r>
          </w:p>
        </w:tc>
        <w:tc>
          <w:tcPr>
            <w:tcW w:w="1083" w:type="dxa"/>
          </w:tcPr>
          <w:p w14:paraId="41536E47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1:350</w:t>
            </w:r>
          </w:p>
        </w:tc>
      </w:tr>
      <w:tr w:rsidR="003B7FED" w:rsidRPr="00E939F8" w14:paraId="195B3F68" w14:textId="77777777" w:rsidTr="00E7279B">
        <w:tc>
          <w:tcPr>
            <w:tcW w:w="1696" w:type="dxa"/>
          </w:tcPr>
          <w:p w14:paraId="65153276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MYOG</w:t>
            </w:r>
          </w:p>
        </w:tc>
        <w:tc>
          <w:tcPr>
            <w:tcW w:w="4395" w:type="dxa"/>
          </w:tcPr>
          <w:p w14:paraId="793DB806" w14:textId="77777777" w:rsidR="003B7FED" w:rsidRPr="00E939F8" w:rsidRDefault="003B7FED" w:rsidP="00E7279B">
            <w:pPr>
              <w:spacing w:line="48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DSHB, F5D</w:t>
            </w:r>
          </w:p>
        </w:tc>
        <w:tc>
          <w:tcPr>
            <w:tcW w:w="1842" w:type="dxa"/>
          </w:tcPr>
          <w:p w14:paraId="4FC9B23E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Mouse IgG1</w:t>
            </w:r>
          </w:p>
        </w:tc>
        <w:tc>
          <w:tcPr>
            <w:tcW w:w="1083" w:type="dxa"/>
          </w:tcPr>
          <w:p w14:paraId="07C7DC4E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1:50</w:t>
            </w:r>
          </w:p>
        </w:tc>
      </w:tr>
      <w:tr w:rsidR="003B7FED" w:rsidRPr="00E939F8" w14:paraId="05693BEE" w14:textId="77777777" w:rsidTr="00E7279B">
        <w:tc>
          <w:tcPr>
            <w:tcW w:w="1696" w:type="dxa"/>
          </w:tcPr>
          <w:p w14:paraId="5C9C2C8E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lastRenderedPageBreak/>
              <w:t>TITIN</w:t>
            </w:r>
          </w:p>
        </w:tc>
        <w:tc>
          <w:tcPr>
            <w:tcW w:w="4395" w:type="dxa"/>
          </w:tcPr>
          <w:p w14:paraId="6E663121" w14:textId="77777777" w:rsidR="003B7FED" w:rsidRPr="00E939F8" w:rsidRDefault="003B7FED" w:rsidP="00E7279B">
            <w:pPr>
              <w:spacing w:line="48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 xml:space="preserve">DSHB, 9D10-s </w:t>
            </w:r>
          </w:p>
        </w:tc>
        <w:tc>
          <w:tcPr>
            <w:tcW w:w="1842" w:type="dxa"/>
          </w:tcPr>
          <w:p w14:paraId="6177AE41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Mouse IgM</w:t>
            </w:r>
          </w:p>
        </w:tc>
        <w:tc>
          <w:tcPr>
            <w:tcW w:w="1083" w:type="dxa"/>
          </w:tcPr>
          <w:p w14:paraId="4764E9C6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1:50</w:t>
            </w:r>
          </w:p>
        </w:tc>
      </w:tr>
      <w:tr w:rsidR="003B7FED" w:rsidRPr="00E939F8" w14:paraId="758112F5" w14:textId="77777777" w:rsidTr="00E7279B">
        <w:tc>
          <w:tcPr>
            <w:tcW w:w="1696" w:type="dxa"/>
          </w:tcPr>
          <w:p w14:paraId="312CDBA0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MYHC</w:t>
            </w:r>
          </w:p>
        </w:tc>
        <w:tc>
          <w:tcPr>
            <w:tcW w:w="4395" w:type="dxa"/>
          </w:tcPr>
          <w:p w14:paraId="20F24B84" w14:textId="77777777" w:rsidR="003B7FED" w:rsidRPr="00E939F8" w:rsidRDefault="003B7FED" w:rsidP="00E7279B">
            <w:pPr>
              <w:spacing w:line="48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 xml:space="preserve">DSHB, MF20-s </w:t>
            </w:r>
          </w:p>
        </w:tc>
        <w:tc>
          <w:tcPr>
            <w:tcW w:w="1842" w:type="dxa"/>
          </w:tcPr>
          <w:p w14:paraId="0A47B7E3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Mouse IgG2b</w:t>
            </w:r>
          </w:p>
        </w:tc>
        <w:tc>
          <w:tcPr>
            <w:tcW w:w="1083" w:type="dxa"/>
          </w:tcPr>
          <w:p w14:paraId="7C662407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1:50</w:t>
            </w:r>
          </w:p>
        </w:tc>
      </w:tr>
      <w:tr w:rsidR="003B7FED" w:rsidRPr="00E939F8" w14:paraId="29790482" w14:textId="77777777" w:rsidTr="00E7279B">
        <w:tc>
          <w:tcPr>
            <w:tcW w:w="1696" w:type="dxa"/>
          </w:tcPr>
          <w:p w14:paraId="73C128ED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RYR1</w:t>
            </w:r>
          </w:p>
        </w:tc>
        <w:tc>
          <w:tcPr>
            <w:tcW w:w="4395" w:type="dxa"/>
          </w:tcPr>
          <w:p w14:paraId="544C09E7" w14:textId="77777777" w:rsidR="003B7FED" w:rsidRPr="00E939F8" w:rsidRDefault="003B7FED" w:rsidP="00E7279B">
            <w:pPr>
              <w:spacing w:line="48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 xml:space="preserve">DSHB, 34C-s </w:t>
            </w:r>
          </w:p>
        </w:tc>
        <w:tc>
          <w:tcPr>
            <w:tcW w:w="1842" w:type="dxa"/>
          </w:tcPr>
          <w:p w14:paraId="0424BBDD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Mouse IgG1</w:t>
            </w:r>
          </w:p>
        </w:tc>
        <w:tc>
          <w:tcPr>
            <w:tcW w:w="1083" w:type="dxa"/>
          </w:tcPr>
          <w:p w14:paraId="1047B1B4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1:50</w:t>
            </w:r>
          </w:p>
        </w:tc>
      </w:tr>
      <w:tr w:rsidR="003B7FED" w:rsidRPr="00E939F8" w14:paraId="75776C3D" w14:textId="77777777" w:rsidTr="00E7279B">
        <w:tc>
          <w:tcPr>
            <w:tcW w:w="1696" w:type="dxa"/>
          </w:tcPr>
          <w:p w14:paraId="22AEB8F5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DESMIN</w:t>
            </w:r>
          </w:p>
        </w:tc>
        <w:tc>
          <w:tcPr>
            <w:tcW w:w="4395" w:type="dxa"/>
          </w:tcPr>
          <w:p w14:paraId="23FA5EA8" w14:textId="77777777" w:rsidR="003B7FED" w:rsidRPr="00E939F8" w:rsidRDefault="003B7FED" w:rsidP="00E7279B">
            <w:pPr>
              <w:spacing w:line="48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E939F8">
              <w:rPr>
                <w:rFonts w:ascii="Arial" w:eastAsia="Arial Unicode MS" w:hAnsi="Arial" w:cs="Arial"/>
                <w:color w:val="000000" w:themeColor="text1"/>
                <w:lang w:val="en-GB"/>
              </w:rPr>
              <w:t>Abcam, ab8470</w:t>
            </w:r>
          </w:p>
        </w:tc>
        <w:tc>
          <w:tcPr>
            <w:tcW w:w="1842" w:type="dxa"/>
          </w:tcPr>
          <w:p w14:paraId="570E09BA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Mouse IgG1</w:t>
            </w:r>
          </w:p>
        </w:tc>
        <w:tc>
          <w:tcPr>
            <w:tcW w:w="1083" w:type="dxa"/>
          </w:tcPr>
          <w:p w14:paraId="50981556" w14:textId="77777777" w:rsidR="003B7FED" w:rsidRPr="00E939F8" w:rsidRDefault="003B7FED" w:rsidP="00E7279B">
            <w:pPr>
              <w:spacing w:after="120" w:line="480" w:lineRule="auto"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  <w:r w:rsidRPr="00E939F8">
              <w:rPr>
                <w:rFonts w:ascii="Arial" w:hAnsi="Arial" w:cs="Arial"/>
                <w:color w:val="000000" w:themeColor="text1"/>
                <w:lang w:val="en-GB"/>
              </w:rPr>
              <w:t>1:200</w:t>
            </w:r>
          </w:p>
        </w:tc>
      </w:tr>
    </w:tbl>
    <w:p w14:paraId="018064DD" w14:textId="77777777" w:rsidR="003B7FED" w:rsidRPr="00E939F8" w:rsidRDefault="003B7FED" w:rsidP="003B7FED">
      <w:pPr>
        <w:shd w:val="clear" w:color="auto" w:fill="FFFFFF" w:themeFill="background1"/>
        <w:spacing w:after="120" w:line="48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35AA19C6" w14:textId="77777777" w:rsidR="003B7FED" w:rsidRDefault="003B7FED" w:rsidP="003B7FED"/>
    <w:p w14:paraId="06EA09AB" w14:textId="77777777" w:rsidR="003B7FED" w:rsidRDefault="003B7FED" w:rsidP="003B7FED">
      <w:pPr>
        <w:pStyle w:val="ListParagraph"/>
        <w:shd w:val="clear" w:color="auto" w:fill="FFFFFF" w:themeFill="background1"/>
        <w:spacing w:after="120" w:line="480" w:lineRule="auto"/>
        <w:ind w:left="360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</w:p>
    <w:p w14:paraId="4D6030AC" w14:textId="77777777" w:rsidR="005D2039" w:rsidRDefault="005D2039"/>
    <w:sectPr w:rsidR="005D20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DC7668D"/>
    <w:multiLevelType w:val="hybridMultilevel"/>
    <w:tmpl w:val="20105916"/>
    <w:lvl w:ilvl="0" w:tplc="2FB472AA">
      <w:start w:val="1"/>
      <w:numFmt w:val="upperLetter"/>
      <w:lvlText w:val="(%1)"/>
      <w:lvlJc w:val="left"/>
      <w:pPr>
        <w:ind w:left="360" w:hanging="360"/>
      </w:pPr>
      <w:rPr>
        <w:rFonts w:ascii="Arial" w:eastAsia="Times New Roman" w:hAnsi="Arial" w:cs="Arial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E8723B"/>
    <w:multiLevelType w:val="hybridMultilevel"/>
    <w:tmpl w:val="BC629918"/>
    <w:lvl w:ilvl="0" w:tplc="BA2CC784">
      <w:start w:val="1"/>
      <w:numFmt w:val="upperLetter"/>
      <w:lvlText w:val="(%1)"/>
      <w:lvlJc w:val="left"/>
      <w:pPr>
        <w:ind w:left="360" w:hanging="360"/>
      </w:pPr>
      <w:rPr>
        <w:rFonts w:ascii="Arial" w:eastAsia="Times New Roman" w:hAnsi="Arial" w:cs="Arial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E721050"/>
    <w:multiLevelType w:val="hybridMultilevel"/>
    <w:tmpl w:val="1798745C"/>
    <w:lvl w:ilvl="0" w:tplc="62C21014">
      <w:start w:val="1"/>
      <w:numFmt w:val="upperLetter"/>
      <w:lvlText w:val="(%1)"/>
      <w:lvlJc w:val="left"/>
      <w:pPr>
        <w:ind w:left="360" w:hanging="360"/>
      </w:pPr>
      <w:rPr>
        <w:rFonts w:ascii="Arial" w:eastAsia="Times New Roman" w:hAnsi="Arial" w:cs="Arial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2642733">
    <w:abstractNumId w:val="0"/>
  </w:num>
  <w:num w:numId="2" w16cid:durableId="1366130531">
    <w:abstractNumId w:val="2"/>
  </w:num>
  <w:num w:numId="3" w16cid:durableId="28115262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E66"/>
    <w:rsid w:val="00070CB2"/>
    <w:rsid w:val="001031B7"/>
    <w:rsid w:val="001A62FA"/>
    <w:rsid w:val="002456B6"/>
    <w:rsid w:val="002D4AE3"/>
    <w:rsid w:val="003B7FED"/>
    <w:rsid w:val="004B071A"/>
    <w:rsid w:val="005D2039"/>
    <w:rsid w:val="00691B79"/>
    <w:rsid w:val="007838D1"/>
    <w:rsid w:val="00847E66"/>
    <w:rsid w:val="00882F8C"/>
    <w:rsid w:val="00884FC4"/>
    <w:rsid w:val="008852A2"/>
    <w:rsid w:val="008A2592"/>
    <w:rsid w:val="008D463B"/>
    <w:rsid w:val="008E74FC"/>
    <w:rsid w:val="009824A4"/>
    <w:rsid w:val="009A5FDA"/>
    <w:rsid w:val="009C13B7"/>
    <w:rsid w:val="00AC3CF1"/>
    <w:rsid w:val="00B821A1"/>
    <w:rsid w:val="00BD7AAC"/>
    <w:rsid w:val="00C215E4"/>
    <w:rsid w:val="00CC3352"/>
    <w:rsid w:val="00D96048"/>
    <w:rsid w:val="00DE1911"/>
    <w:rsid w:val="00E01E50"/>
    <w:rsid w:val="00E32E99"/>
    <w:rsid w:val="00F57635"/>
    <w:rsid w:val="00F74620"/>
    <w:rsid w:val="00FA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919D5E"/>
  <w15:chartTrackingRefBased/>
  <w15:docId w15:val="{BDEEDA53-3DEB-E945-BCE4-21A1255A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E66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7E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7E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7E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7E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7E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7E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7E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7E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7E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7E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7E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7E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7E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7E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7E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7E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7E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7E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7E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7E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7E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7E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7E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7E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7E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7E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7E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7E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7E6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B7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807</Words>
  <Characters>4602</Characters>
  <Application>Microsoft Office Word</Application>
  <DocSecurity>0</DocSecurity>
  <Lines>38</Lines>
  <Paragraphs>10</Paragraphs>
  <ScaleCrop>false</ScaleCrop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Lionello</dc:creator>
  <cp:keywords/>
  <dc:description/>
  <cp:lastModifiedBy>Francesco Saverio Tedesco</cp:lastModifiedBy>
  <cp:revision>3</cp:revision>
  <dcterms:created xsi:type="dcterms:W3CDTF">2026-08-05T14:57:00Z</dcterms:created>
  <dcterms:modified xsi:type="dcterms:W3CDTF">2026-08-05T16:25:00Z</dcterms:modified>
</cp:coreProperties>
</file>