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49259">
      <w:pPr>
        <w:pStyle w:val="31"/>
        <w:jc w:val="center"/>
        <w:rPr>
          <w:color w:val="auto"/>
        </w:rPr>
      </w:pPr>
      <w:r>
        <w:rPr>
          <w:color w:val="auto"/>
        </w:rPr>
        <w:t>Additional file 1</w:t>
      </w:r>
    </w:p>
    <w:p w14:paraId="74352F83">
      <w:pPr>
        <w:pStyle w:val="3"/>
        <w:jc w:val="center"/>
        <w:rPr>
          <w:color w:val="auto"/>
        </w:rPr>
      </w:pPr>
      <w:r>
        <w:rPr>
          <w:rFonts w:ascii="Times New Roman" w:hAnsi="Times New Roman" w:eastAsia="Times New Roman"/>
          <w:i w:val="0"/>
          <w:color w:val="auto"/>
        </w:rPr>
        <w:t>Supplementary tables and methods</w:t>
      </w:r>
    </w:p>
    <w:p w14:paraId="773DB2F3">
      <w:pPr>
        <w:jc w:val="center"/>
        <w:rPr>
          <w:color w:val="auto"/>
        </w:rPr>
      </w:pPr>
      <w:r>
        <w:rPr>
          <w:rFonts w:ascii="Times New Roman" w:hAnsi="Times New Roman" w:eastAsia="Times New Roman"/>
          <w:i w:val="0"/>
          <w:color w:val="auto"/>
        </w:rPr>
        <w:t>Arthritis–diabetes comorbidity and functional recovery in older adults: a longitudinal cohort study using the Health and Retirement Study</w:t>
      </w:r>
    </w:p>
    <w:p w14:paraId="02C09CA2">
      <w:pPr>
        <w:jc w:val="center"/>
        <w:rPr>
          <w:color w:val="auto"/>
        </w:rPr>
      </w:pPr>
      <w:r>
        <w:rPr>
          <w:rFonts w:ascii="Times New Roman" w:hAnsi="Times New Roman" w:eastAsia="Times New Roman"/>
          <w:i w:val="0"/>
          <w:color w:val="auto"/>
        </w:rPr>
        <w:t>Jinkui Guo, Zhi Li, and Weihua Yang</w:t>
      </w:r>
    </w:p>
    <w:p w14:paraId="77DF3483">
      <w:pPr>
        <w:rPr>
          <w:color w:val="auto"/>
        </w:rPr>
      </w:pPr>
      <w:r>
        <w:rPr>
          <w:rFonts w:ascii="Times New Roman" w:hAnsi="Times New Roman" w:eastAsia="Times New Roman"/>
          <w:i/>
          <w:color w:val="auto"/>
        </w:rPr>
        <w:t>This file contains Supplementary Tables S1–S4, supplementary methods for inverse-probability weighting, and legends for Additional files 2 and 3.</w:t>
      </w:r>
    </w:p>
    <w:p w14:paraId="4DAAAB9E">
      <w:pPr>
        <w:pStyle w:val="3"/>
        <w:rPr>
          <w:color w:val="auto"/>
        </w:rPr>
      </w:pPr>
      <w:r>
        <w:rPr>
          <w:rFonts w:ascii="Times New Roman" w:hAnsi="Times New Roman" w:eastAsia="Times New Roman"/>
          <w:i w:val="0"/>
          <w:color w:val="auto"/>
        </w:rPr>
        <w:t>Supplementary Table S1. Risk sets and crude next-wave outcomes</w:t>
      </w:r>
    </w:p>
    <w:p w14:paraId="153C19B9">
      <w:pPr>
        <w:rPr>
          <w:color w:val="auto"/>
        </w:rPr>
      </w:pPr>
      <w:r>
        <w:rPr>
          <w:rFonts w:ascii="Times New Roman" w:hAnsi="Times New Roman" w:eastAsia="Times New Roman"/>
          <w:i/>
          <w:color w:val="auto"/>
        </w:rPr>
        <w:t>Counts are person-wave observations unless otherwise stated.</w:t>
      </w:r>
    </w:p>
    <w:p w14:paraId="308A56B3">
      <w:pPr>
        <w:pStyle w:val="4"/>
        <w:rPr>
          <w:color w:val="auto"/>
        </w:rPr>
      </w:pPr>
      <w:r>
        <w:rPr>
          <w:rFonts w:ascii="Times New Roman" w:hAnsi="Times New Roman" w:eastAsia="Times New Roman"/>
          <w:i w:val="0"/>
          <w:color w:val="auto"/>
        </w:rPr>
        <w:t>Panel A. Disability-onset risk set</w:t>
      </w:r>
    </w:p>
    <w:tbl>
      <w:tblPr>
        <w:tblStyle w:val="32"/>
        <w:tblW w:w="0" w:type="auto"/>
        <w:jc w:val="center"/>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Layout w:type="autofit"/>
        <w:tblCellMar>
          <w:top w:w="0" w:type="dxa"/>
          <w:left w:w="108" w:type="dxa"/>
          <w:bottom w:w="0" w:type="dxa"/>
          <w:right w:w="108" w:type="dxa"/>
        </w:tblCellMar>
      </w:tblPr>
      <w:tblGrid>
        <w:gridCol w:w="1944"/>
        <w:gridCol w:w="1584"/>
        <w:gridCol w:w="1655"/>
        <w:gridCol w:w="2304"/>
        <w:gridCol w:w="2304"/>
        <w:gridCol w:w="1800"/>
        <w:gridCol w:w="2160"/>
      </w:tblGrid>
      <w:tr w14:paraId="6DFADE23">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blHeader/>
          <w:jc w:val="center"/>
        </w:trPr>
        <w:tc>
          <w:tcPr>
            <w:tcW w:w="1944"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2A60C039">
            <w:pPr>
              <w:spacing w:before="0" w:after="0" w:line="240" w:lineRule="auto"/>
              <w:jc w:val="left"/>
              <w:rPr>
                <w:color w:val="auto"/>
              </w:rPr>
            </w:pPr>
            <w:r>
              <w:rPr>
                <w:rFonts w:ascii="Arial" w:hAnsi="Arial" w:eastAsia="Arial"/>
                <w:b/>
                <w:color w:val="auto"/>
                <w:sz w:val="16"/>
              </w:rPr>
              <w:t>Exposure group</w:t>
            </w:r>
          </w:p>
        </w:tc>
        <w:tc>
          <w:tcPr>
            <w:tcW w:w="1584"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354859E3">
            <w:pPr>
              <w:spacing w:before="0" w:after="0" w:line="240" w:lineRule="auto"/>
              <w:jc w:val="center"/>
              <w:rPr>
                <w:color w:val="auto"/>
              </w:rPr>
            </w:pPr>
            <w:r>
              <w:rPr>
                <w:rFonts w:ascii="Arial" w:hAnsi="Arial" w:eastAsia="Arial"/>
                <w:b/>
                <w:color w:val="auto"/>
                <w:sz w:val="16"/>
              </w:rPr>
              <w:t>Participants</w:t>
            </w:r>
          </w:p>
        </w:tc>
        <w:tc>
          <w:tcPr>
            <w:tcW w:w="1655"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1D5AE204">
            <w:pPr>
              <w:spacing w:before="0" w:after="0" w:line="240" w:lineRule="auto"/>
              <w:jc w:val="center"/>
              <w:rPr>
                <w:color w:val="auto"/>
              </w:rPr>
            </w:pPr>
            <w:r>
              <w:rPr>
                <w:rFonts w:ascii="Arial" w:hAnsi="Arial" w:eastAsia="Arial"/>
                <w:b/>
                <w:color w:val="auto"/>
                <w:sz w:val="16"/>
              </w:rPr>
              <w:t>Person-waves</w:t>
            </w:r>
          </w:p>
        </w:tc>
        <w:tc>
          <w:tcPr>
            <w:tcW w:w="2304"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5C7F69A2">
            <w:pPr>
              <w:spacing w:before="0" w:after="0" w:line="240" w:lineRule="auto"/>
              <w:jc w:val="center"/>
              <w:rPr>
                <w:color w:val="auto"/>
              </w:rPr>
            </w:pPr>
            <w:r>
              <w:rPr>
                <w:rFonts w:ascii="Arial" w:hAnsi="Arial" w:eastAsia="Arial"/>
                <w:b/>
                <w:color w:val="auto"/>
                <w:sz w:val="16"/>
              </w:rPr>
              <w:t>Outcome 1, n (%)</w:t>
            </w:r>
          </w:p>
        </w:tc>
        <w:tc>
          <w:tcPr>
            <w:tcW w:w="2304"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13E65BFD">
            <w:pPr>
              <w:spacing w:before="0" w:after="0" w:line="240" w:lineRule="auto"/>
              <w:jc w:val="center"/>
              <w:rPr>
                <w:color w:val="auto"/>
              </w:rPr>
            </w:pPr>
            <w:r>
              <w:rPr>
                <w:rFonts w:ascii="Arial" w:hAnsi="Arial" w:eastAsia="Arial"/>
                <w:b/>
                <w:color w:val="auto"/>
                <w:sz w:val="16"/>
              </w:rPr>
              <w:t>Outcome 2, n (%)</w:t>
            </w:r>
          </w:p>
        </w:tc>
        <w:tc>
          <w:tcPr>
            <w:tcW w:w="180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26A91CBA">
            <w:pPr>
              <w:spacing w:before="0" w:after="0" w:line="240" w:lineRule="auto"/>
              <w:jc w:val="center"/>
              <w:rPr>
                <w:color w:val="auto"/>
              </w:rPr>
            </w:pPr>
            <w:r>
              <w:rPr>
                <w:rFonts w:ascii="Arial" w:hAnsi="Arial" w:eastAsia="Arial"/>
                <w:b/>
                <w:color w:val="auto"/>
                <w:sz w:val="16"/>
              </w:rPr>
              <w:t>Death, n (%)</w:t>
            </w:r>
          </w:p>
        </w:tc>
        <w:tc>
          <w:tcPr>
            <w:tcW w:w="216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29C6E493">
            <w:pPr>
              <w:spacing w:before="0" w:after="0" w:line="240" w:lineRule="auto"/>
              <w:jc w:val="center"/>
              <w:rPr>
                <w:color w:val="auto"/>
              </w:rPr>
            </w:pPr>
            <w:r>
              <w:rPr>
                <w:rFonts w:ascii="Arial" w:hAnsi="Arial" w:eastAsia="Arial"/>
                <w:b/>
                <w:color w:val="auto"/>
                <w:sz w:val="16"/>
              </w:rPr>
              <w:t>Non-death loss, n (%)</w:t>
            </w:r>
          </w:p>
        </w:tc>
      </w:tr>
      <w:tr w14:paraId="3A86EA5F">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944" w:type="dxa"/>
            <w:tcBorders>
              <w:top w:val="nil"/>
              <w:left w:val="nil"/>
              <w:bottom w:val="nil"/>
              <w:right w:val="nil"/>
              <w:insideH w:val="nil"/>
              <w:insideV w:val="nil"/>
            </w:tcBorders>
            <w:tcMar>
              <w:top w:w="80" w:type="dxa"/>
              <w:left w:w="80" w:type="dxa"/>
              <w:bottom w:w="80" w:type="dxa"/>
              <w:right w:w="80" w:type="dxa"/>
            </w:tcMar>
            <w:vAlign w:val="center"/>
          </w:tcPr>
          <w:p w14:paraId="5686B31C">
            <w:pPr>
              <w:spacing w:before="0" w:after="0" w:line="240" w:lineRule="auto"/>
              <w:jc w:val="left"/>
              <w:rPr>
                <w:color w:val="auto"/>
              </w:rPr>
            </w:pPr>
            <w:r>
              <w:rPr>
                <w:rFonts w:ascii="Arial" w:hAnsi="Arial" w:eastAsia="Arial"/>
                <w:color w:val="auto"/>
                <w:sz w:val="16"/>
              </w:rPr>
              <w:t>Neither</w:t>
            </w:r>
          </w:p>
        </w:tc>
        <w:tc>
          <w:tcPr>
            <w:tcW w:w="1584" w:type="dxa"/>
            <w:tcBorders>
              <w:top w:val="nil"/>
              <w:left w:val="nil"/>
              <w:bottom w:val="nil"/>
              <w:right w:val="nil"/>
              <w:insideH w:val="nil"/>
              <w:insideV w:val="nil"/>
            </w:tcBorders>
            <w:tcMar>
              <w:top w:w="80" w:type="dxa"/>
              <w:left w:w="80" w:type="dxa"/>
              <w:bottom w:w="80" w:type="dxa"/>
              <w:right w:w="80" w:type="dxa"/>
            </w:tcMar>
            <w:vAlign w:val="center"/>
          </w:tcPr>
          <w:p w14:paraId="1C07FF89">
            <w:pPr>
              <w:spacing w:before="0" w:after="0" w:line="240" w:lineRule="auto"/>
              <w:jc w:val="center"/>
              <w:rPr>
                <w:color w:val="auto"/>
              </w:rPr>
            </w:pPr>
            <w:r>
              <w:rPr>
                <w:rFonts w:ascii="Arial" w:hAnsi="Arial" w:eastAsia="Arial"/>
                <w:color w:val="auto"/>
                <w:sz w:val="16"/>
              </w:rPr>
              <w:t>7250</w:t>
            </w:r>
          </w:p>
        </w:tc>
        <w:tc>
          <w:tcPr>
            <w:tcW w:w="1655" w:type="dxa"/>
            <w:tcBorders>
              <w:top w:val="nil"/>
              <w:left w:val="nil"/>
              <w:bottom w:val="nil"/>
              <w:right w:val="nil"/>
              <w:insideH w:val="nil"/>
              <w:insideV w:val="nil"/>
            </w:tcBorders>
            <w:tcMar>
              <w:top w:w="80" w:type="dxa"/>
              <w:left w:w="80" w:type="dxa"/>
              <w:bottom w:w="80" w:type="dxa"/>
              <w:right w:w="80" w:type="dxa"/>
            </w:tcMar>
            <w:vAlign w:val="center"/>
          </w:tcPr>
          <w:p w14:paraId="40C6AE3E">
            <w:pPr>
              <w:spacing w:before="0" w:after="0" w:line="240" w:lineRule="auto"/>
              <w:jc w:val="center"/>
              <w:rPr>
                <w:color w:val="auto"/>
              </w:rPr>
            </w:pPr>
            <w:r>
              <w:rPr>
                <w:rFonts w:ascii="Arial" w:hAnsi="Arial" w:eastAsia="Arial"/>
                <w:color w:val="auto"/>
                <w:sz w:val="16"/>
              </w:rPr>
              <w:t>25319</w:t>
            </w:r>
          </w:p>
        </w:tc>
        <w:tc>
          <w:tcPr>
            <w:tcW w:w="2304" w:type="dxa"/>
            <w:tcBorders>
              <w:top w:val="nil"/>
              <w:left w:val="nil"/>
              <w:bottom w:val="nil"/>
              <w:right w:val="nil"/>
              <w:insideH w:val="nil"/>
              <w:insideV w:val="nil"/>
            </w:tcBorders>
            <w:tcMar>
              <w:top w:w="80" w:type="dxa"/>
              <w:left w:w="80" w:type="dxa"/>
              <w:bottom w:w="80" w:type="dxa"/>
              <w:right w:w="80" w:type="dxa"/>
            </w:tcMar>
            <w:vAlign w:val="center"/>
          </w:tcPr>
          <w:p w14:paraId="5E69DDB9">
            <w:pPr>
              <w:spacing w:before="0" w:after="0" w:line="240" w:lineRule="auto"/>
              <w:jc w:val="center"/>
              <w:rPr>
                <w:color w:val="auto"/>
              </w:rPr>
            </w:pPr>
            <w:r>
              <w:rPr>
                <w:rFonts w:ascii="Arial" w:hAnsi="Arial" w:eastAsia="Arial"/>
                <w:color w:val="auto"/>
                <w:sz w:val="16"/>
              </w:rPr>
              <w:t>20259 (80.0)</w:t>
            </w:r>
          </w:p>
        </w:tc>
        <w:tc>
          <w:tcPr>
            <w:tcW w:w="2304" w:type="dxa"/>
            <w:tcBorders>
              <w:top w:val="nil"/>
              <w:left w:val="nil"/>
              <w:bottom w:val="nil"/>
              <w:right w:val="nil"/>
              <w:insideH w:val="nil"/>
              <w:insideV w:val="nil"/>
            </w:tcBorders>
            <w:tcMar>
              <w:top w:w="80" w:type="dxa"/>
              <w:left w:w="80" w:type="dxa"/>
              <w:bottom w:w="80" w:type="dxa"/>
              <w:right w:w="80" w:type="dxa"/>
            </w:tcMar>
            <w:vAlign w:val="center"/>
          </w:tcPr>
          <w:p w14:paraId="7C6DEE58">
            <w:pPr>
              <w:spacing w:before="0" w:after="0" w:line="240" w:lineRule="auto"/>
              <w:jc w:val="center"/>
              <w:rPr>
                <w:color w:val="auto"/>
              </w:rPr>
            </w:pPr>
            <w:r>
              <w:rPr>
                <w:rFonts w:ascii="Arial" w:hAnsi="Arial" w:eastAsia="Arial"/>
                <w:color w:val="auto"/>
                <w:sz w:val="16"/>
              </w:rPr>
              <w:t>2302 (9.1)</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DB2DD22">
            <w:pPr>
              <w:spacing w:before="0" w:after="0" w:line="240" w:lineRule="auto"/>
              <w:jc w:val="center"/>
              <w:rPr>
                <w:color w:val="auto"/>
              </w:rPr>
            </w:pPr>
            <w:r>
              <w:rPr>
                <w:rFonts w:ascii="Arial" w:hAnsi="Arial" w:eastAsia="Arial"/>
                <w:color w:val="auto"/>
                <w:sz w:val="16"/>
              </w:rPr>
              <w:t>991 (3.9)</w:t>
            </w:r>
          </w:p>
        </w:tc>
        <w:tc>
          <w:tcPr>
            <w:tcW w:w="2160" w:type="dxa"/>
            <w:tcBorders>
              <w:top w:val="nil"/>
              <w:left w:val="nil"/>
              <w:bottom w:val="nil"/>
              <w:right w:val="nil"/>
              <w:insideH w:val="nil"/>
              <w:insideV w:val="nil"/>
            </w:tcBorders>
            <w:tcMar>
              <w:top w:w="80" w:type="dxa"/>
              <w:left w:w="80" w:type="dxa"/>
              <w:bottom w:w="80" w:type="dxa"/>
              <w:right w:w="80" w:type="dxa"/>
            </w:tcMar>
            <w:vAlign w:val="center"/>
          </w:tcPr>
          <w:p w14:paraId="458017E2">
            <w:pPr>
              <w:spacing w:before="0" w:after="0" w:line="240" w:lineRule="auto"/>
              <w:jc w:val="center"/>
              <w:rPr>
                <w:color w:val="auto"/>
              </w:rPr>
            </w:pPr>
            <w:r>
              <w:rPr>
                <w:rFonts w:ascii="Arial" w:hAnsi="Arial" w:eastAsia="Arial"/>
                <w:color w:val="auto"/>
                <w:sz w:val="16"/>
              </w:rPr>
              <w:t>1767 (7.0)</w:t>
            </w:r>
          </w:p>
        </w:tc>
      </w:tr>
      <w:tr w14:paraId="7C2661E5">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944" w:type="dxa"/>
            <w:tcBorders>
              <w:top w:val="nil"/>
              <w:left w:val="nil"/>
              <w:bottom w:val="nil"/>
              <w:right w:val="nil"/>
              <w:insideH w:val="nil"/>
              <w:insideV w:val="nil"/>
            </w:tcBorders>
            <w:tcMar>
              <w:top w:w="80" w:type="dxa"/>
              <w:left w:w="80" w:type="dxa"/>
              <w:bottom w:w="80" w:type="dxa"/>
              <w:right w:w="80" w:type="dxa"/>
            </w:tcMar>
            <w:vAlign w:val="center"/>
          </w:tcPr>
          <w:p w14:paraId="2B8200A3">
            <w:pPr>
              <w:spacing w:before="0" w:after="0" w:line="240" w:lineRule="auto"/>
              <w:jc w:val="left"/>
              <w:rPr>
                <w:color w:val="auto"/>
              </w:rPr>
            </w:pPr>
            <w:r>
              <w:rPr>
                <w:rFonts w:ascii="Arial" w:hAnsi="Arial" w:eastAsia="Arial"/>
                <w:color w:val="auto"/>
                <w:sz w:val="16"/>
              </w:rPr>
              <w:t>Arthritis only</w:t>
            </w:r>
          </w:p>
        </w:tc>
        <w:tc>
          <w:tcPr>
            <w:tcW w:w="1584" w:type="dxa"/>
            <w:tcBorders>
              <w:top w:val="nil"/>
              <w:left w:val="nil"/>
              <w:bottom w:val="nil"/>
              <w:right w:val="nil"/>
              <w:insideH w:val="nil"/>
              <w:insideV w:val="nil"/>
            </w:tcBorders>
            <w:tcMar>
              <w:top w:w="80" w:type="dxa"/>
              <w:left w:w="80" w:type="dxa"/>
              <w:bottom w:w="80" w:type="dxa"/>
              <w:right w:w="80" w:type="dxa"/>
            </w:tcMar>
            <w:vAlign w:val="center"/>
          </w:tcPr>
          <w:p w14:paraId="627C0D35">
            <w:pPr>
              <w:spacing w:before="0" w:after="0" w:line="240" w:lineRule="auto"/>
              <w:jc w:val="center"/>
              <w:rPr>
                <w:color w:val="auto"/>
              </w:rPr>
            </w:pPr>
            <w:r>
              <w:rPr>
                <w:rFonts w:ascii="Arial" w:hAnsi="Arial" w:eastAsia="Arial"/>
                <w:color w:val="auto"/>
                <w:sz w:val="16"/>
              </w:rPr>
              <w:t>10529</w:t>
            </w:r>
          </w:p>
        </w:tc>
        <w:tc>
          <w:tcPr>
            <w:tcW w:w="1655" w:type="dxa"/>
            <w:tcBorders>
              <w:top w:val="nil"/>
              <w:left w:val="nil"/>
              <w:bottom w:val="nil"/>
              <w:right w:val="nil"/>
              <w:insideH w:val="nil"/>
              <w:insideV w:val="nil"/>
            </w:tcBorders>
            <w:tcMar>
              <w:top w:w="80" w:type="dxa"/>
              <w:left w:w="80" w:type="dxa"/>
              <w:bottom w:w="80" w:type="dxa"/>
              <w:right w:w="80" w:type="dxa"/>
            </w:tcMar>
            <w:vAlign w:val="center"/>
          </w:tcPr>
          <w:p w14:paraId="6020EAE8">
            <w:pPr>
              <w:spacing w:before="0" w:after="0" w:line="240" w:lineRule="auto"/>
              <w:jc w:val="center"/>
              <w:rPr>
                <w:color w:val="auto"/>
              </w:rPr>
            </w:pPr>
            <w:r>
              <w:rPr>
                <w:rFonts w:ascii="Arial" w:hAnsi="Arial" w:eastAsia="Arial"/>
                <w:color w:val="auto"/>
                <w:sz w:val="16"/>
              </w:rPr>
              <w:t>38403</w:t>
            </w:r>
          </w:p>
        </w:tc>
        <w:tc>
          <w:tcPr>
            <w:tcW w:w="2304" w:type="dxa"/>
            <w:tcBorders>
              <w:top w:val="nil"/>
              <w:left w:val="nil"/>
              <w:bottom w:val="nil"/>
              <w:right w:val="nil"/>
              <w:insideH w:val="nil"/>
              <w:insideV w:val="nil"/>
            </w:tcBorders>
            <w:tcMar>
              <w:top w:w="80" w:type="dxa"/>
              <w:left w:w="80" w:type="dxa"/>
              <w:bottom w:w="80" w:type="dxa"/>
              <w:right w:w="80" w:type="dxa"/>
            </w:tcMar>
            <w:vAlign w:val="center"/>
          </w:tcPr>
          <w:p w14:paraId="41821E7A">
            <w:pPr>
              <w:spacing w:before="0" w:after="0" w:line="240" w:lineRule="auto"/>
              <w:jc w:val="center"/>
              <w:rPr>
                <w:color w:val="auto"/>
              </w:rPr>
            </w:pPr>
            <w:r>
              <w:rPr>
                <w:rFonts w:ascii="Arial" w:hAnsi="Arial" w:eastAsia="Arial"/>
                <w:color w:val="auto"/>
                <w:sz w:val="16"/>
              </w:rPr>
              <w:t>28132 (73.3)</w:t>
            </w:r>
          </w:p>
        </w:tc>
        <w:tc>
          <w:tcPr>
            <w:tcW w:w="2304" w:type="dxa"/>
            <w:tcBorders>
              <w:top w:val="nil"/>
              <w:left w:val="nil"/>
              <w:bottom w:val="nil"/>
              <w:right w:val="nil"/>
              <w:insideH w:val="nil"/>
              <w:insideV w:val="nil"/>
            </w:tcBorders>
            <w:tcMar>
              <w:top w:w="80" w:type="dxa"/>
              <w:left w:w="80" w:type="dxa"/>
              <w:bottom w:w="80" w:type="dxa"/>
              <w:right w:w="80" w:type="dxa"/>
            </w:tcMar>
            <w:vAlign w:val="center"/>
          </w:tcPr>
          <w:p w14:paraId="71E362D9">
            <w:pPr>
              <w:spacing w:before="0" w:after="0" w:line="240" w:lineRule="auto"/>
              <w:jc w:val="center"/>
              <w:rPr>
                <w:color w:val="auto"/>
              </w:rPr>
            </w:pPr>
            <w:r>
              <w:rPr>
                <w:rFonts w:ascii="Arial" w:hAnsi="Arial" w:eastAsia="Arial"/>
                <w:color w:val="auto"/>
                <w:sz w:val="16"/>
              </w:rPr>
              <w:t>5749 (15.0)</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253702A">
            <w:pPr>
              <w:spacing w:before="0" w:after="0" w:line="240" w:lineRule="auto"/>
              <w:jc w:val="center"/>
              <w:rPr>
                <w:color w:val="auto"/>
              </w:rPr>
            </w:pPr>
            <w:r>
              <w:rPr>
                <w:rFonts w:ascii="Arial" w:hAnsi="Arial" w:eastAsia="Arial"/>
                <w:color w:val="auto"/>
                <w:sz w:val="16"/>
              </w:rPr>
              <w:t>1766 (4.6)</w:t>
            </w:r>
          </w:p>
        </w:tc>
        <w:tc>
          <w:tcPr>
            <w:tcW w:w="2160" w:type="dxa"/>
            <w:tcBorders>
              <w:top w:val="nil"/>
              <w:left w:val="nil"/>
              <w:bottom w:val="nil"/>
              <w:right w:val="nil"/>
              <w:insideH w:val="nil"/>
              <w:insideV w:val="nil"/>
            </w:tcBorders>
            <w:tcMar>
              <w:top w:w="80" w:type="dxa"/>
              <w:left w:w="80" w:type="dxa"/>
              <w:bottom w:w="80" w:type="dxa"/>
              <w:right w:w="80" w:type="dxa"/>
            </w:tcMar>
            <w:vAlign w:val="center"/>
          </w:tcPr>
          <w:p w14:paraId="73271916">
            <w:pPr>
              <w:spacing w:before="0" w:after="0" w:line="240" w:lineRule="auto"/>
              <w:jc w:val="center"/>
              <w:rPr>
                <w:color w:val="auto"/>
              </w:rPr>
            </w:pPr>
            <w:r>
              <w:rPr>
                <w:rFonts w:ascii="Arial" w:hAnsi="Arial" w:eastAsia="Arial"/>
                <w:color w:val="auto"/>
                <w:sz w:val="16"/>
              </w:rPr>
              <w:t>2756 (7.2)</w:t>
            </w:r>
          </w:p>
        </w:tc>
      </w:tr>
      <w:tr w14:paraId="627B2377">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944" w:type="dxa"/>
            <w:tcBorders>
              <w:top w:val="nil"/>
              <w:left w:val="nil"/>
              <w:bottom w:val="nil"/>
              <w:right w:val="nil"/>
              <w:insideH w:val="nil"/>
              <w:insideV w:val="nil"/>
            </w:tcBorders>
            <w:tcMar>
              <w:top w:w="80" w:type="dxa"/>
              <w:left w:w="80" w:type="dxa"/>
              <w:bottom w:w="80" w:type="dxa"/>
              <w:right w:w="80" w:type="dxa"/>
            </w:tcMar>
            <w:vAlign w:val="center"/>
          </w:tcPr>
          <w:p w14:paraId="69426DD5">
            <w:pPr>
              <w:spacing w:before="0" w:after="0" w:line="240" w:lineRule="auto"/>
              <w:jc w:val="left"/>
              <w:rPr>
                <w:color w:val="auto"/>
              </w:rPr>
            </w:pPr>
            <w:r>
              <w:rPr>
                <w:rFonts w:ascii="Arial" w:hAnsi="Arial" w:eastAsia="Arial"/>
                <w:color w:val="auto"/>
                <w:sz w:val="16"/>
              </w:rPr>
              <w:t>Diabetes only</w:t>
            </w:r>
          </w:p>
        </w:tc>
        <w:tc>
          <w:tcPr>
            <w:tcW w:w="1584" w:type="dxa"/>
            <w:tcBorders>
              <w:top w:val="nil"/>
              <w:left w:val="nil"/>
              <w:bottom w:val="nil"/>
              <w:right w:val="nil"/>
              <w:insideH w:val="nil"/>
              <w:insideV w:val="nil"/>
            </w:tcBorders>
            <w:tcMar>
              <w:top w:w="80" w:type="dxa"/>
              <w:left w:w="80" w:type="dxa"/>
              <w:bottom w:w="80" w:type="dxa"/>
              <w:right w:w="80" w:type="dxa"/>
            </w:tcMar>
            <w:vAlign w:val="center"/>
          </w:tcPr>
          <w:p w14:paraId="3772B5FA">
            <w:pPr>
              <w:spacing w:before="0" w:after="0" w:line="240" w:lineRule="auto"/>
              <w:jc w:val="center"/>
              <w:rPr>
                <w:color w:val="auto"/>
              </w:rPr>
            </w:pPr>
            <w:r>
              <w:rPr>
                <w:rFonts w:ascii="Arial" w:hAnsi="Arial" w:eastAsia="Arial"/>
                <w:color w:val="auto"/>
                <w:sz w:val="16"/>
              </w:rPr>
              <w:t>1916</w:t>
            </w:r>
          </w:p>
        </w:tc>
        <w:tc>
          <w:tcPr>
            <w:tcW w:w="1655" w:type="dxa"/>
            <w:tcBorders>
              <w:top w:val="nil"/>
              <w:left w:val="nil"/>
              <w:bottom w:val="nil"/>
              <w:right w:val="nil"/>
              <w:insideH w:val="nil"/>
              <w:insideV w:val="nil"/>
            </w:tcBorders>
            <w:tcMar>
              <w:top w:w="80" w:type="dxa"/>
              <w:left w:w="80" w:type="dxa"/>
              <w:bottom w:w="80" w:type="dxa"/>
              <w:right w:w="80" w:type="dxa"/>
            </w:tcMar>
            <w:vAlign w:val="center"/>
          </w:tcPr>
          <w:p w14:paraId="4BE74119">
            <w:pPr>
              <w:spacing w:before="0" w:after="0" w:line="240" w:lineRule="auto"/>
              <w:jc w:val="center"/>
              <w:rPr>
                <w:color w:val="auto"/>
              </w:rPr>
            </w:pPr>
            <w:r>
              <w:rPr>
                <w:rFonts w:ascii="Arial" w:hAnsi="Arial" w:eastAsia="Arial"/>
                <w:color w:val="auto"/>
                <w:sz w:val="16"/>
              </w:rPr>
              <w:t>5747</w:t>
            </w:r>
          </w:p>
        </w:tc>
        <w:tc>
          <w:tcPr>
            <w:tcW w:w="2304" w:type="dxa"/>
            <w:tcBorders>
              <w:top w:val="nil"/>
              <w:left w:val="nil"/>
              <w:bottom w:val="nil"/>
              <w:right w:val="nil"/>
              <w:insideH w:val="nil"/>
              <w:insideV w:val="nil"/>
            </w:tcBorders>
            <w:tcMar>
              <w:top w:w="80" w:type="dxa"/>
              <w:left w:w="80" w:type="dxa"/>
              <w:bottom w:w="80" w:type="dxa"/>
              <w:right w:w="80" w:type="dxa"/>
            </w:tcMar>
            <w:vAlign w:val="center"/>
          </w:tcPr>
          <w:p w14:paraId="488EE6CF">
            <w:pPr>
              <w:spacing w:before="0" w:after="0" w:line="240" w:lineRule="auto"/>
              <w:jc w:val="center"/>
              <w:rPr>
                <w:color w:val="auto"/>
              </w:rPr>
            </w:pPr>
            <w:r>
              <w:rPr>
                <w:rFonts w:ascii="Arial" w:hAnsi="Arial" w:eastAsia="Arial"/>
                <w:color w:val="auto"/>
                <w:sz w:val="16"/>
              </w:rPr>
              <w:t>4291 (74.7)</w:t>
            </w:r>
          </w:p>
        </w:tc>
        <w:tc>
          <w:tcPr>
            <w:tcW w:w="2304" w:type="dxa"/>
            <w:tcBorders>
              <w:top w:val="nil"/>
              <w:left w:val="nil"/>
              <w:bottom w:val="nil"/>
              <w:right w:val="nil"/>
              <w:insideH w:val="nil"/>
              <w:insideV w:val="nil"/>
            </w:tcBorders>
            <w:tcMar>
              <w:top w:w="80" w:type="dxa"/>
              <w:left w:w="80" w:type="dxa"/>
              <w:bottom w:w="80" w:type="dxa"/>
              <w:right w:w="80" w:type="dxa"/>
            </w:tcMar>
            <w:vAlign w:val="center"/>
          </w:tcPr>
          <w:p w14:paraId="2C574D41">
            <w:pPr>
              <w:spacing w:before="0" w:after="0" w:line="240" w:lineRule="auto"/>
              <w:jc w:val="center"/>
              <w:rPr>
                <w:color w:val="auto"/>
              </w:rPr>
            </w:pPr>
            <w:r>
              <w:rPr>
                <w:rFonts w:ascii="Arial" w:hAnsi="Arial" w:eastAsia="Arial"/>
                <w:color w:val="auto"/>
                <w:sz w:val="16"/>
              </w:rPr>
              <w:t>690 (12.0)</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003A84F">
            <w:pPr>
              <w:spacing w:before="0" w:after="0" w:line="240" w:lineRule="auto"/>
              <w:jc w:val="center"/>
              <w:rPr>
                <w:color w:val="auto"/>
              </w:rPr>
            </w:pPr>
            <w:r>
              <w:rPr>
                <w:rFonts w:ascii="Arial" w:hAnsi="Arial" w:eastAsia="Arial"/>
                <w:color w:val="auto"/>
                <w:sz w:val="16"/>
              </w:rPr>
              <w:t>314 (5.5)</w:t>
            </w:r>
          </w:p>
        </w:tc>
        <w:tc>
          <w:tcPr>
            <w:tcW w:w="2160" w:type="dxa"/>
            <w:tcBorders>
              <w:top w:val="nil"/>
              <w:left w:val="nil"/>
              <w:bottom w:val="nil"/>
              <w:right w:val="nil"/>
              <w:insideH w:val="nil"/>
              <w:insideV w:val="nil"/>
            </w:tcBorders>
            <w:tcMar>
              <w:top w:w="80" w:type="dxa"/>
              <w:left w:w="80" w:type="dxa"/>
              <w:bottom w:w="80" w:type="dxa"/>
              <w:right w:w="80" w:type="dxa"/>
            </w:tcMar>
            <w:vAlign w:val="center"/>
          </w:tcPr>
          <w:p w14:paraId="43E4D993">
            <w:pPr>
              <w:spacing w:before="0" w:after="0" w:line="240" w:lineRule="auto"/>
              <w:jc w:val="center"/>
              <w:rPr>
                <w:color w:val="auto"/>
              </w:rPr>
            </w:pPr>
            <w:r>
              <w:rPr>
                <w:rFonts w:ascii="Arial" w:hAnsi="Arial" w:eastAsia="Arial"/>
                <w:color w:val="auto"/>
                <w:sz w:val="16"/>
              </w:rPr>
              <w:t>452 (7.9)</w:t>
            </w:r>
          </w:p>
        </w:tc>
      </w:tr>
      <w:tr w14:paraId="16A8358C">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944"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6DFACA7B">
            <w:pPr>
              <w:spacing w:before="0" w:after="0" w:line="240" w:lineRule="auto"/>
              <w:jc w:val="left"/>
              <w:rPr>
                <w:color w:val="auto"/>
              </w:rPr>
            </w:pPr>
            <w:r>
              <w:rPr>
                <w:rFonts w:ascii="Arial" w:hAnsi="Arial" w:eastAsia="Arial"/>
                <w:color w:val="auto"/>
                <w:sz w:val="16"/>
              </w:rPr>
              <w:t>Comorbidity</w:t>
            </w:r>
          </w:p>
        </w:tc>
        <w:tc>
          <w:tcPr>
            <w:tcW w:w="1584"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5D29A409">
            <w:pPr>
              <w:spacing w:before="0" w:after="0" w:line="240" w:lineRule="auto"/>
              <w:jc w:val="center"/>
              <w:rPr>
                <w:color w:val="auto"/>
              </w:rPr>
            </w:pPr>
            <w:r>
              <w:rPr>
                <w:rFonts w:ascii="Arial" w:hAnsi="Arial" w:eastAsia="Arial"/>
                <w:color w:val="auto"/>
                <w:sz w:val="16"/>
              </w:rPr>
              <w:t>3824</w:t>
            </w:r>
          </w:p>
        </w:tc>
        <w:tc>
          <w:tcPr>
            <w:tcW w:w="1655"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41E0DE2E">
            <w:pPr>
              <w:spacing w:before="0" w:after="0" w:line="240" w:lineRule="auto"/>
              <w:jc w:val="center"/>
              <w:rPr>
                <w:color w:val="auto"/>
              </w:rPr>
            </w:pPr>
            <w:r>
              <w:rPr>
                <w:rFonts w:ascii="Arial" w:hAnsi="Arial" w:eastAsia="Arial"/>
                <w:color w:val="auto"/>
                <w:sz w:val="16"/>
              </w:rPr>
              <w:t>11216</w:t>
            </w:r>
          </w:p>
        </w:tc>
        <w:tc>
          <w:tcPr>
            <w:tcW w:w="2304"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385C4583">
            <w:pPr>
              <w:spacing w:before="0" w:after="0" w:line="240" w:lineRule="auto"/>
              <w:jc w:val="center"/>
              <w:rPr>
                <w:color w:val="auto"/>
              </w:rPr>
            </w:pPr>
            <w:r>
              <w:rPr>
                <w:rFonts w:ascii="Arial" w:hAnsi="Arial" w:eastAsia="Arial"/>
                <w:color w:val="auto"/>
                <w:sz w:val="16"/>
              </w:rPr>
              <w:t>7448 (66.4)</w:t>
            </w:r>
          </w:p>
        </w:tc>
        <w:tc>
          <w:tcPr>
            <w:tcW w:w="2304"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76008D42">
            <w:pPr>
              <w:spacing w:before="0" w:after="0" w:line="240" w:lineRule="auto"/>
              <w:jc w:val="center"/>
              <w:rPr>
                <w:color w:val="auto"/>
              </w:rPr>
            </w:pPr>
            <w:r>
              <w:rPr>
                <w:rFonts w:ascii="Arial" w:hAnsi="Arial" w:eastAsia="Arial"/>
                <w:color w:val="auto"/>
                <w:sz w:val="16"/>
              </w:rPr>
              <w:t>2114 (18.8)</w:t>
            </w:r>
          </w:p>
        </w:tc>
        <w:tc>
          <w:tcPr>
            <w:tcW w:w="180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29C67FF1">
            <w:pPr>
              <w:spacing w:before="0" w:after="0" w:line="240" w:lineRule="auto"/>
              <w:jc w:val="center"/>
              <w:rPr>
                <w:color w:val="auto"/>
              </w:rPr>
            </w:pPr>
            <w:r>
              <w:rPr>
                <w:rFonts w:ascii="Arial" w:hAnsi="Arial" w:eastAsia="Arial"/>
                <w:color w:val="auto"/>
                <w:sz w:val="16"/>
              </w:rPr>
              <w:t>719 (6.4)</w:t>
            </w:r>
          </w:p>
        </w:tc>
        <w:tc>
          <w:tcPr>
            <w:tcW w:w="216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29C70FD9">
            <w:pPr>
              <w:spacing w:before="0" w:after="0" w:line="240" w:lineRule="auto"/>
              <w:jc w:val="center"/>
              <w:rPr>
                <w:color w:val="auto"/>
              </w:rPr>
            </w:pPr>
            <w:r>
              <w:rPr>
                <w:rFonts w:ascii="Arial" w:hAnsi="Arial" w:eastAsia="Arial"/>
                <w:color w:val="auto"/>
                <w:sz w:val="16"/>
              </w:rPr>
              <w:t>935 (8.3)</w:t>
            </w:r>
          </w:p>
        </w:tc>
      </w:tr>
    </w:tbl>
    <w:p w14:paraId="35398221">
      <w:pPr>
        <w:pStyle w:val="4"/>
        <w:rPr>
          <w:color w:val="auto"/>
        </w:rPr>
      </w:pPr>
      <w:r>
        <w:rPr>
          <w:rFonts w:ascii="Times New Roman" w:hAnsi="Times New Roman" w:eastAsia="Times New Roman"/>
          <w:i w:val="0"/>
          <w:color w:val="auto"/>
        </w:rPr>
        <w:t>Panel B. Functional-recovery risk set</w:t>
      </w:r>
    </w:p>
    <w:tbl>
      <w:tblPr>
        <w:tblStyle w:val="32"/>
        <w:tblW w:w="0" w:type="auto"/>
        <w:jc w:val="center"/>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Layout w:type="autofit"/>
        <w:tblCellMar>
          <w:top w:w="0" w:type="dxa"/>
          <w:left w:w="108" w:type="dxa"/>
          <w:bottom w:w="0" w:type="dxa"/>
          <w:right w:w="108" w:type="dxa"/>
        </w:tblCellMar>
      </w:tblPr>
      <w:tblGrid>
        <w:gridCol w:w="1944"/>
        <w:gridCol w:w="1584"/>
        <w:gridCol w:w="1655"/>
        <w:gridCol w:w="2304"/>
        <w:gridCol w:w="2304"/>
        <w:gridCol w:w="1800"/>
        <w:gridCol w:w="2160"/>
      </w:tblGrid>
      <w:tr w14:paraId="209B05D8">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blHeader/>
          <w:jc w:val="center"/>
        </w:trPr>
        <w:tc>
          <w:tcPr>
            <w:tcW w:w="1944"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170F404D">
            <w:pPr>
              <w:spacing w:before="0" w:after="0" w:line="240" w:lineRule="auto"/>
              <w:jc w:val="left"/>
              <w:rPr>
                <w:color w:val="auto"/>
              </w:rPr>
            </w:pPr>
            <w:r>
              <w:rPr>
                <w:rFonts w:ascii="Arial" w:hAnsi="Arial" w:eastAsia="Arial"/>
                <w:b/>
                <w:color w:val="auto"/>
                <w:sz w:val="16"/>
              </w:rPr>
              <w:t>Exposure group</w:t>
            </w:r>
          </w:p>
        </w:tc>
        <w:tc>
          <w:tcPr>
            <w:tcW w:w="1584"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384AA0D6">
            <w:pPr>
              <w:spacing w:before="0" w:after="0" w:line="240" w:lineRule="auto"/>
              <w:jc w:val="center"/>
              <w:rPr>
                <w:color w:val="auto"/>
              </w:rPr>
            </w:pPr>
            <w:r>
              <w:rPr>
                <w:rFonts w:ascii="Arial" w:hAnsi="Arial" w:eastAsia="Arial"/>
                <w:b/>
                <w:color w:val="auto"/>
                <w:sz w:val="16"/>
              </w:rPr>
              <w:t>Participants</w:t>
            </w:r>
          </w:p>
        </w:tc>
        <w:tc>
          <w:tcPr>
            <w:tcW w:w="1655"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31FB9303">
            <w:pPr>
              <w:spacing w:before="0" w:after="0" w:line="240" w:lineRule="auto"/>
              <w:jc w:val="center"/>
              <w:rPr>
                <w:color w:val="auto"/>
              </w:rPr>
            </w:pPr>
            <w:r>
              <w:rPr>
                <w:rFonts w:ascii="Arial" w:hAnsi="Arial" w:eastAsia="Arial"/>
                <w:b/>
                <w:color w:val="auto"/>
                <w:sz w:val="16"/>
              </w:rPr>
              <w:t>Person-waves</w:t>
            </w:r>
          </w:p>
        </w:tc>
        <w:tc>
          <w:tcPr>
            <w:tcW w:w="2304"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724AD394">
            <w:pPr>
              <w:spacing w:before="0" w:after="0" w:line="240" w:lineRule="auto"/>
              <w:jc w:val="center"/>
              <w:rPr>
                <w:color w:val="auto"/>
              </w:rPr>
            </w:pPr>
            <w:r>
              <w:rPr>
                <w:rFonts w:ascii="Arial" w:hAnsi="Arial" w:eastAsia="Arial"/>
                <w:b/>
                <w:color w:val="auto"/>
                <w:sz w:val="16"/>
              </w:rPr>
              <w:t>Outcome 1, n (%)</w:t>
            </w:r>
          </w:p>
        </w:tc>
        <w:tc>
          <w:tcPr>
            <w:tcW w:w="2304"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6ACF6BEF">
            <w:pPr>
              <w:spacing w:before="0" w:after="0" w:line="240" w:lineRule="auto"/>
              <w:jc w:val="center"/>
              <w:rPr>
                <w:color w:val="auto"/>
              </w:rPr>
            </w:pPr>
            <w:r>
              <w:rPr>
                <w:rFonts w:ascii="Arial" w:hAnsi="Arial" w:eastAsia="Arial"/>
                <w:b/>
                <w:color w:val="auto"/>
                <w:sz w:val="16"/>
              </w:rPr>
              <w:t>Outcome 2, n (%)</w:t>
            </w:r>
          </w:p>
        </w:tc>
        <w:tc>
          <w:tcPr>
            <w:tcW w:w="180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6D8EA2F1">
            <w:pPr>
              <w:spacing w:before="0" w:after="0" w:line="240" w:lineRule="auto"/>
              <w:jc w:val="center"/>
              <w:rPr>
                <w:color w:val="auto"/>
              </w:rPr>
            </w:pPr>
            <w:r>
              <w:rPr>
                <w:rFonts w:ascii="Arial" w:hAnsi="Arial" w:eastAsia="Arial"/>
                <w:b/>
                <w:color w:val="auto"/>
                <w:sz w:val="16"/>
              </w:rPr>
              <w:t>Death, n (%)</w:t>
            </w:r>
          </w:p>
        </w:tc>
        <w:tc>
          <w:tcPr>
            <w:tcW w:w="216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5AE9CAA6">
            <w:pPr>
              <w:spacing w:before="0" w:after="0" w:line="240" w:lineRule="auto"/>
              <w:jc w:val="center"/>
              <w:rPr>
                <w:color w:val="auto"/>
              </w:rPr>
            </w:pPr>
            <w:r>
              <w:rPr>
                <w:rFonts w:ascii="Arial" w:hAnsi="Arial" w:eastAsia="Arial"/>
                <w:b/>
                <w:color w:val="auto"/>
                <w:sz w:val="16"/>
              </w:rPr>
              <w:t>Non-death loss, n (%)</w:t>
            </w:r>
          </w:p>
        </w:tc>
      </w:tr>
      <w:tr w14:paraId="09E4082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944" w:type="dxa"/>
            <w:tcBorders>
              <w:top w:val="nil"/>
              <w:left w:val="nil"/>
              <w:bottom w:val="nil"/>
              <w:right w:val="nil"/>
              <w:insideH w:val="nil"/>
              <w:insideV w:val="nil"/>
            </w:tcBorders>
            <w:tcMar>
              <w:top w:w="80" w:type="dxa"/>
              <w:left w:w="80" w:type="dxa"/>
              <w:bottom w:w="80" w:type="dxa"/>
              <w:right w:w="80" w:type="dxa"/>
            </w:tcMar>
            <w:vAlign w:val="center"/>
          </w:tcPr>
          <w:p w14:paraId="009D7F30">
            <w:pPr>
              <w:spacing w:before="0" w:after="0" w:line="240" w:lineRule="auto"/>
              <w:jc w:val="left"/>
              <w:rPr>
                <w:color w:val="auto"/>
              </w:rPr>
            </w:pPr>
            <w:r>
              <w:rPr>
                <w:rFonts w:ascii="Arial" w:hAnsi="Arial" w:eastAsia="Arial"/>
                <w:color w:val="auto"/>
                <w:sz w:val="16"/>
              </w:rPr>
              <w:t>Neither</w:t>
            </w:r>
          </w:p>
        </w:tc>
        <w:tc>
          <w:tcPr>
            <w:tcW w:w="1584" w:type="dxa"/>
            <w:tcBorders>
              <w:top w:val="nil"/>
              <w:left w:val="nil"/>
              <w:bottom w:val="nil"/>
              <w:right w:val="nil"/>
              <w:insideH w:val="nil"/>
              <w:insideV w:val="nil"/>
            </w:tcBorders>
            <w:tcMar>
              <w:top w:w="80" w:type="dxa"/>
              <w:left w:w="80" w:type="dxa"/>
              <w:bottom w:w="80" w:type="dxa"/>
              <w:right w:w="80" w:type="dxa"/>
            </w:tcMar>
            <w:vAlign w:val="center"/>
          </w:tcPr>
          <w:p w14:paraId="58D973B4">
            <w:pPr>
              <w:spacing w:before="0" w:after="0" w:line="240" w:lineRule="auto"/>
              <w:jc w:val="center"/>
              <w:rPr>
                <w:color w:val="auto"/>
              </w:rPr>
            </w:pPr>
            <w:r>
              <w:rPr>
                <w:rFonts w:ascii="Arial" w:hAnsi="Arial" w:eastAsia="Arial"/>
                <w:color w:val="auto"/>
                <w:sz w:val="16"/>
              </w:rPr>
              <w:t>2576</w:t>
            </w:r>
          </w:p>
        </w:tc>
        <w:tc>
          <w:tcPr>
            <w:tcW w:w="1655" w:type="dxa"/>
            <w:tcBorders>
              <w:top w:val="nil"/>
              <w:left w:val="nil"/>
              <w:bottom w:val="nil"/>
              <w:right w:val="nil"/>
              <w:insideH w:val="nil"/>
              <w:insideV w:val="nil"/>
            </w:tcBorders>
            <w:tcMar>
              <w:top w:w="80" w:type="dxa"/>
              <w:left w:w="80" w:type="dxa"/>
              <w:bottom w:w="80" w:type="dxa"/>
              <w:right w:w="80" w:type="dxa"/>
            </w:tcMar>
            <w:vAlign w:val="center"/>
          </w:tcPr>
          <w:p w14:paraId="79507847">
            <w:pPr>
              <w:spacing w:before="0" w:after="0" w:line="240" w:lineRule="auto"/>
              <w:jc w:val="center"/>
              <w:rPr>
                <w:color w:val="auto"/>
              </w:rPr>
            </w:pPr>
            <w:r>
              <w:rPr>
                <w:rFonts w:ascii="Arial" w:hAnsi="Arial" w:eastAsia="Arial"/>
                <w:color w:val="auto"/>
                <w:sz w:val="16"/>
              </w:rPr>
              <w:t>5140</w:t>
            </w:r>
          </w:p>
        </w:tc>
        <w:tc>
          <w:tcPr>
            <w:tcW w:w="2304" w:type="dxa"/>
            <w:tcBorders>
              <w:top w:val="nil"/>
              <w:left w:val="nil"/>
              <w:bottom w:val="nil"/>
              <w:right w:val="nil"/>
              <w:insideH w:val="nil"/>
              <w:insideV w:val="nil"/>
            </w:tcBorders>
            <w:tcMar>
              <w:top w:w="80" w:type="dxa"/>
              <w:left w:w="80" w:type="dxa"/>
              <w:bottom w:w="80" w:type="dxa"/>
              <w:right w:w="80" w:type="dxa"/>
            </w:tcMar>
            <w:vAlign w:val="center"/>
          </w:tcPr>
          <w:p w14:paraId="6F439C15">
            <w:pPr>
              <w:spacing w:before="0" w:after="0" w:line="240" w:lineRule="auto"/>
              <w:jc w:val="center"/>
              <w:rPr>
                <w:color w:val="auto"/>
              </w:rPr>
            </w:pPr>
            <w:r>
              <w:rPr>
                <w:rFonts w:ascii="Arial" w:hAnsi="Arial" w:eastAsia="Arial"/>
                <w:color w:val="auto"/>
                <w:sz w:val="16"/>
              </w:rPr>
              <w:t>1049 (20.4)</w:t>
            </w:r>
          </w:p>
        </w:tc>
        <w:tc>
          <w:tcPr>
            <w:tcW w:w="2304" w:type="dxa"/>
            <w:tcBorders>
              <w:top w:val="nil"/>
              <w:left w:val="nil"/>
              <w:bottom w:val="nil"/>
              <w:right w:val="nil"/>
              <w:insideH w:val="nil"/>
              <w:insideV w:val="nil"/>
            </w:tcBorders>
            <w:tcMar>
              <w:top w:w="80" w:type="dxa"/>
              <w:left w:w="80" w:type="dxa"/>
              <w:bottom w:w="80" w:type="dxa"/>
              <w:right w:w="80" w:type="dxa"/>
            </w:tcMar>
            <w:vAlign w:val="center"/>
          </w:tcPr>
          <w:p w14:paraId="3A77C1F7">
            <w:pPr>
              <w:spacing w:before="0" w:after="0" w:line="240" w:lineRule="auto"/>
              <w:jc w:val="center"/>
              <w:rPr>
                <w:color w:val="auto"/>
              </w:rPr>
            </w:pPr>
            <w:r>
              <w:rPr>
                <w:rFonts w:ascii="Arial" w:hAnsi="Arial" w:eastAsia="Arial"/>
                <w:color w:val="auto"/>
                <w:sz w:val="16"/>
              </w:rPr>
              <w:t>2474 (48.1)</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3B3DDB0">
            <w:pPr>
              <w:spacing w:before="0" w:after="0" w:line="240" w:lineRule="auto"/>
              <w:jc w:val="center"/>
              <w:rPr>
                <w:color w:val="auto"/>
              </w:rPr>
            </w:pPr>
            <w:r>
              <w:rPr>
                <w:rFonts w:ascii="Arial" w:hAnsi="Arial" w:eastAsia="Arial"/>
                <w:color w:val="auto"/>
                <w:sz w:val="16"/>
              </w:rPr>
              <w:t>1029 (20.0)</w:t>
            </w:r>
          </w:p>
        </w:tc>
        <w:tc>
          <w:tcPr>
            <w:tcW w:w="2160" w:type="dxa"/>
            <w:tcBorders>
              <w:top w:val="nil"/>
              <w:left w:val="nil"/>
              <w:bottom w:val="nil"/>
              <w:right w:val="nil"/>
              <w:insideH w:val="nil"/>
              <w:insideV w:val="nil"/>
            </w:tcBorders>
            <w:tcMar>
              <w:top w:w="80" w:type="dxa"/>
              <w:left w:w="80" w:type="dxa"/>
              <w:bottom w:w="80" w:type="dxa"/>
              <w:right w:w="80" w:type="dxa"/>
            </w:tcMar>
            <w:vAlign w:val="center"/>
          </w:tcPr>
          <w:p w14:paraId="0DCD2414">
            <w:pPr>
              <w:spacing w:before="0" w:after="0" w:line="240" w:lineRule="auto"/>
              <w:jc w:val="center"/>
              <w:rPr>
                <w:color w:val="auto"/>
              </w:rPr>
            </w:pPr>
            <w:r>
              <w:rPr>
                <w:rFonts w:ascii="Arial" w:hAnsi="Arial" w:eastAsia="Arial"/>
                <w:color w:val="auto"/>
                <w:sz w:val="16"/>
              </w:rPr>
              <w:t>588 (11.4)</w:t>
            </w:r>
          </w:p>
        </w:tc>
      </w:tr>
      <w:tr w14:paraId="6F9FF9CE">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944" w:type="dxa"/>
            <w:tcBorders>
              <w:top w:val="nil"/>
              <w:left w:val="nil"/>
              <w:bottom w:val="nil"/>
              <w:right w:val="nil"/>
              <w:insideH w:val="nil"/>
              <w:insideV w:val="nil"/>
            </w:tcBorders>
            <w:tcMar>
              <w:top w:w="80" w:type="dxa"/>
              <w:left w:w="80" w:type="dxa"/>
              <w:bottom w:w="80" w:type="dxa"/>
              <w:right w:w="80" w:type="dxa"/>
            </w:tcMar>
            <w:vAlign w:val="center"/>
          </w:tcPr>
          <w:p w14:paraId="5F554A73">
            <w:pPr>
              <w:spacing w:before="0" w:after="0" w:line="240" w:lineRule="auto"/>
              <w:jc w:val="left"/>
              <w:rPr>
                <w:color w:val="auto"/>
              </w:rPr>
            </w:pPr>
            <w:r>
              <w:rPr>
                <w:rFonts w:ascii="Arial" w:hAnsi="Arial" w:eastAsia="Arial"/>
                <w:color w:val="auto"/>
                <w:sz w:val="16"/>
              </w:rPr>
              <w:t>Arthritis only</w:t>
            </w:r>
          </w:p>
        </w:tc>
        <w:tc>
          <w:tcPr>
            <w:tcW w:w="1584" w:type="dxa"/>
            <w:tcBorders>
              <w:top w:val="nil"/>
              <w:left w:val="nil"/>
              <w:bottom w:val="nil"/>
              <w:right w:val="nil"/>
              <w:insideH w:val="nil"/>
              <w:insideV w:val="nil"/>
            </w:tcBorders>
            <w:tcMar>
              <w:top w:w="80" w:type="dxa"/>
              <w:left w:w="80" w:type="dxa"/>
              <w:bottom w:w="80" w:type="dxa"/>
              <w:right w:w="80" w:type="dxa"/>
            </w:tcMar>
            <w:vAlign w:val="center"/>
          </w:tcPr>
          <w:p w14:paraId="2997DD9F">
            <w:pPr>
              <w:spacing w:before="0" w:after="0" w:line="240" w:lineRule="auto"/>
              <w:jc w:val="center"/>
              <w:rPr>
                <w:color w:val="auto"/>
              </w:rPr>
            </w:pPr>
            <w:r>
              <w:rPr>
                <w:rFonts w:ascii="Arial" w:hAnsi="Arial" w:eastAsia="Arial"/>
                <w:color w:val="auto"/>
                <w:sz w:val="16"/>
              </w:rPr>
              <w:t>7451</w:t>
            </w:r>
          </w:p>
        </w:tc>
        <w:tc>
          <w:tcPr>
            <w:tcW w:w="1655" w:type="dxa"/>
            <w:tcBorders>
              <w:top w:val="nil"/>
              <w:left w:val="nil"/>
              <w:bottom w:val="nil"/>
              <w:right w:val="nil"/>
              <w:insideH w:val="nil"/>
              <w:insideV w:val="nil"/>
            </w:tcBorders>
            <w:tcMar>
              <w:top w:w="80" w:type="dxa"/>
              <w:left w:w="80" w:type="dxa"/>
              <w:bottom w:w="80" w:type="dxa"/>
              <w:right w:w="80" w:type="dxa"/>
            </w:tcMar>
            <w:vAlign w:val="center"/>
          </w:tcPr>
          <w:p w14:paraId="260C265E">
            <w:pPr>
              <w:spacing w:before="0" w:after="0" w:line="240" w:lineRule="auto"/>
              <w:jc w:val="center"/>
              <w:rPr>
                <w:color w:val="auto"/>
              </w:rPr>
            </w:pPr>
            <w:r>
              <w:rPr>
                <w:rFonts w:ascii="Arial" w:hAnsi="Arial" w:eastAsia="Arial"/>
                <w:color w:val="auto"/>
                <w:sz w:val="16"/>
              </w:rPr>
              <w:t>18652</w:t>
            </w:r>
          </w:p>
        </w:tc>
        <w:tc>
          <w:tcPr>
            <w:tcW w:w="2304" w:type="dxa"/>
            <w:tcBorders>
              <w:top w:val="nil"/>
              <w:left w:val="nil"/>
              <w:bottom w:val="nil"/>
              <w:right w:val="nil"/>
              <w:insideH w:val="nil"/>
              <w:insideV w:val="nil"/>
            </w:tcBorders>
            <w:tcMar>
              <w:top w:w="80" w:type="dxa"/>
              <w:left w:w="80" w:type="dxa"/>
              <w:bottom w:w="80" w:type="dxa"/>
              <w:right w:w="80" w:type="dxa"/>
            </w:tcMar>
            <w:vAlign w:val="center"/>
          </w:tcPr>
          <w:p w14:paraId="7F97F70E">
            <w:pPr>
              <w:spacing w:before="0" w:after="0" w:line="240" w:lineRule="auto"/>
              <w:jc w:val="center"/>
              <w:rPr>
                <w:color w:val="auto"/>
              </w:rPr>
            </w:pPr>
            <w:r>
              <w:rPr>
                <w:rFonts w:ascii="Arial" w:hAnsi="Arial" w:eastAsia="Arial"/>
                <w:color w:val="auto"/>
                <w:sz w:val="16"/>
              </w:rPr>
              <w:t>3253 (17.4)</w:t>
            </w:r>
          </w:p>
        </w:tc>
        <w:tc>
          <w:tcPr>
            <w:tcW w:w="2304" w:type="dxa"/>
            <w:tcBorders>
              <w:top w:val="nil"/>
              <w:left w:val="nil"/>
              <w:bottom w:val="nil"/>
              <w:right w:val="nil"/>
              <w:insideH w:val="nil"/>
              <w:insideV w:val="nil"/>
            </w:tcBorders>
            <w:tcMar>
              <w:top w:w="80" w:type="dxa"/>
              <w:left w:w="80" w:type="dxa"/>
              <w:bottom w:w="80" w:type="dxa"/>
              <w:right w:w="80" w:type="dxa"/>
            </w:tcMar>
            <w:vAlign w:val="center"/>
          </w:tcPr>
          <w:p w14:paraId="4A212145">
            <w:pPr>
              <w:spacing w:before="0" w:after="0" w:line="240" w:lineRule="auto"/>
              <w:jc w:val="center"/>
              <w:rPr>
                <w:color w:val="auto"/>
              </w:rPr>
            </w:pPr>
            <w:r>
              <w:rPr>
                <w:rFonts w:ascii="Arial" w:hAnsi="Arial" w:eastAsia="Arial"/>
                <w:color w:val="auto"/>
                <w:sz w:val="16"/>
              </w:rPr>
              <w:t>9759 (52.3)</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623B6C3">
            <w:pPr>
              <w:spacing w:before="0" w:after="0" w:line="240" w:lineRule="auto"/>
              <w:jc w:val="center"/>
              <w:rPr>
                <w:color w:val="auto"/>
              </w:rPr>
            </w:pPr>
            <w:r>
              <w:rPr>
                <w:rFonts w:ascii="Arial" w:hAnsi="Arial" w:eastAsia="Arial"/>
                <w:color w:val="auto"/>
                <w:sz w:val="16"/>
              </w:rPr>
              <w:t>3492 (18.7)</w:t>
            </w:r>
          </w:p>
        </w:tc>
        <w:tc>
          <w:tcPr>
            <w:tcW w:w="2160" w:type="dxa"/>
            <w:tcBorders>
              <w:top w:val="nil"/>
              <w:left w:val="nil"/>
              <w:bottom w:val="nil"/>
              <w:right w:val="nil"/>
              <w:insideH w:val="nil"/>
              <w:insideV w:val="nil"/>
            </w:tcBorders>
            <w:tcMar>
              <w:top w:w="80" w:type="dxa"/>
              <w:left w:w="80" w:type="dxa"/>
              <w:bottom w:w="80" w:type="dxa"/>
              <w:right w:w="80" w:type="dxa"/>
            </w:tcMar>
            <w:vAlign w:val="center"/>
          </w:tcPr>
          <w:p w14:paraId="673235A7">
            <w:pPr>
              <w:spacing w:before="0" w:after="0" w:line="240" w:lineRule="auto"/>
              <w:jc w:val="center"/>
              <w:rPr>
                <w:color w:val="auto"/>
              </w:rPr>
            </w:pPr>
            <w:r>
              <w:rPr>
                <w:rFonts w:ascii="Arial" w:hAnsi="Arial" w:eastAsia="Arial"/>
                <w:color w:val="auto"/>
                <w:sz w:val="16"/>
              </w:rPr>
              <w:t>2148 (11.5)</w:t>
            </w:r>
          </w:p>
        </w:tc>
      </w:tr>
      <w:tr w14:paraId="02FD81BF">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944" w:type="dxa"/>
            <w:tcBorders>
              <w:top w:val="nil"/>
              <w:left w:val="nil"/>
              <w:bottom w:val="nil"/>
              <w:right w:val="nil"/>
              <w:insideH w:val="nil"/>
              <w:insideV w:val="nil"/>
            </w:tcBorders>
            <w:tcMar>
              <w:top w:w="80" w:type="dxa"/>
              <w:left w:w="80" w:type="dxa"/>
              <w:bottom w:w="80" w:type="dxa"/>
              <w:right w:w="80" w:type="dxa"/>
            </w:tcMar>
            <w:vAlign w:val="center"/>
          </w:tcPr>
          <w:p w14:paraId="75B067A0">
            <w:pPr>
              <w:spacing w:before="0" w:after="0" w:line="240" w:lineRule="auto"/>
              <w:jc w:val="left"/>
              <w:rPr>
                <w:color w:val="auto"/>
              </w:rPr>
            </w:pPr>
            <w:r>
              <w:rPr>
                <w:rFonts w:ascii="Arial" w:hAnsi="Arial" w:eastAsia="Arial"/>
                <w:color w:val="auto"/>
                <w:sz w:val="16"/>
              </w:rPr>
              <w:t>Diabetes only</w:t>
            </w:r>
          </w:p>
        </w:tc>
        <w:tc>
          <w:tcPr>
            <w:tcW w:w="1584" w:type="dxa"/>
            <w:tcBorders>
              <w:top w:val="nil"/>
              <w:left w:val="nil"/>
              <w:bottom w:val="nil"/>
              <w:right w:val="nil"/>
              <w:insideH w:val="nil"/>
              <w:insideV w:val="nil"/>
            </w:tcBorders>
            <w:tcMar>
              <w:top w:w="80" w:type="dxa"/>
              <w:left w:w="80" w:type="dxa"/>
              <w:bottom w:w="80" w:type="dxa"/>
              <w:right w:w="80" w:type="dxa"/>
            </w:tcMar>
            <w:vAlign w:val="center"/>
          </w:tcPr>
          <w:p w14:paraId="5CCCF72B">
            <w:pPr>
              <w:spacing w:before="0" w:after="0" w:line="240" w:lineRule="auto"/>
              <w:jc w:val="center"/>
              <w:rPr>
                <w:color w:val="auto"/>
              </w:rPr>
            </w:pPr>
            <w:r>
              <w:rPr>
                <w:rFonts w:ascii="Arial" w:hAnsi="Arial" w:eastAsia="Arial"/>
                <w:color w:val="auto"/>
                <w:sz w:val="16"/>
              </w:rPr>
              <w:t>933</w:t>
            </w:r>
          </w:p>
        </w:tc>
        <w:tc>
          <w:tcPr>
            <w:tcW w:w="1655" w:type="dxa"/>
            <w:tcBorders>
              <w:top w:val="nil"/>
              <w:left w:val="nil"/>
              <w:bottom w:val="nil"/>
              <w:right w:val="nil"/>
              <w:insideH w:val="nil"/>
              <w:insideV w:val="nil"/>
            </w:tcBorders>
            <w:tcMar>
              <w:top w:w="80" w:type="dxa"/>
              <w:left w:w="80" w:type="dxa"/>
              <w:bottom w:w="80" w:type="dxa"/>
              <w:right w:w="80" w:type="dxa"/>
            </w:tcMar>
            <w:vAlign w:val="center"/>
          </w:tcPr>
          <w:p w14:paraId="0ED812C3">
            <w:pPr>
              <w:spacing w:before="0" w:after="0" w:line="240" w:lineRule="auto"/>
              <w:jc w:val="center"/>
              <w:rPr>
                <w:color w:val="auto"/>
              </w:rPr>
            </w:pPr>
            <w:r>
              <w:rPr>
                <w:rFonts w:ascii="Arial" w:hAnsi="Arial" w:eastAsia="Arial"/>
                <w:color w:val="auto"/>
                <w:sz w:val="16"/>
              </w:rPr>
              <w:t>1786</w:t>
            </w:r>
          </w:p>
        </w:tc>
        <w:tc>
          <w:tcPr>
            <w:tcW w:w="2304" w:type="dxa"/>
            <w:tcBorders>
              <w:top w:val="nil"/>
              <w:left w:val="nil"/>
              <w:bottom w:val="nil"/>
              <w:right w:val="nil"/>
              <w:insideH w:val="nil"/>
              <w:insideV w:val="nil"/>
            </w:tcBorders>
            <w:tcMar>
              <w:top w:w="80" w:type="dxa"/>
              <w:left w:w="80" w:type="dxa"/>
              <w:bottom w:w="80" w:type="dxa"/>
              <w:right w:w="80" w:type="dxa"/>
            </w:tcMar>
            <w:vAlign w:val="center"/>
          </w:tcPr>
          <w:p w14:paraId="4495091A">
            <w:pPr>
              <w:spacing w:before="0" w:after="0" w:line="240" w:lineRule="auto"/>
              <w:jc w:val="center"/>
              <w:rPr>
                <w:color w:val="auto"/>
              </w:rPr>
            </w:pPr>
            <w:r>
              <w:rPr>
                <w:rFonts w:ascii="Arial" w:hAnsi="Arial" w:eastAsia="Arial"/>
                <w:color w:val="auto"/>
                <w:sz w:val="16"/>
              </w:rPr>
              <w:t>330 (18.5)</w:t>
            </w:r>
          </w:p>
        </w:tc>
        <w:tc>
          <w:tcPr>
            <w:tcW w:w="2304" w:type="dxa"/>
            <w:tcBorders>
              <w:top w:val="nil"/>
              <w:left w:val="nil"/>
              <w:bottom w:val="nil"/>
              <w:right w:val="nil"/>
              <w:insideH w:val="nil"/>
              <w:insideV w:val="nil"/>
            </w:tcBorders>
            <w:tcMar>
              <w:top w:w="80" w:type="dxa"/>
              <w:left w:w="80" w:type="dxa"/>
              <w:bottom w:w="80" w:type="dxa"/>
              <w:right w:w="80" w:type="dxa"/>
            </w:tcMar>
            <w:vAlign w:val="center"/>
          </w:tcPr>
          <w:p w14:paraId="69E4DAF9">
            <w:pPr>
              <w:spacing w:before="0" w:after="0" w:line="240" w:lineRule="auto"/>
              <w:jc w:val="center"/>
              <w:rPr>
                <w:color w:val="auto"/>
              </w:rPr>
            </w:pPr>
            <w:r>
              <w:rPr>
                <w:rFonts w:ascii="Arial" w:hAnsi="Arial" w:eastAsia="Arial"/>
                <w:color w:val="auto"/>
                <w:sz w:val="16"/>
              </w:rPr>
              <w:t>860 (48.2)</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A15189D">
            <w:pPr>
              <w:spacing w:before="0" w:after="0" w:line="240" w:lineRule="auto"/>
              <w:jc w:val="center"/>
              <w:rPr>
                <w:color w:val="auto"/>
              </w:rPr>
            </w:pPr>
            <w:r>
              <w:rPr>
                <w:rFonts w:ascii="Arial" w:hAnsi="Arial" w:eastAsia="Arial"/>
                <w:color w:val="auto"/>
                <w:sz w:val="16"/>
              </w:rPr>
              <w:t>379 (21.2)</w:t>
            </w:r>
          </w:p>
        </w:tc>
        <w:tc>
          <w:tcPr>
            <w:tcW w:w="2160" w:type="dxa"/>
            <w:tcBorders>
              <w:top w:val="nil"/>
              <w:left w:val="nil"/>
              <w:bottom w:val="nil"/>
              <w:right w:val="nil"/>
              <w:insideH w:val="nil"/>
              <w:insideV w:val="nil"/>
            </w:tcBorders>
            <w:tcMar>
              <w:top w:w="80" w:type="dxa"/>
              <w:left w:w="80" w:type="dxa"/>
              <w:bottom w:w="80" w:type="dxa"/>
              <w:right w:w="80" w:type="dxa"/>
            </w:tcMar>
            <w:vAlign w:val="center"/>
          </w:tcPr>
          <w:p w14:paraId="48EE4E24">
            <w:pPr>
              <w:spacing w:before="0" w:after="0" w:line="240" w:lineRule="auto"/>
              <w:jc w:val="center"/>
              <w:rPr>
                <w:color w:val="auto"/>
              </w:rPr>
            </w:pPr>
            <w:r>
              <w:rPr>
                <w:rFonts w:ascii="Arial" w:hAnsi="Arial" w:eastAsia="Arial"/>
                <w:color w:val="auto"/>
                <w:sz w:val="16"/>
              </w:rPr>
              <w:t>217 (12.2)</w:t>
            </w:r>
          </w:p>
        </w:tc>
      </w:tr>
      <w:tr w14:paraId="496690E3">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944"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21CA9DB3">
            <w:pPr>
              <w:spacing w:before="0" w:after="0" w:line="240" w:lineRule="auto"/>
              <w:jc w:val="left"/>
              <w:rPr>
                <w:color w:val="auto"/>
              </w:rPr>
            </w:pPr>
            <w:r>
              <w:rPr>
                <w:rFonts w:ascii="Arial" w:hAnsi="Arial" w:eastAsia="Arial"/>
                <w:color w:val="auto"/>
                <w:sz w:val="16"/>
              </w:rPr>
              <w:t>Comorbidity</w:t>
            </w:r>
          </w:p>
        </w:tc>
        <w:tc>
          <w:tcPr>
            <w:tcW w:w="1584"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6C3EA7C6">
            <w:pPr>
              <w:spacing w:before="0" w:after="0" w:line="240" w:lineRule="auto"/>
              <w:jc w:val="center"/>
              <w:rPr>
                <w:color w:val="auto"/>
              </w:rPr>
            </w:pPr>
            <w:r>
              <w:rPr>
                <w:rFonts w:ascii="Arial" w:hAnsi="Arial" w:eastAsia="Arial"/>
                <w:color w:val="auto"/>
                <w:sz w:val="16"/>
              </w:rPr>
              <w:t>3613</w:t>
            </w:r>
          </w:p>
        </w:tc>
        <w:tc>
          <w:tcPr>
            <w:tcW w:w="1655"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1B221E12">
            <w:pPr>
              <w:spacing w:before="0" w:after="0" w:line="240" w:lineRule="auto"/>
              <w:jc w:val="center"/>
              <w:rPr>
                <w:color w:val="auto"/>
              </w:rPr>
            </w:pPr>
            <w:r>
              <w:rPr>
                <w:rFonts w:ascii="Arial" w:hAnsi="Arial" w:eastAsia="Arial"/>
                <w:color w:val="auto"/>
                <w:sz w:val="16"/>
              </w:rPr>
              <w:t>9199</w:t>
            </w:r>
          </w:p>
        </w:tc>
        <w:tc>
          <w:tcPr>
            <w:tcW w:w="2304"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5D6F88D9">
            <w:pPr>
              <w:spacing w:before="0" w:after="0" w:line="240" w:lineRule="auto"/>
              <w:jc w:val="center"/>
              <w:rPr>
                <w:color w:val="auto"/>
              </w:rPr>
            </w:pPr>
            <w:r>
              <w:rPr>
                <w:rFonts w:ascii="Arial" w:hAnsi="Arial" w:eastAsia="Arial"/>
                <w:color w:val="auto"/>
                <w:sz w:val="16"/>
              </w:rPr>
              <w:t>1269 (13.8)</w:t>
            </w:r>
          </w:p>
        </w:tc>
        <w:tc>
          <w:tcPr>
            <w:tcW w:w="2304"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4C2D1C94">
            <w:pPr>
              <w:spacing w:before="0" w:after="0" w:line="240" w:lineRule="auto"/>
              <w:jc w:val="center"/>
              <w:rPr>
                <w:color w:val="auto"/>
              </w:rPr>
            </w:pPr>
            <w:r>
              <w:rPr>
                <w:rFonts w:ascii="Arial" w:hAnsi="Arial" w:eastAsia="Arial"/>
                <w:color w:val="auto"/>
                <w:sz w:val="16"/>
              </w:rPr>
              <w:t>5071 (55.1)</w:t>
            </w:r>
          </w:p>
        </w:tc>
        <w:tc>
          <w:tcPr>
            <w:tcW w:w="180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355CCC74">
            <w:pPr>
              <w:spacing w:before="0" w:after="0" w:line="240" w:lineRule="auto"/>
              <w:jc w:val="center"/>
              <w:rPr>
                <w:color w:val="auto"/>
              </w:rPr>
            </w:pPr>
            <w:r>
              <w:rPr>
                <w:rFonts w:ascii="Arial" w:hAnsi="Arial" w:eastAsia="Arial"/>
                <w:color w:val="auto"/>
                <w:sz w:val="16"/>
              </w:rPr>
              <w:t>1802 (19.6)</w:t>
            </w:r>
          </w:p>
        </w:tc>
        <w:tc>
          <w:tcPr>
            <w:tcW w:w="216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11AF045D">
            <w:pPr>
              <w:spacing w:before="0" w:after="0" w:line="240" w:lineRule="auto"/>
              <w:jc w:val="center"/>
              <w:rPr>
                <w:color w:val="auto"/>
              </w:rPr>
            </w:pPr>
            <w:r>
              <w:rPr>
                <w:rFonts w:ascii="Arial" w:hAnsi="Arial" w:eastAsia="Arial"/>
                <w:color w:val="auto"/>
                <w:sz w:val="16"/>
              </w:rPr>
              <w:t>1057 (11.5)</w:t>
            </w:r>
          </w:p>
        </w:tc>
      </w:tr>
    </w:tbl>
    <w:p w14:paraId="619D4992">
      <w:pPr>
        <w:rPr>
          <w:color w:val="auto"/>
        </w:rPr>
      </w:pPr>
      <w:r>
        <w:rPr>
          <w:rFonts w:ascii="Times New Roman" w:hAnsi="Times New Roman" w:eastAsia="Times New Roman"/>
          <w:i w:val="0"/>
          <w:color w:val="auto"/>
          <w:sz w:val="18"/>
        </w:rPr>
        <w:t>Note. Panel A outcome 1 = remaining independent and outcome 2 = incident disability. Panel B outcome 1 = recovery to complete independence and outcome 2 = remaining disabled. Non-death loss indicates absence of an observed next-wave functional outcome among participants not known to have died. Participants may contribute more than one adjacent-wave observation.</w:t>
      </w:r>
    </w:p>
    <w:p w14:paraId="728EB596">
      <w:pPr>
        <w:pStyle w:val="3"/>
        <w:rPr>
          <w:color w:val="auto"/>
        </w:rPr>
      </w:pPr>
      <w:r>
        <w:rPr>
          <w:rFonts w:ascii="Times New Roman" w:hAnsi="Times New Roman" w:eastAsia="Times New Roman"/>
          <w:i w:val="0"/>
          <w:color w:val="auto"/>
        </w:rPr>
        <w:t>Supplementary Table S2. Complete three-state transition results</w:t>
      </w:r>
    </w:p>
    <w:p w14:paraId="0E7A4168">
      <w:pPr>
        <w:rPr>
          <w:color w:val="auto"/>
        </w:rPr>
      </w:pPr>
      <w:r>
        <w:rPr>
          <w:rFonts w:ascii="Times New Roman" w:hAnsi="Times New Roman" w:eastAsia="Times New Roman"/>
          <w:i/>
          <w:color w:val="auto"/>
        </w:rPr>
        <w:t>All four exposure groups, three baseline functional states, and four next-wave outcomes.</w:t>
      </w:r>
    </w:p>
    <w:p w14:paraId="4DCBBDC1">
      <w:pPr>
        <w:pStyle w:val="4"/>
        <w:rPr>
          <w:color w:val="auto"/>
        </w:rPr>
      </w:pPr>
      <w:r>
        <w:rPr>
          <w:rFonts w:ascii="Times New Roman" w:hAnsi="Times New Roman" w:eastAsia="Times New Roman"/>
          <w:i w:val="0"/>
          <w:color w:val="auto"/>
        </w:rPr>
        <w:t>Panel A. Adjusted standardized probabilities</w:t>
      </w:r>
    </w:p>
    <w:tbl>
      <w:tblPr>
        <w:tblStyle w:val="32"/>
        <w:tblW w:w="0" w:type="auto"/>
        <w:jc w:val="center"/>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Layout w:type="autofit"/>
        <w:tblCellMar>
          <w:top w:w="0" w:type="dxa"/>
          <w:left w:w="108" w:type="dxa"/>
          <w:bottom w:w="0" w:type="dxa"/>
          <w:right w:w="108" w:type="dxa"/>
        </w:tblCellMar>
      </w:tblPr>
      <w:tblGrid>
        <w:gridCol w:w="1800"/>
        <w:gridCol w:w="1800"/>
        <w:gridCol w:w="1800"/>
        <w:gridCol w:w="2232"/>
        <w:gridCol w:w="2232"/>
        <w:gridCol w:w="2880"/>
      </w:tblGrid>
      <w:tr w14:paraId="32CDCAEE">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blHeader/>
          <w:jc w:val="center"/>
        </w:trPr>
        <w:tc>
          <w:tcPr>
            <w:tcW w:w="180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3D51F181">
            <w:pPr>
              <w:spacing w:before="0" w:after="0" w:line="240" w:lineRule="auto"/>
              <w:jc w:val="left"/>
              <w:rPr>
                <w:color w:val="auto"/>
              </w:rPr>
            </w:pPr>
            <w:r>
              <w:rPr>
                <w:rFonts w:ascii="Arial" w:hAnsi="Arial" w:eastAsia="Arial"/>
                <w:b/>
                <w:color w:val="auto"/>
                <w:sz w:val="14"/>
              </w:rPr>
              <w:t>Baseline state</w:t>
            </w:r>
          </w:p>
        </w:tc>
        <w:tc>
          <w:tcPr>
            <w:tcW w:w="180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55CCDF43">
            <w:pPr>
              <w:spacing w:before="0" w:after="0" w:line="240" w:lineRule="auto"/>
              <w:jc w:val="left"/>
              <w:rPr>
                <w:color w:val="auto"/>
              </w:rPr>
            </w:pPr>
            <w:r>
              <w:rPr>
                <w:rFonts w:ascii="Arial" w:hAnsi="Arial" w:eastAsia="Arial"/>
                <w:b/>
                <w:color w:val="auto"/>
                <w:sz w:val="14"/>
              </w:rPr>
              <w:t>Exposure group</w:t>
            </w:r>
          </w:p>
        </w:tc>
        <w:tc>
          <w:tcPr>
            <w:tcW w:w="180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739006EE">
            <w:pPr>
              <w:spacing w:before="0" w:after="0" w:line="240" w:lineRule="auto"/>
              <w:jc w:val="left"/>
              <w:rPr>
                <w:color w:val="auto"/>
              </w:rPr>
            </w:pPr>
            <w:r>
              <w:rPr>
                <w:rFonts w:ascii="Arial" w:hAnsi="Arial" w:eastAsia="Arial"/>
                <w:b/>
                <w:color w:val="auto"/>
                <w:sz w:val="14"/>
              </w:rPr>
              <w:t>Next-wave state</w:t>
            </w:r>
          </w:p>
        </w:tc>
        <w:tc>
          <w:tcPr>
            <w:tcW w:w="2232"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46DF55A0">
            <w:pPr>
              <w:spacing w:before="0" w:after="0" w:line="240" w:lineRule="auto"/>
              <w:jc w:val="left"/>
              <w:rPr>
                <w:color w:val="auto"/>
              </w:rPr>
            </w:pPr>
            <w:r>
              <w:rPr>
                <w:rFonts w:ascii="Arial" w:hAnsi="Arial" w:eastAsia="Arial"/>
                <w:b/>
                <w:color w:val="auto"/>
                <w:sz w:val="14"/>
              </w:rPr>
              <w:t>Standardization person-waves</w:t>
            </w:r>
          </w:p>
        </w:tc>
        <w:tc>
          <w:tcPr>
            <w:tcW w:w="2232"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293BD0AB">
            <w:pPr>
              <w:spacing w:before="0" w:after="0" w:line="240" w:lineRule="auto"/>
              <w:jc w:val="left"/>
              <w:rPr>
                <w:color w:val="auto"/>
              </w:rPr>
            </w:pPr>
            <w:r>
              <w:rPr>
                <w:rFonts w:ascii="Arial" w:hAnsi="Arial" w:eastAsia="Arial"/>
                <w:b/>
                <w:color w:val="auto"/>
                <w:sz w:val="14"/>
              </w:rPr>
              <w:t>Standardization participants</w:t>
            </w:r>
          </w:p>
        </w:tc>
        <w:tc>
          <w:tcPr>
            <w:tcW w:w="288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7E134170">
            <w:pPr>
              <w:spacing w:before="0" w:after="0" w:line="240" w:lineRule="auto"/>
              <w:jc w:val="left"/>
              <w:rPr>
                <w:color w:val="auto"/>
              </w:rPr>
            </w:pPr>
            <w:r>
              <w:rPr>
                <w:rFonts w:ascii="Arial" w:hAnsi="Arial" w:eastAsia="Arial"/>
                <w:b/>
                <w:color w:val="auto"/>
                <w:sz w:val="14"/>
              </w:rPr>
              <w:t>Adjusted probability, % (95% CI)</w:t>
            </w:r>
          </w:p>
        </w:tc>
      </w:tr>
      <w:tr w14:paraId="5725E459">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09D2F3F">
            <w:pPr>
              <w:spacing w:before="0" w:after="0" w:line="240" w:lineRule="auto"/>
              <w:jc w:val="left"/>
              <w:rPr>
                <w:color w:val="auto"/>
              </w:rPr>
            </w:pPr>
            <w:r>
              <w:rPr>
                <w:rFonts w:ascii="Arial" w:hAnsi="Arial" w:eastAsia="Arial"/>
                <w:color w:val="auto"/>
                <w:sz w:val="14"/>
              </w:rPr>
              <w:t>Independent</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C8F6823">
            <w:pPr>
              <w:spacing w:before="0" w:after="0" w:line="240" w:lineRule="auto"/>
              <w:jc w:val="left"/>
              <w:rPr>
                <w:color w:val="auto"/>
              </w:rPr>
            </w:pPr>
            <w:r>
              <w:rPr>
                <w:rFonts w:ascii="Arial" w:hAnsi="Arial" w:eastAsia="Arial"/>
                <w:color w:val="auto"/>
                <w:sz w:val="14"/>
              </w:rPr>
              <w:t>Neither</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330F30AA">
            <w:pPr>
              <w:spacing w:before="0" w:after="0" w:line="240" w:lineRule="auto"/>
              <w:jc w:val="left"/>
              <w:rPr>
                <w:color w:val="auto"/>
              </w:rPr>
            </w:pPr>
            <w:r>
              <w:rPr>
                <w:rFonts w:ascii="Arial" w:hAnsi="Arial" w:eastAsia="Arial"/>
                <w:color w:val="auto"/>
                <w:sz w:val="14"/>
              </w:rPr>
              <w:t>Independent</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2FEFD549">
            <w:pPr>
              <w:spacing w:before="0" w:after="0" w:line="240" w:lineRule="auto"/>
              <w:jc w:val="left"/>
              <w:rPr>
                <w:color w:val="auto"/>
              </w:rPr>
            </w:pPr>
            <w:r>
              <w:rPr>
                <w:rFonts w:ascii="Arial" w:hAnsi="Arial" w:eastAsia="Arial"/>
                <w:color w:val="auto"/>
                <w:sz w:val="14"/>
              </w:rPr>
              <w:t>69075</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C6BBB28">
            <w:pPr>
              <w:spacing w:before="0" w:after="0" w:line="240" w:lineRule="auto"/>
              <w:jc w:val="left"/>
              <w:rPr>
                <w:color w:val="auto"/>
              </w:rPr>
            </w:pPr>
            <w:r>
              <w:rPr>
                <w:rFonts w:ascii="Arial" w:hAnsi="Arial" w:eastAsia="Arial"/>
                <w:color w:val="auto"/>
                <w:sz w:val="14"/>
              </w:rPr>
              <w:t>17540</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28BFA37B">
            <w:pPr>
              <w:spacing w:before="0" w:after="0" w:line="240" w:lineRule="auto"/>
              <w:jc w:val="left"/>
              <w:rPr>
                <w:color w:val="auto"/>
              </w:rPr>
            </w:pPr>
            <w:r>
              <w:rPr>
                <w:rFonts w:ascii="Arial" w:hAnsi="Arial" w:eastAsia="Arial"/>
                <w:color w:val="auto"/>
                <w:sz w:val="14"/>
              </w:rPr>
              <w:t>84.6 (84.0–85.1)</w:t>
            </w:r>
          </w:p>
        </w:tc>
      </w:tr>
      <w:tr w14:paraId="10C68EC8">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A7F568A">
            <w:pPr>
              <w:spacing w:before="0" w:after="0" w:line="240" w:lineRule="auto"/>
              <w:jc w:val="left"/>
              <w:rPr>
                <w:color w:val="auto"/>
              </w:rPr>
            </w:pPr>
            <w:r>
              <w:rPr>
                <w:rFonts w:ascii="Arial" w:hAnsi="Arial" w:eastAsia="Arial"/>
                <w:color w:val="auto"/>
                <w:sz w:val="14"/>
              </w:rPr>
              <w:t>Independent</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4F57886">
            <w:pPr>
              <w:spacing w:before="0" w:after="0" w:line="240" w:lineRule="auto"/>
              <w:jc w:val="left"/>
              <w:rPr>
                <w:color w:val="auto"/>
              </w:rPr>
            </w:pPr>
            <w:r>
              <w:rPr>
                <w:rFonts w:ascii="Arial" w:hAnsi="Arial" w:eastAsia="Arial"/>
                <w:color w:val="auto"/>
                <w:sz w:val="14"/>
              </w:rPr>
              <w:t>Neither</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CDCB36D">
            <w:pPr>
              <w:spacing w:before="0" w:after="0" w:line="240" w:lineRule="auto"/>
              <w:jc w:val="left"/>
              <w:rPr>
                <w:color w:val="auto"/>
              </w:rPr>
            </w:pPr>
            <w:r>
              <w:rPr>
                <w:rFonts w:ascii="Arial" w:hAnsi="Arial" w:eastAsia="Arial"/>
                <w:color w:val="auto"/>
                <w:sz w:val="14"/>
              </w:rPr>
              <w:t>IADL limitation</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9B0F815">
            <w:pPr>
              <w:spacing w:before="0" w:after="0" w:line="240" w:lineRule="auto"/>
              <w:jc w:val="left"/>
              <w:rPr>
                <w:color w:val="auto"/>
              </w:rPr>
            </w:pPr>
            <w:r>
              <w:rPr>
                <w:rFonts w:ascii="Arial" w:hAnsi="Arial" w:eastAsia="Arial"/>
                <w:color w:val="auto"/>
                <w:sz w:val="14"/>
              </w:rPr>
              <w:t>69075</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0B256A1F">
            <w:pPr>
              <w:spacing w:before="0" w:after="0" w:line="240" w:lineRule="auto"/>
              <w:jc w:val="left"/>
              <w:rPr>
                <w:color w:val="auto"/>
              </w:rPr>
            </w:pPr>
            <w:r>
              <w:rPr>
                <w:rFonts w:ascii="Arial" w:hAnsi="Arial" w:eastAsia="Arial"/>
                <w:color w:val="auto"/>
                <w:sz w:val="14"/>
              </w:rPr>
              <w:t>17540</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53D524B5">
            <w:pPr>
              <w:spacing w:before="0" w:after="0" w:line="240" w:lineRule="auto"/>
              <w:jc w:val="left"/>
              <w:rPr>
                <w:color w:val="auto"/>
              </w:rPr>
            </w:pPr>
            <w:r>
              <w:rPr>
                <w:rFonts w:ascii="Arial" w:hAnsi="Arial" w:eastAsia="Arial"/>
                <w:color w:val="auto"/>
                <w:sz w:val="14"/>
              </w:rPr>
              <w:t>4.4 (4.2–4.8)</w:t>
            </w:r>
          </w:p>
        </w:tc>
      </w:tr>
      <w:tr w14:paraId="618A13C3">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ABD132B">
            <w:pPr>
              <w:spacing w:before="0" w:after="0" w:line="240" w:lineRule="auto"/>
              <w:jc w:val="left"/>
              <w:rPr>
                <w:color w:val="auto"/>
              </w:rPr>
            </w:pPr>
            <w:r>
              <w:rPr>
                <w:rFonts w:ascii="Arial" w:hAnsi="Arial" w:eastAsia="Arial"/>
                <w:color w:val="auto"/>
                <w:sz w:val="14"/>
              </w:rPr>
              <w:t>Independent</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C5E36CF">
            <w:pPr>
              <w:spacing w:before="0" w:after="0" w:line="240" w:lineRule="auto"/>
              <w:jc w:val="left"/>
              <w:rPr>
                <w:color w:val="auto"/>
              </w:rPr>
            </w:pPr>
            <w:r>
              <w:rPr>
                <w:rFonts w:ascii="Arial" w:hAnsi="Arial" w:eastAsia="Arial"/>
                <w:color w:val="auto"/>
                <w:sz w:val="14"/>
              </w:rPr>
              <w:t>Neither</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5016770">
            <w:pPr>
              <w:spacing w:before="0" w:after="0" w:line="240" w:lineRule="auto"/>
              <w:jc w:val="left"/>
              <w:rPr>
                <w:color w:val="auto"/>
              </w:rPr>
            </w:pPr>
            <w:r>
              <w:rPr>
                <w:rFonts w:ascii="Arial" w:hAnsi="Arial" w:eastAsia="Arial"/>
                <w:color w:val="auto"/>
                <w:sz w:val="14"/>
              </w:rPr>
              <w:t>ADL disability</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13FEB285">
            <w:pPr>
              <w:spacing w:before="0" w:after="0" w:line="240" w:lineRule="auto"/>
              <w:jc w:val="left"/>
              <w:rPr>
                <w:color w:val="auto"/>
              </w:rPr>
            </w:pPr>
            <w:r>
              <w:rPr>
                <w:rFonts w:ascii="Arial" w:hAnsi="Arial" w:eastAsia="Arial"/>
                <w:color w:val="auto"/>
                <w:sz w:val="14"/>
              </w:rPr>
              <w:t>69075</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F249A5D">
            <w:pPr>
              <w:spacing w:before="0" w:after="0" w:line="240" w:lineRule="auto"/>
              <w:jc w:val="left"/>
              <w:rPr>
                <w:color w:val="auto"/>
              </w:rPr>
            </w:pPr>
            <w:r>
              <w:rPr>
                <w:rFonts w:ascii="Arial" w:hAnsi="Arial" w:eastAsia="Arial"/>
                <w:color w:val="auto"/>
                <w:sz w:val="14"/>
              </w:rPr>
              <w:t>17540</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1AA4AB8A">
            <w:pPr>
              <w:spacing w:before="0" w:after="0" w:line="240" w:lineRule="auto"/>
              <w:jc w:val="left"/>
              <w:rPr>
                <w:color w:val="auto"/>
              </w:rPr>
            </w:pPr>
            <w:r>
              <w:rPr>
                <w:rFonts w:ascii="Arial" w:hAnsi="Arial" w:eastAsia="Arial"/>
                <w:color w:val="auto"/>
                <w:sz w:val="14"/>
              </w:rPr>
              <w:t>6.5 (6.2–6.9)</w:t>
            </w:r>
          </w:p>
        </w:tc>
      </w:tr>
      <w:tr w14:paraId="465B27FB">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38F8DFA">
            <w:pPr>
              <w:spacing w:before="0" w:after="0" w:line="240" w:lineRule="auto"/>
              <w:jc w:val="left"/>
              <w:rPr>
                <w:color w:val="auto"/>
              </w:rPr>
            </w:pPr>
            <w:r>
              <w:rPr>
                <w:rFonts w:ascii="Arial" w:hAnsi="Arial" w:eastAsia="Arial"/>
                <w:color w:val="auto"/>
                <w:sz w:val="14"/>
              </w:rPr>
              <w:t>Independent</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D3FEFA8">
            <w:pPr>
              <w:spacing w:before="0" w:after="0" w:line="240" w:lineRule="auto"/>
              <w:jc w:val="left"/>
              <w:rPr>
                <w:color w:val="auto"/>
              </w:rPr>
            </w:pPr>
            <w:r>
              <w:rPr>
                <w:rFonts w:ascii="Arial" w:hAnsi="Arial" w:eastAsia="Arial"/>
                <w:color w:val="auto"/>
                <w:sz w:val="14"/>
              </w:rPr>
              <w:t>Neither</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34B1786">
            <w:pPr>
              <w:spacing w:before="0" w:after="0" w:line="240" w:lineRule="auto"/>
              <w:jc w:val="left"/>
              <w:rPr>
                <w:color w:val="auto"/>
              </w:rPr>
            </w:pPr>
            <w:r>
              <w:rPr>
                <w:rFonts w:ascii="Arial" w:hAnsi="Arial" w:eastAsia="Arial"/>
                <w:color w:val="auto"/>
                <w:sz w:val="14"/>
              </w:rPr>
              <w:t>Death</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4AC79667">
            <w:pPr>
              <w:spacing w:before="0" w:after="0" w:line="240" w:lineRule="auto"/>
              <w:jc w:val="left"/>
              <w:rPr>
                <w:color w:val="auto"/>
              </w:rPr>
            </w:pPr>
            <w:r>
              <w:rPr>
                <w:rFonts w:ascii="Arial" w:hAnsi="Arial" w:eastAsia="Arial"/>
                <w:color w:val="auto"/>
                <w:sz w:val="14"/>
              </w:rPr>
              <w:t>69075</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E878202">
            <w:pPr>
              <w:spacing w:before="0" w:after="0" w:line="240" w:lineRule="auto"/>
              <w:jc w:val="left"/>
              <w:rPr>
                <w:color w:val="auto"/>
              </w:rPr>
            </w:pPr>
            <w:r>
              <w:rPr>
                <w:rFonts w:ascii="Arial" w:hAnsi="Arial" w:eastAsia="Arial"/>
                <w:color w:val="auto"/>
                <w:sz w:val="14"/>
              </w:rPr>
              <w:t>17540</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419B0CBE">
            <w:pPr>
              <w:spacing w:before="0" w:after="0" w:line="240" w:lineRule="auto"/>
              <w:jc w:val="left"/>
              <w:rPr>
                <w:color w:val="auto"/>
              </w:rPr>
            </w:pPr>
            <w:r>
              <w:rPr>
                <w:rFonts w:ascii="Arial" w:hAnsi="Arial" w:eastAsia="Arial"/>
                <w:color w:val="auto"/>
                <w:sz w:val="14"/>
              </w:rPr>
              <w:t>4.4 (4.2–4.7)</w:t>
            </w:r>
          </w:p>
        </w:tc>
      </w:tr>
      <w:tr w14:paraId="38061CDF">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40CE519">
            <w:pPr>
              <w:spacing w:before="0" w:after="0" w:line="240" w:lineRule="auto"/>
              <w:jc w:val="left"/>
              <w:rPr>
                <w:color w:val="auto"/>
              </w:rPr>
            </w:pPr>
            <w:r>
              <w:rPr>
                <w:rFonts w:ascii="Arial" w:hAnsi="Arial" w:eastAsia="Arial"/>
                <w:color w:val="auto"/>
                <w:sz w:val="14"/>
              </w:rPr>
              <w:t>Independent</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93352CF">
            <w:pPr>
              <w:spacing w:before="0" w:after="0" w:line="240" w:lineRule="auto"/>
              <w:jc w:val="left"/>
              <w:rPr>
                <w:color w:val="auto"/>
              </w:rPr>
            </w:pPr>
            <w:r>
              <w:rPr>
                <w:rFonts w:ascii="Arial" w:hAnsi="Arial" w:eastAsia="Arial"/>
                <w:color w:val="auto"/>
                <w:sz w:val="14"/>
              </w:rPr>
              <w:t>Arthritis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41059DF">
            <w:pPr>
              <w:spacing w:before="0" w:after="0" w:line="240" w:lineRule="auto"/>
              <w:jc w:val="left"/>
              <w:rPr>
                <w:color w:val="auto"/>
              </w:rPr>
            </w:pPr>
            <w:r>
              <w:rPr>
                <w:rFonts w:ascii="Arial" w:hAnsi="Arial" w:eastAsia="Arial"/>
                <w:color w:val="auto"/>
                <w:sz w:val="14"/>
              </w:rPr>
              <w:t>Independent</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7DEA673">
            <w:pPr>
              <w:spacing w:before="0" w:after="0" w:line="240" w:lineRule="auto"/>
              <w:jc w:val="left"/>
              <w:rPr>
                <w:color w:val="auto"/>
              </w:rPr>
            </w:pPr>
            <w:r>
              <w:rPr>
                <w:rFonts w:ascii="Arial" w:hAnsi="Arial" w:eastAsia="Arial"/>
                <w:color w:val="auto"/>
                <w:sz w:val="14"/>
              </w:rPr>
              <w:t>69075</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43B63DF">
            <w:pPr>
              <w:spacing w:before="0" w:after="0" w:line="240" w:lineRule="auto"/>
              <w:jc w:val="left"/>
              <w:rPr>
                <w:color w:val="auto"/>
              </w:rPr>
            </w:pPr>
            <w:r>
              <w:rPr>
                <w:rFonts w:ascii="Arial" w:hAnsi="Arial" w:eastAsia="Arial"/>
                <w:color w:val="auto"/>
                <w:sz w:val="14"/>
              </w:rPr>
              <w:t>17540</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5829CE29">
            <w:pPr>
              <w:spacing w:before="0" w:after="0" w:line="240" w:lineRule="auto"/>
              <w:jc w:val="left"/>
              <w:rPr>
                <w:color w:val="auto"/>
              </w:rPr>
            </w:pPr>
            <w:r>
              <w:rPr>
                <w:rFonts w:ascii="Arial" w:hAnsi="Arial" w:eastAsia="Arial"/>
                <w:color w:val="auto"/>
                <w:sz w:val="14"/>
              </w:rPr>
              <w:t>79.4 (78.9–79.8)</w:t>
            </w:r>
          </w:p>
        </w:tc>
      </w:tr>
      <w:tr w14:paraId="7477A2CF">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8AE45A1">
            <w:pPr>
              <w:spacing w:before="0" w:after="0" w:line="240" w:lineRule="auto"/>
              <w:jc w:val="left"/>
              <w:rPr>
                <w:color w:val="auto"/>
              </w:rPr>
            </w:pPr>
            <w:r>
              <w:rPr>
                <w:rFonts w:ascii="Arial" w:hAnsi="Arial" w:eastAsia="Arial"/>
                <w:color w:val="auto"/>
                <w:sz w:val="14"/>
              </w:rPr>
              <w:t>Independent</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672B235">
            <w:pPr>
              <w:spacing w:before="0" w:after="0" w:line="240" w:lineRule="auto"/>
              <w:jc w:val="left"/>
              <w:rPr>
                <w:color w:val="auto"/>
              </w:rPr>
            </w:pPr>
            <w:r>
              <w:rPr>
                <w:rFonts w:ascii="Arial" w:hAnsi="Arial" w:eastAsia="Arial"/>
                <w:color w:val="auto"/>
                <w:sz w:val="14"/>
              </w:rPr>
              <w:t>Arthritis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606614C">
            <w:pPr>
              <w:spacing w:before="0" w:after="0" w:line="240" w:lineRule="auto"/>
              <w:jc w:val="left"/>
              <w:rPr>
                <w:color w:val="auto"/>
              </w:rPr>
            </w:pPr>
            <w:r>
              <w:rPr>
                <w:rFonts w:ascii="Arial" w:hAnsi="Arial" w:eastAsia="Arial"/>
                <w:color w:val="auto"/>
                <w:sz w:val="14"/>
              </w:rPr>
              <w:t>IADL limitation</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0D3C5B6A">
            <w:pPr>
              <w:spacing w:before="0" w:after="0" w:line="240" w:lineRule="auto"/>
              <w:jc w:val="left"/>
              <w:rPr>
                <w:color w:val="auto"/>
              </w:rPr>
            </w:pPr>
            <w:r>
              <w:rPr>
                <w:rFonts w:ascii="Arial" w:hAnsi="Arial" w:eastAsia="Arial"/>
                <w:color w:val="auto"/>
                <w:sz w:val="14"/>
              </w:rPr>
              <w:t>69075</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31C8D69">
            <w:pPr>
              <w:spacing w:before="0" w:after="0" w:line="240" w:lineRule="auto"/>
              <w:jc w:val="left"/>
              <w:rPr>
                <w:color w:val="auto"/>
              </w:rPr>
            </w:pPr>
            <w:r>
              <w:rPr>
                <w:rFonts w:ascii="Arial" w:hAnsi="Arial" w:eastAsia="Arial"/>
                <w:color w:val="auto"/>
                <w:sz w:val="14"/>
              </w:rPr>
              <w:t>17540</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7FB05C7A">
            <w:pPr>
              <w:spacing w:before="0" w:after="0" w:line="240" w:lineRule="auto"/>
              <w:jc w:val="left"/>
              <w:rPr>
                <w:color w:val="auto"/>
              </w:rPr>
            </w:pPr>
            <w:r>
              <w:rPr>
                <w:rFonts w:ascii="Arial" w:hAnsi="Arial" w:eastAsia="Arial"/>
                <w:color w:val="auto"/>
                <w:sz w:val="14"/>
              </w:rPr>
              <w:t>4.6 (4.4–4.9)</w:t>
            </w:r>
          </w:p>
        </w:tc>
      </w:tr>
      <w:tr w14:paraId="3EC06747">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F7526F0">
            <w:pPr>
              <w:spacing w:before="0" w:after="0" w:line="240" w:lineRule="auto"/>
              <w:jc w:val="left"/>
              <w:rPr>
                <w:color w:val="auto"/>
              </w:rPr>
            </w:pPr>
            <w:r>
              <w:rPr>
                <w:rFonts w:ascii="Arial" w:hAnsi="Arial" w:eastAsia="Arial"/>
                <w:color w:val="auto"/>
                <w:sz w:val="14"/>
              </w:rPr>
              <w:t>Independent</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138C56C">
            <w:pPr>
              <w:spacing w:before="0" w:after="0" w:line="240" w:lineRule="auto"/>
              <w:jc w:val="left"/>
              <w:rPr>
                <w:color w:val="auto"/>
              </w:rPr>
            </w:pPr>
            <w:r>
              <w:rPr>
                <w:rFonts w:ascii="Arial" w:hAnsi="Arial" w:eastAsia="Arial"/>
                <w:color w:val="auto"/>
                <w:sz w:val="14"/>
              </w:rPr>
              <w:t>Arthritis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692ED43">
            <w:pPr>
              <w:spacing w:before="0" w:after="0" w:line="240" w:lineRule="auto"/>
              <w:jc w:val="left"/>
              <w:rPr>
                <w:color w:val="auto"/>
              </w:rPr>
            </w:pPr>
            <w:r>
              <w:rPr>
                <w:rFonts w:ascii="Arial" w:hAnsi="Arial" w:eastAsia="Arial"/>
                <w:color w:val="auto"/>
                <w:sz w:val="14"/>
              </w:rPr>
              <w:t>ADL disability</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27DC1F5A">
            <w:pPr>
              <w:spacing w:before="0" w:after="0" w:line="240" w:lineRule="auto"/>
              <w:jc w:val="left"/>
              <w:rPr>
                <w:color w:val="auto"/>
              </w:rPr>
            </w:pPr>
            <w:r>
              <w:rPr>
                <w:rFonts w:ascii="Arial" w:hAnsi="Arial" w:eastAsia="Arial"/>
                <w:color w:val="auto"/>
                <w:sz w:val="14"/>
              </w:rPr>
              <w:t>69075</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6D90A97B">
            <w:pPr>
              <w:spacing w:before="0" w:after="0" w:line="240" w:lineRule="auto"/>
              <w:jc w:val="left"/>
              <w:rPr>
                <w:color w:val="auto"/>
              </w:rPr>
            </w:pPr>
            <w:r>
              <w:rPr>
                <w:rFonts w:ascii="Arial" w:hAnsi="Arial" w:eastAsia="Arial"/>
                <w:color w:val="auto"/>
                <w:sz w:val="14"/>
              </w:rPr>
              <w:t>17540</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1B8546DA">
            <w:pPr>
              <w:spacing w:before="0" w:after="0" w:line="240" w:lineRule="auto"/>
              <w:jc w:val="left"/>
              <w:rPr>
                <w:color w:val="auto"/>
              </w:rPr>
            </w:pPr>
            <w:r>
              <w:rPr>
                <w:rFonts w:ascii="Arial" w:hAnsi="Arial" w:eastAsia="Arial"/>
                <w:color w:val="auto"/>
                <w:sz w:val="14"/>
              </w:rPr>
              <w:t>11.1 (10.8–11.5)</w:t>
            </w:r>
          </w:p>
        </w:tc>
      </w:tr>
      <w:tr w14:paraId="297750DE">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8098895">
            <w:pPr>
              <w:spacing w:before="0" w:after="0" w:line="240" w:lineRule="auto"/>
              <w:jc w:val="left"/>
              <w:rPr>
                <w:color w:val="auto"/>
              </w:rPr>
            </w:pPr>
            <w:r>
              <w:rPr>
                <w:rFonts w:ascii="Arial" w:hAnsi="Arial" w:eastAsia="Arial"/>
                <w:color w:val="auto"/>
                <w:sz w:val="14"/>
              </w:rPr>
              <w:t>Independent</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3063592F">
            <w:pPr>
              <w:spacing w:before="0" w:after="0" w:line="240" w:lineRule="auto"/>
              <w:jc w:val="left"/>
              <w:rPr>
                <w:color w:val="auto"/>
              </w:rPr>
            </w:pPr>
            <w:r>
              <w:rPr>
                <w:rFonts w:ascii="Arial" w:hAnsi="Arial" w:eastAsia="Arial"/>
                <w:color w:val="auto"/>
                <w:sz w:val="14"/>
              </w:rPr>
              <w:t>Arthritis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8F149B3">
            <w:pPr>
              <w:spacing w:before="0" w:after="0" w:line="240" w:lineRule="auto"/>
              <w:jc w:val="left"/>
              <w:rPr>
                <w:color w:val="auto"/>
              </w:rPr>
            </w:pPr>
            <w:r>
              <w:rPr>
                <w:rFonts w:ascii="Arial" w:hAnsi="Arial" w:eastAsia="Arial"/>
                <w:color w:val="auto"/>
                <w:sz w:val="14"/>
              </w:rPr>
              <w:t>Death</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4EED3FC4">
            <w:pPr>
              <w:spacing w:before="0" w:after="0" w:line="240" w:lineRule="auto"/>
              <w:jc w:val="left"/>
              <w:rPr>
                <w:color w:val="auto"/>
              </w:rPr>
            </w:pPr>
            <w:r>
              <w:rPr>
                <w:rFonts w:ascii="Arial" w:hAnsi="Arial" w:eastAsia="Arial"/>
                <w:color w:val="auto"/>
                <w:sz w:val="14"/>
              </w:rPr>
              <w:t>69075</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27E5B447">
            <w:pPr>
              <w:spacing w:before="0" w:after="0" w:line="240" w:lineRule="auto"/>
              <w:jc w:val="left"/>
              <w:rPr>
                <w:color w:val="auto"/>
              </w:rPr>
            </w:pPr>
            <w:r>
              <w:rPr>
                <w:rFonts w:ascii="Arial" w:hAnsi="Arial" w:eastAsia="Arial"/>
                <w:color w:val="auto"/>
                <w:sz w:val="14"/>
              </w:rPr>
              <w:t>17540</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784BDAFC">
            <w:pPr>
              <w:spacing w:before="0" w:after="0" w:line="240" w:lineRule="auto"/>
              <w:jc w:val="left"/>
              <w:rPr>
                <w:color w:val="auto"/>
              </w:rPr>
            </w:pPr>
            <w:r>
              <w:rPr>
                <w:rFonts w:ascii="Arial" w:hAnsi="Arial" w:eastAsia="Arial"/>
                <w:color w:val="auto"/>
                <w:sz w:val="14"/>
              </w:rPr>
              <w:t>4.8 (4.6–5.0)</w:t>
            </w:r>
          </w:p>
        </w:tc>
      </w:tr>
      <w:tr w14:paraId="62F0DE6C">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0D848EF">
            <w:pPr>
              <w:spacing w:before="0" w:after="0" w:line="240" w:lineRule="auto"/>
              <w:jc w:val="left"/>
              <w:rPr>
                <w:color w:val="auto"/>
              </w:rPr>
            </w:pPr>
            <w:r>
              <w:rPr>
                <w:rFonts w:ascii="Arial" w:hAnsi="Arial" w:eastAsia="Arial"/>
                <w:color w:val="auto"/>
                <w:sz w:val="14"/>
              </w:rPr>
              <w:t>Independent</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8F410F6">
            <w:pPr>
              <w:spacing w:before="0" w:after="0" w:line="240" w:lineRule="auto"/>
              <w:jc w:val="left"/>
              <w:rPr>
                <w:color w:val="auto"/>
              </w:rPr>
            </w:pPr>
            <w:r>
              <w:rPr>
                <w:rFonts w:ascii="Arial" w:hAnsi="Arial" w:eastAsia="Arial"/>
                <w:color w:val="auto"/>
                <w:sz w:val="14"/>
              </w:rPr>
              <w:t>Diabetes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3E46430">
            <w:pPr>
              <w:spacing w:before="0" w:after="0" w:line="240" w:lineRule="auto"/>
              <w:jc w:val="left"/>
              <w:rPr>
                <w:color w:val="auto"/>
              </w:rPr>
            </w:pPr>
            <w:r>
              <w:rPr>
                <w:rFonts w:ascii="Arial" w:hAnsi="Arial" w:eastAsia="Arial"/>
                <w:color w:val="auto"/>
                <w:sz w:val="14"/>
              </w:rPr>
              <w:t>Independent</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004F6F0">
            <w:pPr>
              <w:spacing w:before="0" w:after="0" w:line="240" w:lineRule="auto"/>
              <w:jc w:val="left"/>
              <w:rPr>
                <w:color w:val="auto"/>
              </w:rPr>
            </w:pPr>
            <w:r>
              <w:rPr>
                <w:rFonts w:ascii="Arial" w:hAnsi="Arial" w:eastAsia="Arial"/>
                <w:color w:val="auto"/>
                <w:sz w:val="14"/>
              </w:rPr>
              <w:t>69075</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5E0C18C">
            <w:pPr>
              <w:spacing w:before="0" w:after="0" w:line="240" w:lineRule="auto"/>
              <w:jc w:val="left"/>
              <w:rPr>
                <w:color w:val="auto"/>
              </w:rPr>
            </w:pPr>
            <w:r>
              <w:rPr>
                <w:rFonts w:ascii="Arial" w:hAnsi="Arial" w:eastAsia="Arial"/>
                <w:color w:val="auto"/>
                <w:sz w:val="14"/>
              </w:rPr>
              <w:t>17540</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67B15A66">
            <w:pPr>
              <w:spacing w:before="0" w:after="0" w:line="240" w:lineRule="auto"/>
              <w:jc w:val="left"/>
              <w:rPr>
                <w:color w:val="auto"/>
              </w:rPr>
            </w:pPr>
            <w:r>
              <w:rPr>
                <w:rFonts w:ascii="Arial" w:hAnsi="Arial" w:eastAsia="Arial"/>
                <w:color w:val="auto"/>
                <w:sz w:val="14"/>
              </w:rPr>
              <w:t>81.1 (80.0–82.2)</w:t>
            </w:r>
          </w:p>
        </w:tc>
      </w:tr>
      <w:tr w14:paraId="008BFED7">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642F587">
            <w:pPr>
              <w:spacing w:before="0" w:after="0" w:line="240" w:lineRule="auto"/>
              <w:jc w:val="left"/>
              <w:rPr>
                <w:color w:val="auto"/>
              </w:rPr>
            </w:pPr>
            <w:r>
              <w:rPr>
                <w:rFonts w:ascii="Arial" w:hAnsi="Arial" w:eastAsia="Arial"/>
                <w:color w:val="auto"/>
                <w:sz w:val="14"/>
              </w:rPr>
              <w:t>Independent</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440BFB1">
            <w:pPr>
              <w:spacing w:before="0" w:after="0" w:line="240" w:lineRule="auto"/>
              <w:jc w:val="left"/>
              <w:rPr>
                <w:color w:val="auto"/>
              </w:rPr>
            </w:pPr>
            <w:r>
              <w:rPr>
                <w:rFonts w:ascii="Arial" w:hAnsi="Arial" w:eastAsia="Arial"/>
                <w:color w:val="auto"/>
                <w:sz w:val="14"/>
              </w:rPr>
              <w:t>Diabetes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62E4F3C">
            <w:pPr>
              <w:spacing w:before="0" w:after="0" w:line="240" w:lineRule="auto"/>
              <w:jc w:val="left"/>
              <w:rPr>
                <w:color w:val="auto"/>
              </w:rPr>
            </w:pPr>
            <w:r>
              <w:rPr>
                <w:rFonts w:ascii="Arial" w:hAnsi="Arial" w:eastAsia="Arial"/>
                <w:color w:val="auto"/>
                <w:sz w:val="14"/>
              </w:rPr>
              <w:t>IADL limitation</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479C6DBE">
            <w:pPr>
              <w:spacing w:before="0" w:after="0" w:line="240" w:lineRule="auto"/>
              <w:jc w:val="left"/>
              <w:rPr>
                <w:color w:val="auto"/>
              </w:rPr>
            </w:pPr>
            <w:r>
              <w:rPr>
                <w:rFonts w:ascii="Arial" w:hAnsi="Arial" w:eastAsia="Arial"/>
                <w:color w:val="auto"/>
                <w:sz w:val="14"/>
              </w:rPr>
              <w:t>69075</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501650A">
            <w:pPr>
              <w:spacing w:before="0" w:after="0" w:line="240" w:lineRule="auto"/>
              <w:jc w:val="left"/>
              <w:rPr>
                <w:color w:val="auto"/>
              </w:rPr>
            </w:pPr>
            <w:r>
              <w:rPr>
                <w:rFonts w:ascii="Arial" w:hAnsi="Arial" w:eastAsia="Arial"/>
                <w:color w:val="auto"/>
                <w:sz w:val="14"/>
              </w:rPr>
              <w:t>17540</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23726118">
            <w:pPr>
              <w:spacing w:before="0" w:after="0" w:line="240" w:lineRule="auto"/>
              <w:jc w:val="left"/>
              <w:rPr>
                <w:color w:val="auto"/>
              </w:rPr>
            </w:pPr>
            <w:r>
              <w:rPr>
                <w:rFonts w:ascii="Arial" w:hAnsi="Arial" w:eastAsia="Arial"/>
                <w:color w:val="auto"/>
                <w:sz w:val="14"/>
              </w:rPr>
              <w:t>5.2 (4.6–5.9)</w:t>
            </w:r>
          </w:p>
        </w:tc>
      </w:tr>
      <w:tr w14:paraId="08996646">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95735D8">
            <w:pPr>
              <w:spacing w:before="0" w:after="0" w:line="240" w:lineRule="auto"/>
              <w:jc w:val="left"/>
              <w:rPr>
                <w:color w:val="auto"/>
              </w:rPr>
            </w:pPr>
            <w:r>
              <w:rPr>
                <w:rFonts w:ascii="Arial" w:hAnsi="Arial" w:eastAsia="Arial"/>
                <w:color w:val="auto"/>
                <w:sz w:val="14"/>
              </w:rPr>
              <w:t>Independent</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D43BB62">
            <w:pPr>
              <w:spacing w:before="0" w:after="0" w:line="240" w:lineRule="auto"/>
              <w:jc w:val="left"/>
              <w:rPr>
                <w:color w:val="auto"/>
              </w:rPr>
            </w:pPr>
            <w:r>
              <w:rPr>
                <w:rFonts w:ascii="Arial" w:hAnsi="Arial" w:eastAsia="Arial"/>
                <w:color w:val="auto"/>
                <w:sz w:val="14"/>
              </w:rPr>
              <w:t>Diabetes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02DDA66">
            <w:pPr>
              <w:spacing w:before="0" w:after="0" w:line="240" w:lineRule="auto"/>
              <w:jc w:val="left"/>
              <w:rPr>
                <w:color w:val="auto"/>
              </w:rPr>
            </w:pPr>
            <w:r>
              <w:rPr>
                <w:rFonts w:ascii="Arial" w:hAnsi="Arial" w:eastAsia="Arial"/>
                <w:color w:val="auto"/>
                <w:sz w:val="14"/>
              </w:rPr>
              <w:t>ADL disability</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9BE9272">
            <w:pPr>
              <w:spacing w:before="0" w:after="0" w:line="240" w:lineRule="auto"/>
              <w:jc w:val="left"/>
              <w:rPr>
                <w:color w:val="auto"/>
              </w:rPr>
            </w:pPr>
            <w:r>
              <w:rPr>
                <w:rFonts w:ascii="Arial" w:hAnsi="Arial" w:eastAsia="Arial"/>
                <w:color w:val="auto"/>
                <w:sz w:val="14"/>
              </w:rPr>
              <w:t>69075</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03F6219A">
            <w:pPr>
              <w:spacing w:before="0" w:after="0" w:line="240" w:lineRule="auto"/>
              <w:jc w:val="left"/>
              <w:rPr>
                <w:color w:val="auto"/>
              </w:rPr>
            </w:pPr>
            <w:r>
              <w:rPr>
                <w:rFonts w:ascii="Arial" w:hAnsi="Arial" w:eastAsia="Arial"/>
                <w:color w:val="auto"/>
                <w:sz w:val="14"/>
              </w:rPr>
              <w:t>17540</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64ADC02C">
            <w:pPr>
              <w:spacing w:before="0" w:after="0" w:line="240" w:lineRule="auto"/>
              <w:jc w:val="left"/>
              <w:rPr>
                <w:color w:val="auto"/>
              </w:rPr>
            </w:pPr>
            <w:r>
              <w:rPr>
                <w:rFonts w:ascii="Arial" w:hAnsi="Arial" w:eastAsia="Arial"/>
                <w:color w:val="auto"/>
                <w:sz w:val="14"/>
              </w:rPr>
              <w:t>7.7 (7.0–8.6)</w:t>
            </w:r>
          </w:p>
        </w:tc>
      </w:tr>
      <w:tr w14:paraId="0CEBCA6C">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32AEDEBC">
            <w:pPr>
              <w:spacing w:before="0" w:after="0" w:line="240" w:lineRule="auto"/>
              <w:jc w:val="left"/>
              <w:rPr>
                <w:color w:val="auto"/>
              </w:rPr>
            </w:pPr>
            <w:r>
              <w:rPr>
                <w:rFonts w:ascii="Arial" w:hAnsi="Arial" w:eastAsia="Arial"/>
                <w:color w:val="auto"/>
                <w:sz w:val="14"/>
              </w:rPr>
              <w:t>Independent</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AA24CD0">
            <w:pPr>
              <w:spacing w:before="0" w:after="0" w:line="240" w:lineRule="auto"/>
              <w:jc w:val="left"/>
              <w:rPr>
                <w:color w:val="auto"/>
              </w:rPr>
            </w:pPr>
            <w:r>
              <w:rPr>
                <w:rFonts w:ascii="Arial" w:hAnsi="Arial" w:eastAsia="Arial"/>
                <w:color w:val="auto"/>
                <w:sz w:val="14"/>
              </w:rPr>
              <w:t>Diabetes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C885EE8">
            <w:pPr>
              <w:spacing w:before="0" w:after="0" w:line="240" w:lineRule="auto"/>
              <w:jc w:val="left"/>
              <w:rPr>
                <w:color w:val="auto"/>
              </w:rPr>
            </w:pPr>
            <w:r>
              <w:rPr>
                <w:rFonts w:ascii="Arial" w:hAnsi="Arial" w:eastAsia="Arial"/>
                <w:color w:val="auto"/>
                <w:sz w:val="14"/>
              </w:rPr>
              <w:t>Death</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0F52632">
            <w:pPr>
              <w:spacing w:before="0" w:after="0" w:line="240" w:lineRule="auto"/>
              <w:jc w:val="left"/>
              <w:rPr>
                <w:color w:val="auto"/>
              </w:rPr>
            </w:pPr>
            <w:r>
              <w:rPr>
                <w:rFonts w:ascii="Arial" w:hAnsi="Arial" w:eastAsia="Arial"/>
                <w:color w:val="auto"/>
                <w:sz w:val="14"/>
              </w:rPr>
              <w:t>69075</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9077665">
            <w:pPr>
              <w:spacing w:before="0" w:after="0" w:line="240" w:lineRule="auto"/>
              <w:jc w:val="left"/>
              <w:rPr>
                <w:color w:val="auto"/>
              </w:rPr>
            </w:pPr>
            <w:r>
              <w:rPr>
                <w:rFonts w:ascii="Arial" w:hAnsi="Arial" w:eastAsia="Arial"/>
                <w:color w:val="auto"/>
                <w:sz w:val="14"/>
              </w:rPr>
              <w:t>17540</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0D7700D8">
            <w:pPr>
              <w:spacing w:before="0" w:after="0" w:line="240" w:lineRule="auto"/>
              <w:jc w:val="left"/>
              <w:rPr>
                <w:color w:val="auto"/>
              </w:rPr>
            </w:pPr>
            <w:r>
              <w:rPr>
                <w:rFonts w:ascii="Arial" w:hAnsi="Arial" w:eastAsia="Arial"/>
                <w:color w:val="auto"/>
                <w:sz w:val="14"/>
              </w:rPr>
              <w:t>6.0 (5.4–6.7)</w:t>
            </w:r>
          </w:p>
        </w:tc>
      </w:tr>
      <w:tr w14:paraId="3810BA2D">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59D367B">
            <w:pPr>
              <w:spacing w:before="0" w:after="0" w:line="240" w:lineRule="auto"/>
              <w:jc w:val="left"/>
              <w:rPr>
                <w:color w:val="auto"/>
              </w:rPr>
            </w:pPr>
            <w:r>
              <w:rPr>
                <w:rFonts w:ascii="Arial" w:hAnsi="Arial" w:eastAsia="Arial"/>
                <w:color w:val="auto"/>
                <w:sz w:val="14"/>
              </w:rPr>
              <w:t>Independent</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AA5BC29">
            <w:pPr>
              <w:spacing w:before="0" w:after="0" w:line="240" w:lineRule="auto"/>
              <w:jc w:val="left"/>
              <w:rPr>
                <w:color w:val="auto"/>
              </w:rPr>
            </w:pPr>
            <w:r>
              <w:rPr>
                <w:rFonts w:ascii="Arial" w:hAnsi="Arial" w:eastAsia="Arial"/>
                <w:color w:val="auto"/>
                <w:sz w:val="14"/>
              </w:rPr>
              <w:t>Comorbidity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51C0302">
            <w:pPr>
              <w:spacing w:before="0" w:after="0" w:line="240" w:lineRule="auto"/>
              <w:jc w:val="left"/>
              <w:rPr>
                <w:color w:val="auto"/>
              </w:rPr>
            </w:pPr>
            <w:r>
              <w:rPr>
                <w:rFonts w:ascii="Arial" w:hAnsi="Arial" w:eastAsia="Arial"/>
                <w:color w:val="auto"/>
                <w:sz w:val="14"/>
              </w:rPr>
              <w:t>Independent</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61F3343A">
            <w:pPr>
              <w:spacing w:before="0" w:after="0" w:line="240" w:lineRule="auto"/>
              <w:jc w:val="left"/>
              <w:rPr>
                <w:color w:val="auto"/>
              </w:rPr>
            </w:pPr>
            <w:r>
              <w:rPr>
                <w:rFonts w:ascii="Arial" w:hAnsi="Arial" w:eastAsia="Arial"/>
                <w:color w:val="auto"/>
                <w:sz w:val="14"/>
              </w:rPr>
              <w:t>69075</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87AB294">
            <w:pPr>
              <w:spacing w:before="0" w:after="0" w:line="240" w:lineRule="auto"/>
              <w:jc w:val="left"/>
              <w:rPr>
                <w:color w:val="auto"/>
              </w:rPr>
            </w:pPr>
            <w:r>
              <w:rPr>
                <w:rFonts w:ascii="Arial" w:hAnsi="Arial" w:eastAsia="Arial"/>
                <w:color w:val="auto"/>
                <w:sz w:val="14"/>
              </w:rPr>
              <w:t>17540</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5990DE4B">
            <w:pPr>
              <w:spacing w:before="0" w:after="0" w:line="240" w:lineRule="auto"/>
              <w:jc w:val="left"/>
              <w:rPr>
                <w:color w:val="auto"/>
              </w:rPr>
            </w:pPr>
            <w:r>
              <w:rPr>
                <w:rFonts w:ascii="Arial" w:hAnsi="Arial" w:eastAsia="Arial"/>
                <w:color w:val="auto"/>
                <w:sz w:val="14"/>
              </w:rPr>
              <w:t>76.4 (75.4–77.2)</w:t>
            </w:r>
          </w:p>
        </w:tc>
      </w:tr>
      <w:tr w14:paraId="4B18ADF2">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B90E8F9">
            <w:pPr>
              <w:spacing w:before="0" w:after="0" w:line="240" w:lineRule="auto"/>
              <w:jc w:val="left"/>
              <w:rPr>
                <w:color w:val="auto"/>
              </w:rPr>
            </w:pPr>
            <w:r>
              <w:rPr>
                <w:rFonts w:ascii="Arial" w:hAnsi="Arial" w:eastAsia="Arial"/>
                <w:color w:val="auto"/>
                <w:sz w:val="14"/>
              </w:rPr>
              <w:t>Independent</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37B11496">
            <w:pPr>
              <w:spacing w:before="0" w:after="0" w:line="240" w:lineRule="auto"/>
              <w:jc w:val="left"/>
              <w:rPr>
                <w:color w:val="auto"/>
              </w:rPr>
            </w:pPr>
            <w:r>
              <w:rPr>
                <w:rFonts w:ascii="Arial" w:hAnsi="Arial" w:eastAsia="Arial"/>
                <w:color w:val="auto"/>
                <w:sz w:val="14"/>
              </w:rPr>
              <w:t>Comorbidity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472E47E">
            <w:pPr>
              <w:spacing w:before="0" w:after="0" w:line="240" w:lineRule="auto"/>
              <w:jc w:val="left"/>
              <w:rPr>
                <w:color w:val="auto"/>
              </w:rPr>
            </w:pPr>
            <w:r>
              <w:rPr>
                <w:rFonts w:ascii="Arial" w:hAnsi="Arial" w:eastAsia="Arial"/>
                <w:color w:val="auto"/>
                <w:sz w:val="14"/>
              </w:rPr>
              <w:t>IADL limitation</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78C73A8">
            <w:pPr>
              <w:spacing w:before="0" w:after="0" w:line="240" w:lineRule="auto"/>
              <w:jc w:val="left"/>
              <w:rPr>
                <w:color w:val="auto"/>
              </w:rPr>
            </w:pPr>
            <w:r>
              <w:rPr>
                <w:rFonts w:ascii="Arial" w:hAnsi="Arial" w:eastAsia="Arial"/>
                <w:color w:val="auto"/>
                <w:sz w:val="14"/>
              </w:rPr>
              <w:t>69075</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E50659C">
            <w:pPr>
              <w:spacing w:before="0" w:after="0" w:line="240" w:lineRule="auto"/>
              <w:jc w:val="left"/>
              <w:rPr>
                <w:color w:val="auto"/>
              </w:rPr>
            </w:pPr>
            <w:r>
              <w:rPr>
                <w:rFonts w:ascii="Arial" w:hAnsi="Arial" w:eastAsia="Arial"/>
                <w:color w:val="auto"/>
                <w:sz w:val="14"/>
              </w:rPr>
              <w:t>17540</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37940397">
            <w:pPr>
              <w:spacing w:before="0" w:after="0" w:line="240" w:lineRule="auto"/>
              <w:jc w:val="left"/>
              <w:rPr>
                <w:color w:val="auto"/>
              </w:rPr>
            </w:pPr>
            <w:r>
              <w:rPr>
                <w:rFonts w:ascii="Arial" w:hAnsi="Arial" w:eastAsia="Arial"/>
                <w:color w:val="auto"/>
                <w:sz w:val="14"/>
              </w:rPr>
              <w:t>4.8 (4.4–5.3)</w:t>
            </w:r>
          </w:p>
        </w:tc>
      </w:tr>
      <w:tr w14:paraId="5AE53866">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AD279DD">
            <w:pPr>
              <w:spacing w:before="0" w:after="0" w:line="240" w:lineRule="auto"/>
              <w:jc w:val="left"/>
              <w:rPr>
                <w:color w:val="auto"/>
              </w:rPr>
            </w:pPr>
            <w:r>
              <w:rPr>
                <w:rFonts w:ascii="Arial" w:hAnsi="Arial" w:eastAsia="Arial"/>
                <w:color w:val="auto"/>
                <w:sz w:val="14"/>
              </w:rPr>
              <w:t>Independent</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03289EB">
            <w:pPr>
              <w:spacing w:before="0" w:after="0" w:line="240" w:lineRule="auto"/>
              <w:jc w:val="left"/>
              <w:rPr>
                <w:color w:val="auto"/>
              </w:rPr>
            </w:pPr>
            <w:r>
              <w:rPr>
                <w:rFonts w:ascii="Arial" w:hAnsi="Arial" w:eastAsia="Arial"/>
                <w:color w:val="auto"/>
                <w:sz w:val="14"/>
              </w:rPr>
              <w:t>Comorbidity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C57BF5C">
            <w:pPr>
              <w:spacing w:before="0" w:after="0" w:line="240" w:lineRule="auto"/>
              <w:jc w:val="left"/>
              <w:rPr>
                <w:color w:val="auto"/>
              </w:rPr>
            </w:pPr>
            <w:r>
              <w:rPr>
                <w:rFonts w:ascii="Arial" w:hAnsi="Arial" w:eastAsia="Arial"/>
                <w:color w:val="auto"/>
                <w:sz w:val="14"/>
              </w:rPr>
              <w:t>ADL disability</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0D7CECF4">
            <w:pPr>
              <w:spacing w:before="0" w:after="0" w:line="240" w:lineRule="auto"/>
              <w:jc w:val="left"/>
              <w:rPr>
                <w:color w:val="auto"/>
              </w:rPr>
            </w:pPr>
            <w:r>
              <w:rPr>
                <w:rFonts w:ascii="Arial" w:hAnsi="Arial" w:eastAsia="Arial"/>
                <w:color w:val="auto"/>
                <w:sz w:val="14"/>
              </w:rPr>
              <w:t>69075</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0DA56BEE">
            <w:pPr>
              <w:spacing w:before="0" w:after="0" w:line="240" w:lineRule="auto"/>
              <w:jc w:val="left"/>
              <w:rPr>
                <w:color w:val="auto"/>
              </w:rPr>
            </w:pPr>
            <w:r>
              <w:rPr>
                <w:rFonts w:ascii="Arial" w:hAnsi="Arial" w:eastAsia="Arial"/>
                <w:color w:val="auto"/>
                <w:sz w:val="14"/>
              </w:rPr>
              <w:t>17540</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107EAC51">
            <w:pPr>
              <w:spacing w:before="0" w:after="0" w:line="240" w:lineRule="auto"/>
              <w:jc w:val="left"/>
              <w:rPr>
                <w:color w:val="auto"/>
              </w:rPr>
            </w:pPr>
            <w:r>
              <w:rPr>
                <w:rFonts w:ascii="Arial" w:hAnsi="Arial" w:eastAsia="Arial"/>
                <w:color w:val="auto"/>
                <w:sz w:val="14"/>
              </w:rPr>
              <w:t>12.2 (11.6–12.9)</w:t>
            </w:r>
          </w:p>
        </w:tc>
      </w:tr>
      <w:tr w14:paraId="628F5E25">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83275D8">
            <w:pPr>
              <w:spacing w:before="0" w:after="0" w:line="240" w:lineRule="auto"/>
              <w:jc w:val="left"/>
              <w:rPr>
                <w:color w:val="auto"/>
              </w:rPr>
            </w:pPr>
            <w:r>
              <w:rPr>
                <w:rFonts w:ascii="Arial" w:hAnsi="Arial" w:eastAsia="Arial"/>
                <w:color w:val="auto"/>
                <w:sz w:val="14"/>
              </w:rPr>
              <w:t>Independent</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34A3A823">
            <w:pPr>
              <w:spacing w:before="0" w:after="0" w:line="240" w:lineRule="auto"/>
              <w:jc w:val="left"/>
              <w:rPr>
                <w:color w:val="auto"/>
              </w:rPr>
            </w:pPr>
            <w:r>
              <w:rPr>
                <w:rFonts w:ascii="Arial" w:hAnsi="Arial" w:eastAsia="Arial"/>
                <w:color w:val="auto"/>
                <w:sz w:val="14"/>
              </w:rPr>
              <w:t>Comorbidity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E0B4444">
            <w:pPr>
              <w:spacing w:before="0" w:after="0" w:line="240" w:lineRule="auto"/>
              <w:jc w:val="left"/>
              <w:rPr>
                <w:color w:val="auto"/>
              </w:rPr>
            </w:pPr>
            <w:r>
              <w:rPr>
                <w:rFonts w:ascii="Arial" w:hAnsi="Arial" w:eastAsia="Arial"/>
                <w:color w:val="auto"/>
                <w:sz w:val="14"/>
              </w:rPr>
              <w:t>Death</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C82CBCE">
            <w:pPr>
              <w:spacing w:before="0" w:after="0" w:line="240" w:lineRule="auto"/>
              <w:jc w:val="left"/>
              <w:rPr>
                <w:color w:val="auto"/>
              </w:rPr>
            </w:pPr>
            <w:r>
              <w:rPr>
                <w:rFonts w:ascii="Arial" w:hAnsi="Arial" w:eastAsia="Arial"/>
                <w:color w:val="auto"/>
                <w:sz w:val="14"/>
              </w:rPr>
              <w:t>69075</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6300D08D">
            <w:pPr>
              <w:spacing w:before="0" w:after="0" w:line="240" w:lineRule="auto"/>
              <w:jc w:val="left"/>
              <w:rPr>
                <w:color w:val="auto"/>
              </w:rPr>
            </w:pPr>
            <w:r>
              <w:rPr>
                <w:rFonts w:ascii="Arial" w:hAnsi="Arial" w:eastAsia="Arial"/>
                <w:color w:val="auto"/>
                <w:sz w:val="14"/>
              </w:rPr>
              <w:t>17540</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28863B66">
            <w:pPr>
              <w:spacing w:before="0" w:after="0" w:line="240" w:lineRule="auto"/>
              <w:jc w:val="left"/>
              <w:rPr>
                <w:color w:val="auto"/>
              </w:rPr>
            </w:pPr>
            <w:r>
              <w:rPr>
                <w:rFonts w:ascii="Arial" w:hAnsi="Arial" w:eastAsia="Arial"/>
                <w:color w:val="auto"/>
                <w:sz w:val="14"/>
              </w:rPr>
              <w:t>6.6 (6.1–7.1)</w:t>
            </w:r>
          </w:p>
        </w:tc>
      </w:tr>
      <w:tr w14:paraId="0E099F0F">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FD25C11">
            <w:pPr>
              <w:spacing w:before="0" w:after="0" w:line="240" w:lineRule="auto"/>
              <w:jc w:val="left"/>
              <w:rPr>
                <w:color w:val="auto"/>
              </w:rPr>
            </w:pPr>
            <w:r>
              <w:rPr>
                <w:rFonts w:ascii="Arial" w:hAnsi="Arial" w:eastAsia="Arial"/>
                <w:color w:val="auto"/>
                <w:sz w:val="14"/>
              </w:rPr>
              <w:t>IADL limitation</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03E198F">
            <w:pPr>
              <w:spacing w:before="0" w:after="0" w:line="240" w:lineRule="auto"/>
              <w:jc w:val="left"/>
              <w:rPr>
                <w:color w:val="auto"/>
              </w:rPr>
            </w:pPr>
            <w:r>
              <w:rPr>
                <w:rFonts w:ascii="Arial" w:hAnsi="Arial" w:eastAsia="Arial"/>
                <w:color w:val="auto"/>
                <w:sz w:val="14"/>
              </w:rPr>
              <w:t>Neither</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4DC72E0">
            <w:pPr>
              <w:spacing w:before="0" w:after="0" w:line="240" w:lineRule="auto"/>
              <w:jc w:val="left"/>
              <w:rPr>
                <w:color w:val="auto"/>
              </w:rPr>
            </w:pPr>
            <w:r>
              <w:rPr>
                <w:rFonts w:ascii="Arial" w:hAnsi="Arial" w:eastAsia="Arial"/>
                <w:color w:val="auto"/>
                <w:sz w:val="14"/>
              </w:rPr>
              <w:t>IADL limitation</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26918AA2">
            <w:pPr>
              <w:spacing w:before="0" w:after="0" w:line="240" w:lineRule="auto"/>
              <w:jc w:val="left"/>
              <w:rPr>
                <w:color w:val="auto"/>
              </w:rPr>
            </w:pPr>
            <w:r>
              <w:rPr>
                <w:rFonts w:ascii="Arial" w:hAnsi="Arial" w:eastAsia="Arial"/>
                <w:color w:val="auto"/>
                <w:sz w:val="14"/>
              </w:rPr>
              <w:t>5643</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106CD2EC">
            <w:pPr>
              <w:spacing w:before="0" w:after="0" w:line="240" w:lineRule="auto"/>
              <w:jc w:val="left"/>
              <w:rPr>
                <w:color w:val="auto"/>
              </w:rPr>
            </w:pPr>
            <w:r>
              <w:rPr>
                <w:rFonts w:ascii="Arial" w:hAnsi="Arial" w:eastAsia="Arial"/>
                <w:color w:val="auto"/>
                <w:sz w:val="14"/>
              </w:rPr>
              <w:t>3855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4B3F1004">
            <w:pPr>
              <w:spacing w:before="0" w:after="0" w:line="240" w:lineRule="auto"/>
              <w:jc w:val="left"/>
              <w:rPr>
                <w:color w:val="auto"/>
              </w:rPr>
            </w:pPr>
            <w:r>
              <w:rPr>
                <w:rFonts w:ascii="Arial" w:hAnsi="Arial" w:eastAsia="Arial"/>
                <w:color w:val="auto"/>
                <w:sz w:val="14"/>
              </w:rPr>
              <w:t>27.3 (24.6–30.2)</w:t>
            </w:r>
          </w:p>
        </w:tc>
      </w:tr>
      <w:tr w14:paraId="1E24F4F6">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BC5F941">
            <w:pPr>
              <w:spacing w:before="0" w:after="0" w:line="240" w:lineRule="auto"/>
              <w:jc w:val="left"/>
              <w:rPr>
                <w:color w:val="auto"/>
              </w:rPr>
            </w:pPr>
            <w:r>
              <w:rPr>
                <w:rFonts w:ascii="Arial" w:hAnsi="Arial" w:eastAsia="Arial"/>
                <w:color w:val="auto"/>
                <w:sz w:val="14"/>
              </w:rPr>
              <w:t>IADL limitation</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A230607">
            <w:pPr>
              <w:spacing w:before="0" w:after="0" w:line="240" w:lineRule="auto"/>
              <w:jc w:val="left"/>
              <w:rPr>
                <w:color w:val="auto"/>
              </w:rPr>
            </w:pPr>
            <w:r>
              <w:rPr>
                <w:rFonts w:ascii="Arial" w:hAnsi="Arial" w:eastAsia="Arial"/>
                <w:color w:val="auto"/>
                <w:sz w:val="14"/>
              </w:rPr>
              <w:t>Neither</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6B4CB61">
            <w:pPr>
              <w:spacing w:before="0" w:after="0" w:line="240" w:lineRule="auto"/>
              <w:jc w:val="left"/>
              <w:rPr>
                <w:color w:val="auto"/>
              </w:rPr>
            </w:pPr>
            <w:r>
              <w:rPr>
                <w:rFonts w:ascii="Arial" w:hAnsi="Arial" w:eastAsia="Arial"/>
                <w:color w:val="auto"/>
                <w:sz w:val="14"/>
              </w:rPr>
              <w:t>Independent</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0D9AFD99">
            <w:pPr>
              <w:spacing w:before="0" w:after="0" w:line="240" w:lineRule="auto"/>
              <w:jc w:val="left"/>
              <w:rPr>
                <w:color w:val="auto"/>
              </w:rPr>
            </w:pPr>
            <w:r>
              <w:rPr>
                <w:rFonts w:ascii="Arial" w:hAnsi="Arial" w:eastAsia="Arial"/>
                <w:color w:val="auto"/>
                <w:sz w:val="14"/>
              </w:rPr>
              <w:t>5643</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8270F56">
            <w:pPr>
              <w:spacing w:before="0" w:after="0" w:line="240" w:lineRule="auto"/>
              <w:jc w:val="left"/>
              <w:rPr>
                <w:color w:val="auto"/>
              </w:rPr>
            </w:pPr>
            <w:r>
              <w:rPr>
                <w:rFonts w:ascii="Arial" w:hAnsi="Arial" w:eastAsia="Arial"/>
                <w:color w:val="auto"/>
                <w:sz w:val="14"/>
              </w:rPr>
              <w:t>3855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1555CBBE">
            <w:pPr>
              <w:spacing w:before="0" w:after="0" w:line="240" w:lineRule="auto"/>
              <w:jc w:val="left"/>
              <w:rPr>
                <w:color w:val="auto"/>
              </w:rPr>
            </w:pPr>
            <w:r>
              <w:rPr>
                <w:rFonts w:ascii="Arial" w:hAnsi="Arial" w:eastAsia="Arial"/>
                <w:color w:val="auto"/>
                <w:sz w:val="14"/>
              </w:rPr>
              <w:t>33.9 (31.1–36.6)</w:t>
            </w:r>
          </w:p>
        </w:tc>
      </w:tr>
      <w:tr w14:paraId="489EDD96">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D5497BA">
            <w:pPr>
              <w:spacing w:before="0" w:after="0" w:line="240" w:lineRule="auto"/>
              <w:jc w:val="left"/>
              <w:rPr>
                <w:color w:val="auto"/>
              </w:rPr>
            </w:pPr>
            <w:r>
              <w:rPr>
                <w:rFonts w:ascii="Arial" w:hAnsi="Arial" w:eastAsia="Arial"/>
                <w:color w:val="auto"/>
                <w:sz w:val="14"/>
              </w:rPr>
              <w:t>IADL limitation</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37BAAEF">
            <w:pPr>
              <w:spacing w:before="0" w:after="0" w:line="240" w:lineRule="auto"/>
              <w:jc w:val="left"/>
              <w:rPr>
                <w:color w:val="auto"/>
              </w:rPr>
            </w:pPr>
            <w:r>
              <w:rPr>
                <w:rFonts w:ascii="Arial" w:hAnsi="Arial" w:eastAsia="Arial"/>
                <w:color w:val="auto"/>
                <w:sz w:val="14"/>
              </w:rPr>
              <w:t>Neither</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3F595012">
            <w:pPr>
              <w:spacing w:before="0" w:after="0" w:line="240" w:lineRule="auto"/>
              <w:jc w:val="left"/>
              <w:rPr>
                <w:color w:val="auto"/>
              </w:rPr>
            </w:pPr>
            <w:r>
              <w:rPr>
                <w:rFonts w:ascii="Arial" w:hAnsi="Arial" w:eastAsia="Arial"/>
                <w:color w:val="auto"/>
                <w:sz w:val="14"/>
              </w:rPr>
              <w:t>ADL disability</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F4656A5">
            <w:pPr>
              <w:spacing w:before="0" w:after="0" w:line="240" w:lineRule="auto"/>
              <w:jc w:val="left"/>
              <w:rPr>
                <w:color w:val="auto"/>
              </w:rPr>
            </w:pPr>
            <w:r>
              <w:rPr>
                <w:rFonts w:ascii="Arial" w:hAnsi="Arial" w:eastAsia="Arial"/>
                <w:color w:val="auto"/>
                <w:sz w:val="14"/>
              </w:rPr>
              <w:t>5643</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AFFAF7E">
            <w:pPr>
              <w:spacing w:before="0" w:after="0" w:line="240" w:lineRule="auto"/>
              <w:jc w:val="left"/>
              <w:rPr>
                <w:color w:val="auto"/>
              </w:rPr>
            </w:pPr>
            <w:r>
              <w:rPr>
                <w:rFonts w:ascii="Arial" w:hAnsi="Arial" w:eastAsia="Arial"/>
                <w:color w:val="auto"/>
                <w:sz w:val="14"/>
              </w:rPr>
              <w:t>3855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2AD70999">
            <w:pPr>
              <w:spacing w:before="0" w:after="0" w:line="240" w:lineRule="auto"/>
              <w:jc w:val="left"/>
              <w:rPr>
                <w:color w:val="auto"/>
              </w:rPr>
            </w:pPr>
            <w:r>
              <w:rPr>
                <w:rFonts w:ascii="Arial" w:hAnsi="Arial" w:eastAsia="Arial"/>
                <w:color w:val="auto"/>
                <w:sz w:val="14"/>
              </w:rPr>
              <w:t>25.1 (22.6–27.6)</w:t>
            </w:r>
          </w:p>
        </w:tc>
      </w:tr>
      <w:tr w14:paraId="39A5C61C">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5AA12A9">
            <w:pPr>
              <w:spacing w:before="0" w:after="0" w:line="240" w:lineRule="auto"/>
              <w:jc w:val="left"/>
              <w:rPr>
                <w:color w:val="auto"/>
              </w:rPr>
            </w:pPr>
            <w:r>
              <w:rPr>
                <w:rFonts w:ascii="Arial" w:hAnsi="Arial" w:eastAsia="Arial"/>
                <w:color w:val="auto"/>
                <w:sz w:val="14"/>
              </w:rPr>
              <w:t>IADL limitation</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3151D1A9">
            <w:pPr>
              <w:spacing w:before="0" w:after="0" w:line="240" w:lineRule="auto"/>
              <w:jc w:val="left"/>
              <w:rPr>
                <w:color w:val="auto"/>
              </w:rPr>
            </w:pPr>
            <w:r>
              <w:rPr>
                <w:rFonts w:ascii="Arial" w:hAnsi="Arial" w:eastAsia="Arial"/>
                <w:color w:val="auto"/>
                <w:sz w:val="14"/>
              </w:rPr>
              <w:t>Neither</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B632B1A">
            <w:pPr>
              <w:spacing w:before="0" w:after="0" w:line="240" w:lineRule="auto"/>
              <w:jc w:val="left"/>
              <w:rPr>
                <w:color w:val="auto"/>
              </w:rPr>
            </w:pPr>
            <w:r>
              <w:rPr>
                <w:rFonts w:ascii="Arial" w:hAnsi="Arial" w:eastAsia="Arial"/>
                <w:color w:val="auto"/>
                <w:sz w:val="14"/>
              </w:rPr>
              <w:t>Death</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042DD05">
            <w:pPr>
              <w:spacing w:before="0" w:after="0" w:line="240" w:lineRule="auto"/>
              <w:jc w:val="left"/>
              <w:rPr>
                <w:color w:val="auto"/>
              </w:rPr>
            </w:pPr>
            <w:r>
              <w:rPr>
                <w:rFonts w:ascii="Arial" w:hAnsi="Arial" w:eastAsia="Arial"/>
                <w:color w:val="auto"/>
                <w:sz w:val="14"/>
              </w:rPr>
              <w:t>5643</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0458E6A3">
            <w:pPr>
              <w:spacing w:before="0" w:after="0" w:line="240" w:lineRule="auto"/>
              <w:jc w:val="left"/>
              <w:rPr>
                <w:color w:val="auto"/>
              </w:rPr>
            </w:pPr>
            <w:r>
              <w:rPr>
                <w:rFonts w:ascii="Arial" w:hAnsi="Arial" w:eastAsia="Arial"/>
                <w:color w:val="auto"/>
                <w:sz w:val="14"/>
              </w:rPr>
              <w:t>3855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1A95EA8B">
            <w:pPr>
              <w:spacing w:before="0" w:after="0" w:line="240" w:lineRule="auto"/>
              <w:jc w:val="left"/>
              <w:rPr>
                <w:color w:val="auto"/>
              </w:rPr>
            </w:pPr>
            <w:r>
              <w:rPr>
                <w:rFonts w:ascii="Arial" w:hAnsi="Arial" w:eastAsia="Arial"/>
                <w:color w:val="auto"/>
                <w:sz w:val="14"/>
              </w:rPr>
              <w:t>13.7 (12.0–15.8)</w:t>
            </w:r>
          </w:p>
        </w:tc>
      </w:tr>
      <w:tr w14:paraId="74145EF3">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3A9D77D">
            <w:pPr>
              <w:spacing w:before="0" w:after="0" w:line="240" w:lineRule="auto"/>
              <w:jc w:val="left"/>
              <w:rPr>
                <w:color w:val="auto"/>
              </w:rPr>
            </w:pPr>
            <w:r>
              <w:rPr>
                <w:rFonts w:ascii="Arial" w:hAnsi="Arial" w:eastAsia="Arial"/>
                <w:color w:val="auto"/>
                <w:sz w:val="14"/>
              </w:rPr>
              <w:t>IADL limitation</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EACFCB3">
            <w:pPr>
              <w:spacing w:before="0" w:after="0" w:line="240" w:lineRule="auto"/>
              <w:jc w:val="left"/>
              <w:rPr>
                <w:color w:val="auto"/>
              </w:rPr>
            </w:pPr>
            <w:r>
              <w:rPr>
                <w:rFonts w:ascii="Arial" w:hAnsi="Arial" w:eastAsia="Arial"/>
                <w:color w:val="auto"/>
                <w:sz w:val="14"/>
              </w:rPr>
              <w:t>Arthritis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44F67D1">
            <w:pPr>
              <w:spacing w:before="0" w:after="0" w:line="240" w:lineRule="auto"/>
              <w:jc w:val="left"/>
              <w:rPr>
                <w:color w:val="auto"/>
              </w:rPr>
            </w:pPr>
            <w:r>
              <w:rPr>
                <w:rFonts w:ascii="Arial" w:hAnsi="Arial" w:eastAsia="Arial"/>
                <w:color w:val="auto"/>
                <w:sz w:val="14"/>
              </w:rPr>
              <w:t>IADL limitation</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08FFB98">
            <w:pPr>
              <w:spacing w:before="0" w:after="0" w:line="240" w:lineRule="auto"/>
              <w:jc w:val="left"/>
              <w:rPr>
                <w:color w:val="auto"/>
              </w:rPr>
            </w:pPr>
            <w:r>
              <w:rPr>
                <w:rFonts w:ascii="Arial" w:hAnsi="Arial" w:eastAsia="Arial"/>
                <w:color w:val="auto"/>
                <w:sz w:val="14"/>
              </w:rPr>
              <w:t>5643</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13E7CC1E">
            <w:pPr>
              <w:spacing w:before="0" w:after="0" w:line="240" w:lineRule="auto"/>
              <w:jc w:val="left"/>
              <w:rPr>
                <w:color w:val="auto"/>
              </w:rPr>
            </w:pPr>
            <w:r>
              <w:rPr>
                <w:rFonts w:ascii="Arial" w:hAnsi="Arial" w:eastAsia="Arial"/>
                <w:color w:val="auto"/>
                <w:sz w:val="14"/>
              </w:rPr>
              <w:t>3855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5812CD30">
            <w:pPr>
              <w:spacing w:before="0" w:after="0" w:line="240" w:lineRule="auto"/>
              <w:jc w:val="left"/>
              <w:rPr>
                <w:color w:val="auto"/>
              </w:rPr>
            </w:pPr>
            <w:r>
              <w:rPr>
                <w:rFonts w:ascii="Arial" w:hAnsi="Arial" w:eastAsia="Arial"/>
                <w:color w:val="auto"/>
                <w:sz w:val="14"/>
              </w:rPr>
              <w:t>25.9 (24.1–27.8)</w:t>
            </w:r>
          </w:p>
        </w:tc>
      </w:tr>
      <w:tr w14:paraId="65E2BD4D">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0AC38F9">
            <w:pPr>
              <w:spacing w:before="0" w:after="0" w:line="240" w:lineRule="auto"/>
              <w:jc w:val="left"/>
              <w:rPr>
                <w:color w:val="auto"/>
              </w:rPr>
            </w:pPr>
            <w:r>
              <w:rPr>
                <w:rFonts w:ascii="Arial" w:hAnsi="Arial" w:eastAsia="Arial"/>
                <w:color w:val="auto"/>
                <w:sz w:val="14"/>
              </w:rPr>
              <w:t>IADL limitation</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CCA16B2">
            <w:pPr>
              <w:spacing w:before="0" w:after="0" w:line="240" w:lineRule="auto"/>
              <w:jc w:val="left"/>
              <w:rPr>
                <w:color w:val="auto"/>
              </w:rPr>
            </w:pPr>
            <w:r>
              <w:rPr>
                <w:rFonts w:ascii="Arial" w:hAnsi="Arial" w:eastAsia="Arial"/>
                <w:color w:val="auto"/>
                <w:sz w:val="14"/>
              </w:rPr>
              <w:t>Arthritis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833447C">
            <w:pPr>
              <w:spacing w:before="0" w:after="0" w:line="240" w:lineRule="auto"/>
              <w:jc w:val="left"/>
              <w:rPr>
                <w:color w:val="auto"/>
              </w:rPr>
            </w:pPr>
            <w:r>
              <w:rPr>
                <w:rFonts w:ascii="Arial" w:hAnsi="Arial" w:eastAsia="Arial"/>
                <w:color w:val="auto"/>
                <w:sz w:val="14"/>
              </w:rPr>
              <w:t>Independent</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1BAD7382">
            <w:pPr>
              <w:spacing w:before="0" w:after="0" w:line="240" w:lineRule="auto"/>
              <w:jc w:val="left"/>
              <w:rPr>
                <w:color w:val="auto"/>
              </w:rPr>
            </w:pPr>
            <w:r>
              <w:rPr>
                <w:rFonts w:ascii="Arial" w:hAnsi="Arial" w:eastAsia="Arial"/>
                <w:color w:val="auto"/>
                <w:sz w:val="14"/>
              </w:rPr>
              <w:t>5643</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23FB9CCB">
            <w:pPr>
              <w:spacing w:before="0" w:after="0" w:line="240" w:lineRule="auto"/>
              <w:jc w:val="left"/>
              <w:rPr>
                <w:color w:val="auto"/>
              </w:rPr>
            </w:pPr>
            <w:r>
              <w:rPr>
                <w:rFonts w:ascii="Arial" w:hAnsi="Arial" w:eastAsia="Arial"/>
                <w:color w:val="auto"/>
                <w:sz w:val="14"/>
              </w:rPr>
              <w:t>3855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67BBD404">
            <w:pPr>
              <w:spacing w:before="0" w:after="0" w:line="240" w:lineRule="auto"/>
              <w:jc w:val="left"/>
              <w:rPr>
                <w:color w:val="auto"/>
              </w:rPr>
            </w:pPr>
            <w:r>
              <w:rPr>
                <w:rFonts w:ascii="Arial" w:hAnsi="Arial" w:eastAsia="Arial"/>
                <w:color w:val="auto"/>
                <w:sz w:val="14"/>
              </w:rPr>
              <w:t>30.5 (28.7–32.1)</w:t>
            </w:r>
          </w:p>
        </w:tc>
      </w:tr>
      <w:tr w14:paraId="6BCCD91F">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E27D568">
            <w:pPr>
              <w:spacing w:before="0" w:after="0" w:line="240" w:lineRule="auto"/>
              <w:jc w:val="left"/>
              <w:rPr>
                <w:color w:val="auto"/>
              </w:rPr>
            </w:pPr>
            <w:r>
              <w:rPr>
                <w:rFonts w:ascii="Arial" w:hAnsi="Arial" w:eastAsia="Arial"/>
                <w:color w:val="auto"/>
                <w:sz w:val="14"/>
              </w:rPr>
              <w:t>IADL limitation</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D3F9FE0">
            <w:pPr>
              <w:spacing w:before="0" w:after="0" w:line="240" w:lineRule="auto"/>
              <w:jc w:val="left"/>
              <w:rPr>
                <w:color w:val="auto"/>
              </w:rPr>
            </w:pPr>
            <w:r>
              <w:rPr>
                <w:rFonts w:ascii="Arial" w:hAnsi="Arial" w:eastAsia="Arial"/>
                <w:color w:val="auto"/>
                <w:sz w:val="14"/>
              </w:rPr>
              <w:t>Arthritis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82679FF">
            <w:pPr>
              <w:spacing w:before="0" w:after="0" w:line="240" w:lineRule="auto"/>
              <w:jc w:val="left"/>
              <w:rPr>
                <w:color w:val="auto"/>
              </w:rPr>
            </w:pPr>
            <w:r>
              <w:rPr>
                <w:rFonts w:ascii="Arial" w:hAnsi="Arial" w:eastAsia="Arial"/>
                <w:color w:val="auto"/>
                <w:sz w:val="14"/>
              </w:rPr>
              <w:t>ADL disability</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1E7E6DC1">
            <w:pPr>
              <w:spacing w:before="0" w:after="0" w:line="240" w:lineRule="auto"/>
              <w:jc w:val="left"/>
              <w:rPr>
                <w:color w:val="auto"/>
              </w:rPr>
            </w:pPr>
            <w:r>
              <w:rPr>
                <w:rFonts w:ascii="Arial" w:hAnsi="Arial" w:eastAsia="Arial"/>
                <w:color w:val="auto"/>
                <w:sz w:val="14"/>
              </w:rPr>
              <w:t>5643</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1AD1E46">
            <w:pPr>
              <w:spacing w:before="0" w:after="0" w:line="240" w:lineRule="auto"/>
              <w:jc w:val="left"/>
              <w:rPr>
                <w:color w:val="auto"/>
              </w:rPr>
            </w:pPr>
            <w:r>
              <w:rPr>
                <w:rFonts w:ascii="Arial" w:hAnsi="Arial" w:eastAsia="Arial"/>
                <w:color w:val="auto"/>
                <w:sz w:val="14"/>
              </w:rPr>
              <w:t>3855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750C7717">
            <w:pPr>
              <w:spacing w:before="0" w:after="0" w:line="240" w:lineRule="auto"/>
              <w:jc w:val="left"/>
              <w:rPr>
                <w:color w:val="auto"/>
              </w:rPr>
            </w:pPr>
            <w:r>
              <w:rPr>
                <w:rFonts w:ascii="Arial" w:hAnsi="Arial" w:eastAsia="Arial"/>
                <w:color w:val="auto"/>
                <w:sz w:val="14"/>
              </w:rPr>
              <w:t>30.0 (28.3–31.7)</w:t>
            </w:r>
          </w:p>
        </w:tc>
      </w:tr>
      <w:tr w14:paraId="2FA4A725">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64C70C9">
            <w:pPr>
              <w:spacing w:before="0" w:after="0" w:line="240" w:lineRule="auto"/>
              <w:jc w:val="left"/>
              <w:rPr>
                <w:color w:val="auto"/>
              </w:rPr>
            </w:pPr>
            <w:r>
              <w:rPr>
                <w:rFonts w:ascii="Arial" w:hAnsi="Arial" w:eastAsia="Arial"/>
                <w:color w:val="auto"/>
                <w:sz w:val="14"/>
              </w:rPr>
              <w:t>IADL limitation</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B322FE7">
            <w:pPr>
              <w:spacing w:before="0" w:after="0" w:line="240" w:lineRule="auto"/>
              <w:jc w:val="left"/>
              <w:rPr>
                <w:color w:val="auto"/>
              </w:rPr>
            </w:pPr>
            <w:r>
              <w:rPr>
                <w:rFonts w:ascii="Arial" w:hAnsi="Arial" w:eastAsia="Arial"/>
                <w:color w:val="auto"/>
                <w:sz w:val="14"/>
              </w:rPr>
              <w:t>Arthritis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B95C081">
            <w:pPr>
              <w:spacing w:before="0" w:after="0" w:line="240" w:lineRule="auto"/>
              <w:jc w:val="left"/>
              <w:rPr>
                <w:color w:val="auto"/>
              </w:rPr>
            </w:pPr>
            <w:r>
              <w:rPr>
                <w:rFonts w:ascii="Arial" w:hAnsi="Arial" w:eastAsia="Arial"/>
                <w:color w:val="auto"/>
                <w:sz w:val="14"/>
              </w:rPr>
              <w:t>Death</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6279026">
            <w:pPr>
              <w:spacing w:before="0" w:after="0" w:line="240" w:lineRule="auto"/>
              <w:jc w:val="left"/>
              <w:rPr>
                <w:color w:val="auto"/>
              </w:rPr>
            </w:pPr>
            <w:r>
              <w:rPr>
                <w:rFonts w:ascii="Arial" w:hAnsi="Arial" w:eastAsia="Arial"/>
                <w:color w:val="auto"/>
                <w:sz w:val="14"/>
              </w:rPr>
              <w:t>5643</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C056233">
            <w:pPr>
              <w:spacing w:before="0" w:after="0" w:line="240" w:lineRule="auto"/>
              <w:jc w:val="left"/>
              <w:rPr>
                <w:color w:val="auto"/>
              </w:rPr>
            </w:pPr>
            <w:r>
              <w:rPr>
                <w:rFonts w:ascii="Arial" w:hAnsi="Arial" w:eastAsia="Arial"/>
                <w:color w:val="auto"/>
                <w:sz w:val="14"/>
              </w:rPr>
              <w:t>3855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7A5AC56F">
            <w:pPr>
              <w:spacing w:before="0" w:after="0" w:line="240" w:lineRule="auto"/>
              <w:jc w:val="left"/>
              <w:rPr>
                <w:color w:val="auto"/>
              </w:rPr>
            </w:pPr>
            <w:r>
              <w:rPr>
                <w:rFonts w:ascii="Arial" w:hAnsi="Arial" w:eastAsia="Arial"/>
                <w:color w:val="auto"/>
                <w:sz w:val="14"/>
              </w:rPr>
              <w:t>13.6 (12.6–15.0)</w:t>
            </w:r>
          </w:p>
        </w:tc>
      </w:tr>
      <w:tr w14:paraId="33A73A7C">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1D2539E">
            <w:pPr>
              <w:spacing w:before="0" w:after="0" w:line="240" w:lineRule="auto"/>
              <w:jc w:val="left"/>
              <w:rPr>
                <w:color w:val="auto"/>
              </w:rPr>
            </w:pPr>
            <w:r>
              <w:rPr>
                <w:rFonts w:ascii="Arial" w:hAnsi="Arial" w:eastAsia="Arial"/>
                <w:color w:val="auto"/>
                <w:sz w:val="14"/>
              </w:rPr>
              <w:t>IADL limitation</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5EB7AFE">
            <w:pPr>
              <w:spacing w:before="0" w:after="0" w:line="240" w:lineRule="auto"/>
              <w:jc w:val="left"/>
              <w:rPr>
                <w:color w:val="auto"/>
              </w:rPr>
            </w:pPr>
            <w:r>
              <w:rPr>
                <w:rFonts w:ascii="Arial" w:hAnsi="Arial" w:eastAsia="Arial"/>
                <w:color w:val="auto"/>
                <w:sz w:val="14"/>
              </w:rPr>
              <w:t>Diabetes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66B60AE">
            <w:pPr>
              <w:spacing w:before="0" w:after="0" w:line="240" w:lineRule="auto"/>
              <w:jc w:val="left"/>
              <w:rPr>
                <w:color w:val="auto"/>
              </w:rPr>
            </w:pPr>
            <w:r>
              <w:rPr>
                <w:rFonts w:ascii="Arial" w:hAnsi="Arial" w:eastAsia="Arial"/>
                <w:color w:val="auto"/>
                <w:sz w:val="14"/>
              </w:rPr>
              <w:t>IADL limitation</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789B6F5">
            <w:pPr>
              <w:spacing w:before="0" w:after="0" w:line="240" w:lineRule="auto"/>
              <w:jc w:val="left"/>
              <w:rPr>
                <w:color w:val="auto"/>
              </w:rPr>
            </w:pPr>
            <w:r>
              <w:rPr>
                <w:rFonts w:ascii="Arial" w:hAnsi="Arial" w:eastAsia="Arial"/>
                <w:color w:val="auto"/>
                <w:sz w:val="14"/>
              </w:rPr>
              <w:t>5643</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CA0869B">
            <w:pPr>
              <w:spacing w:before="0" w:after="0" w:line="240" w:lineRule="auto"/>
              <w:jc w:val="left"/>
              <w:rPr>
                <w:color w:val="auto"/>
              </w:rPr>
            </w:pPr>
            <w:r>
              <w:rPr>
                <w:rFonts w:ascii="Arial" w:hAnsi="Arial" w:eastAsia="Arial"/>
                <w:color w:val="auto"/>
                <w:sz w:val="14"/>
              </w:rPr>
              <w:t>3855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134BB703">
            <w:pPr>
              <w:spacing w:before="0" w:after="0" w:line="240" w:lineRule="auto"/>
              <w:jc w:val="left"/>
              <w:rPr>
                <w:color w:val="auto"/>
              </w:rPr>
            </w:pPr>
            <w:r>
              <w:rPr>
                <w:rFonts w:ascii="Arial" w:hAnsi="Arial" w:eastAsia="Arial"/>
                <w:color w:val="auto"/>
                <w:sz w:val="14"/>
              </w:rPr>
              <w:t>28.5 (23.8–33.7)</w:t>
            </w:r>
          </w:p>
        </w:tc>
      </w:tr>
      <w:tr w14:paraId="3849E019">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9B77B93">
            <w:pPr>
              <w:spacing w:before="0" w:after="0" w:line="240" w:lineRule="auto"/>
              <w:jc w:val="left"/>
              <w:rPr>
                <w:color w:val="auto"/>
              </w:rPr>
            </w:pPr>
            <w:r>
              <w:rPr>
                <w:rFonts w:ascii="Arial" w:hAnsi="Arial" w:eastAsia="Arial"/>
                <w:color w:val="auto"/>
                <w:sz w:val="14"/>
              </w:rPr>
              <w:t>IADL limitation</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6033163">
            <w:pPr>
              <w:spacing w:before="0" w:after="0" w:line="240" w:lineRule="auto"/>
              <w:jc w:val="left"/>
              <w:rPr>
                <w:color w:val="auto"/>
              </w:rPr>
            </w:pPr>
            <w:r>
              <w:rPr>
                <w:rFonts w:ascii="Arial" w:hAnsi="Arial" w:eastAsia="Arial"/>
                <w:color w:val="auto"/>
                <w:sz w:val="14"/>
              </w:rPr>
              <w:t>Diabetes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BD4B98F">
            <w:pPr>
              <w:spacing w:before="0" w:after="0" w:line="240" w:lineRule="auto"/>
              <w:jc w:val="left"/>
              <w:rPr>
                <w:color w:val="auto"/>
              </w:rPr>
            </w:pPr>
            <w:r>
              <w:rPr>
                <w:rFonts w:ascii="Arial" w:hAnsi="Arial" w:eastAsia="Arial"/>
                <w:color w:val="auto"/>
                <w:sz w:val="14"/>
              </w:rPr>
              <w:t>Independent</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1540F18E">
            <w:pPr>
              <w:spacing w:before="0" w:after="0" w:line="240" w:lineRule="auto"/>
              <w:jc w:val="left"/>
              <w:rPr>
                <w:color w:val="auto"/>
              </w:rPr>
            </w:pPr>
            <w:r>
              <w:rPr>
                <w:rFonts w:ascii="Arial" w:hAnsi="Arial" w:eastAsia="Arial"/>
                <w:color w:val="auto"/>
                <w:sz w:val="14"/>
              </w:rPr>
              <w:t>5643</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410B2451">
            <w:pPr>
              <w:spacing w:before="0" w:after="0" w:line="240" w:lineRule="auto"/>
              <w:jc w:val="left"/>
              <w:rPr>
                <w:color w:val="auto"/>
              </w:rPr>
            </w:pPr>
            <w:r>
              <w:rPr>
                <w:rFonts w:ascii="Arial" w:hAnsi="Arial" w:eastAsia="Arial"/>
                <w:color w:val="auto"/>
                <w:sz w:val="14"/>
              </w:rPr>
              <w:t>3855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1D48F381">
            <w:pPr>
              <w:spacing w:before="0" w:after="0" w:line="240" w:lineRule="auto"/>
              <w:jc w:val="left"/>
              <w:rPr>
                <w:color w:val="auto"/>
              </w:rPr>
            </w:pPr>
            <w:r>
              <w:rPr>
                <w:rFonts w:ascii="Arial" w:hAnsi="Arial" w:eastAsia="Arial"/>
                <w:color w:val="auto"/>
                <w:sz w:val="14"/>
              </w:rPr>
              <w:t>30.8 (26.4–35.1)</w:t>
            </w:r>
          </w:p>
        </w:tc>
      </w:tr>
      <w:tr w14:paraId="791EAF63">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71E1461">
            <w:pPr>
              <w:spacing w:before="0" w:after="0" w:line="240" w:lineRule="auto"/>
              <w:jc w:val="left"/>
              <w:rPr>
                <w:color w:val="auto"/>
              </w:rPr>
            </w:pPr>
            <w:r>
              <w:rPr>
                <w:rFonts w:ascii="Arial" w:hAnsi="Arial" w:eastAsia="Arial"/>
                <w:color w:val="auto"/>
                <w:sz w:val="14"/>
              </w:rPr>
              <w:t>IADL limitation</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5972008">
            <w:pPr>
              <w:spacing w:before="0" w:after="0" w:line="240" w:lineRule="auto"/>
              <w:jc w:val="left"/>
              <w:rPr>
                <w:color w:val="auto"/>
              </w:rPr>
            </w:pPr>
            <w:r>
              <w:rPr>
                <w:rFonts w:ascii="Arial" w:hAnsi="Arial" w:eastAsia="Arial"/>
                <w:color w:val="auto"/>
                <w:sz w:val="14"/>
              </w:rPr>
              <w:t>Diabetes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91FD981">
            <w:pPr>
              <w:spacing w:before="0" w:after="0" w:line="240" w:lineRule="auto"/>
              <w:jc w:val="left"/>
              <w:rPr>
                <w:color w:val="auto"/>
              </w:rPr>
            </w:pPr>
            <w:r>
              <w:rPr>
                <w:rFonts w:ascii="Arial" w:hAnsi="Arial" w:eastAsia="Arial"/>
                <w:color w:val="auto"/>
                <w:sz w:val="14"/>
              </w:rPr>
              <w:t>ADL disability</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2ED713DA">
            <w:pPr>
              <w:spacing w:before="0" w:after="0" w:line="240" w:lineRule="auto"/>
              <w:jc w:val="left"/>
              <w:rPr>
                <w:color w:val="auto"/>
              </w:rPr>
            </w:pPr>
            <w:r>
              <w:rPr>
                <w:rFonts w:ascii="Arial" w:hAnsi="Arial" w:eastAsia="Arial"/>
                <w:color w:val="auto"/>
                <w:sz w:val="14"/>
              </w:rPr>
              <w:t>5643</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210DB531">
            <w:pPr>
              <w:spacing w:before="0" w:after="0" w:line="240" w:lineRule="auto"/>
              <w:jc w:val="left"/>
              <w:rPr>
                <w:color w:val="auto"/>
              </w:rPr>
            </w:pPr>
            <w:r>
              <w:rPr>
                <w:rFonts w:ascii="Arial" w:hAnsi="Arial" w:eastAsia="Arial"/>
                <w:color w:val="auto"/>
                <w:sz w:val="14"/>
              </w:rPr>
              <w:t>3855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295CA11C">
            <w:pPr>
              <w:spacing w:before="0" w:after="0" w:line="240" w:lineRule="auto"/>
              <w:jc w:val="left"/>
              <w:rPr>
                <w:color w:val="auto"/>
              </w:rPr>
            </w:pPr>
            <w:r>
              <w:rPr>
                <w:rFonts w:ascii="Arial" w:hAnsi="Arial" w:eastAsia="Arial"/>
                <w:color w:val="auto"/>
                <w:sz w:val="14"/>
              </w:rPr>
              <w:t>23.4 (19.5–27.7)</w:t>
            </w:r>
          </w:p>
        </w:tc>
      </w:tr>
      <w:tr w14:paraId="2BEF986F">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7B22F51">
            <w:pPr>
              <w:spacing w:before="0" w:after="0" w:line="240" w:lineRule="auto"/>
              <w:jc w:val="left"/>
              <w:rPr>
                <w:color w:val="auto"/>
              </w:rPr>
            </w:pPr>
            <w:r>
              <w:rPr>
                <w:rFonts w:ascii="Arial" w:hAnsi="Arial" w:eastAsia="Arial"/>
                <w:color w:val="auto"/>
                <w:sz w:val="14"/>
              </w:rPr>
              <w:t>IADL limitation</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20732AE">
            <w:pPr>
              <w:spacing w:before="0" w:after="0" w:line="240" w:lineRule="auto"/>
              <w:jc w:val="left"/>
              <w:rPr>
                <w:color w:val="auto"/>
              </w:rPr>
            </w:pPr>
            <w:r>
              <w:rPr>
                <w:rFonts w:ascii="Arial" w:hAnsi="Arial" w:eastAsia="Arial"/>
                <w:color w:val="auto"/>
                <w:sz w:val="14"/>
              </w:rPr>
              <w:t>Diabetes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34A380A">
            <w:pPr>
              <w:spacing w:before="0" w:after="0" w:line="240" w:lineRule="auto"/>
              <w:jc w:val="left"/>
              <w:rPr>
                <w:color w:val="auto"/>
              </w:rPr>
            </w:pPr>
            <w:r>
              <w:rPr>
                <w:rFonts w:ascii="Arial" w:hAnsi="Arial" w:eastAsia="Arial"/>
                <w:color w:val="auto"/>
                <w:sz w:val="14"/>
              </w:rPr>
              <w:t>Death</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466E4F54">
            <w:pPr>
              <w:spacing w:before="0" w:after="0" w:line="240" w:lineRule="auto"/>
              <w:jc w:val="left"/>
              <w:rPr>
                <w:color w:val="auto"/>
              </w:rPr>
            </w:pPr>
            <w:r>
              <w:rPr>
                <w:rFonts w:ascii="Arial" w:hAnsi="Arial" w:eastAsia="Arial"/>
                <w:color w:val="auto"/>
                <w:sz w:val="14"/>
              </w:rPr>
              <w:t>5643</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F5B92F5">
            <w:pPr>
              <w:spacing w:before="0" w:after="0" w:line="240" w:lineRule="auto"/>
              <w:jc w:val="left"/>
              <w:rPr>
                <w:color w:val="auto"/>
              </w:rPr>
            </w:pPr>
            <w:r>
              <w:rPr>
                <w:rFonts w:ascii="Arial" w:hAnsi="Arial" w:eastAsia="Arial"/>
                <w:color w:val="auto"/>
                <w:sz w:val="14"/>
              </w:rPr>
              <w:t>3855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7E5231C7">
            <w:pPr>
              <w:spacing w:before="0" w:after="0" w:line="240" w:lineRule="auto"/>
              <w:jc w:val="left"/>
              <w:rPr>
                <w:color w:val="auto"/>
              </w:rPr>
            </w:pPr>
            <w:r>
              <w:rPr>
                <w:rFonts w:ascii="Arial" w:hAnsi="Arial" w:eastAsia="Arial"/>
                <w:color w:val="auto"/>
                <w:sz w:val="14"/>
              </w:rPr>
              <w:t>17.2 (13.9–21.2)</w:t>
            </w:r>
          </w:p>
        </w:tc>
      </w:tr>
      <w:tr w14:paraId="02B65C6D">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E1EE4BF">
            <w:pPr>
              <w:spacing w:before="0" w:after="0" w:line="240" w:lineRule="auto"/>
              <w:jc w:val="left"/>
              <w:rPr>
                <w:color w:val="auto"/>
              </w:rPr>
            </w:pPr>
            <w:r>
              <w:rPr>
                <w:rFonts w:ascii="Arial" w:hAnsi="Arial" w:eastAsia="Arial"/>
                <w:color w:val="auto"/>
                <w:sz w:val="14"/>
              </w:rPr>
              <w:t>IADL limitation</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6D4BBA0">
            <w:pPr>
              <w:spacing w:before="0" w:after="0" w:line="240" w:lineRule="auto"/>
              <w:jc w:val="left"/>
              <w:rPr>
                <w:color w:val="auto"/>
              </w:rPr>
            </w:pPr>
            <w:r>
              <w:rPr>
                <w:rFonts w:ascii="Arial" w:hAnsi="Arial" w:eastAsia="Arial"/>
                <w:color w:val="auto"/>
                <w:sz w:val="14"/>
              </w:rPr>
              <w:t>Comorbidity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34333D48">
            <w:pPr>
              <w:spacing w:before="0" w:after="0" w:line="240" w:lineRule="auto"/>
              <w:jc w:val="left"/>
              <w:rPr>
                <w:color w:val="auto"/>
              </w:rPr>
            </w:pPr>
            <w:r>
              <w:rPr>
                <w:rFonts w:ascii="Arial" w:hAnsi="Arial" w:eastAsia="Arial"/>
                <w:color w:val="auto"/>
                <w:sz w:val="14"/>
              </w:rPr>
              <w:t>IADL limitation</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06A04433">
            <w:pPr>
              <w:spacing w:before="0" w:after="0" w:line="240" w:lineRule="auto"/>
              <w:jc w:val="left"/>
              <w:rPr>
                <w:color w:val="auto"/>
              </w:rPr>
            </w:pPr>
            <w:r>
              <w:rPr>
                <w:rFonts w:ascii="Arial" w:hAnsi="Arial" w:eastAsia="Arial"/>
                <w:color w:val="auto"/>
                <w:sz w:val="14"/>
              </w:rPr>
              <w:t>5643</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2D11BAC6">
            <w:pPr>
              <w:spacing w:before="0" w:after="0" w:line="240" w:lineRule="auto"/>
              <w:jc w:val="left"/>
              <w:rPr>
                <w:color w:val="auto"/>
              </w:rPr>
            </w:pPr>
            <w:r>
              <w:rPr>
                <w:rFonts w:ascii="Arial" w:hAnsi="Arial" w:eastAsia="Arial"/>
                <w:color w:val="auto"/>
                <w:sz w:val="14"/>
              </w:rPr>
              <w:t>3855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5070F77E">
            <w:pPr>
              <w:spacing w:before="0" w:after="0" w:line="240" w:lineRule="auto"/>
              <w:jc w:val="left"/>
              <w:rPr>
                <w:color w:val="auto"/>
              </w:rPr>
            </w:pPr>
            <w:r>
              <w:rPr>
                <w:rFonts w:ascii="Arial" w:hAnsi="Arial" w:eastAsia="Arial"/>
                <w:color w:val="auto"/>
                <w:sz w:val="14"/>
              </w:rPr>
              <w:t>24.6 (21.9–27.4)</w:t>
            </w:r>
          </w:p>
        </w:tc>
      </w:tr>
      <w:tr w14:paraId="25E710E9">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2CBBE19">
            <w:pPr>
              <w:spacing w:before="0" w:after="0" w:line="240" w:lineRule="auto"/>
              <w:jc w:val="left"/>
              <w:rPr>
                <w:color w:val="auto"/>
              </w:rPr>
            </w:pPr>
            <w:r>
              <w:rPr>
                <w:rFonts w:ascii="Arial" w:hAnsi="Arial" w:eastAsia="Arial"/>
                <w:color w:val="auto"/>
                <w:sz w:val="14"/>
              </w:rPr>
              <w:t>IADL limitation</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1C3B89A">
            <w:pPr>
              <w:spacing w:before="0" w:after="0" w:line="240" w:lineRule="auto"/>
              <w:jc w:val="left"/>
              <w:rPr>
                <w:color w:val="auto"/>
              </w:rPr>
            </w:pPr>
            <w:r>
              <w:rPr>
                <w:rFonts w:ascii="Arial" w:hAnsi="Arial" w:eastAsia="Arial"/>
                <w:color w:val="auto"/>
                <w:sz w:val="14"/>
              </w:rPr>
              <w:t>Comorbidity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485D38E">
            <w:pPr>
              <w:spacing w:before="0" w:after="0" w:line="240" w:lineRule="auto"/>
              <w:jc w:val="left"/>
              <w:rPr>
                <w:color w:val="auto"/>
              </w:rPr>
            </w:pPr>
            <w:r>
              <w:rPr>
                <w:rFonts w:ascii="Arial" w:hAnsi="Arial" w:eastAsia="Arial"/>
                <w:color w:val="auto"/>
                <w:sz w:val="14"/>
              </w:rPr>
              <w:t>Independent</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624DF06D">
            <w:pPr>
              <w:spacing w:before="0" w:after="0" w:line="240" w:lineRule="auto"/>
              <w:jc w:val="left"/>
              <w:rPr>
                <w:color w:val="auto"/>
              </w:rPr>
            </w:pPr>
            <w:r>
              <w:rPr>
                <w:rFonts w:ascii="Arial" w:hAnsi="Arial" w:eastAsia="Arial"/>
                <w:color w:val="auto"/>
                <w:sz w:val="14"/>
              </w:rPr>
              <w:t>5643</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FF3BE79">
            <w:pPr>
              <w:spacing w:before="0" w:after="0" w:line="240" w:lineRule="auto"/>
              <w:jc w:val="left"/>
              <w:rPr>
                <w:color w:val="auto"/>
              </w:rPr>
            </w:pPr>
            <w:r>
              <w:rPr>
                <w:rFonts w:ascii="Arial" w:hAnsi="Arial" w:eastAsia="Arial"/>
                <w:color w:val="auto"/>
                <w:sz w:val="14"/>
              </w:rPr>
              <w:t>3855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5C39AE74">
            <w:pPr>
              <w:spacing w:before="0" w:after="0" w:line="240" w:lineRule="auto"/>
              <w:jc w:val="left"/>
              <w:rPr>
                <w:color w:val="auto"/>
              </w:rPr>
            </w:pPr>
            <w:r>
              <w:rPr>
                <w:rFonts w:ascii="Arial" w:hAnsi="Arial" w:eastAsia="Arial"/>
                <w:color w:val="auto"/>
                <w:sz w:val="14"/>
              </w:rPr>
              <w:t>25.8 (23.1–28.5)</w:t>
            </w:r>
          </w:p>
        </w:tc>
      </w:tr>
      <w:tr w14:paraId="281BE353">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F05C6B4">
            <w:pPr>
              <w:spacing w:before="0" w:after="0" w:line="240" w:lineRule="auto"/>
              <w:jc w:val="left"/>
              <w:rPr>
                <w:color w:val="auto"/>
              </w:rPr>
            </w:pPr>
            <w:r>
              <w:rPr>
                <w:rFonts w:ascii="Arial" w:hAnsi="Arial" w:eastAsia="Arial"/>
                <w:color w:val="auto"/>
                <w:sz w:val="14"/>
              </w:rPr>
              <w:t>IADL limitation</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3D4356A">
            <w:pPr>
              <w:spacing w:before="0" w:after="0" w:line="240" w:lineRule="auto"/>
              <w:jc w:val="left"/>
              <w:rPr>
                <w:color w:val="auto"/>
              </w:rPr>
            </w:pPr>
            <w:r>
              <w:rPr>
                <w:rFonts w:ascii="Arial" w:hAnsi="Arial" w:eastAsia="Arial"/>
                <w:color w:val="auto"/>
                <w:sz w:val="14"/>
              </w:rPr>
              <w:t>Comorbidity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B1F4A83">
            <w:pPr>
              <w:spacing w:before="0" w:after="0" w:line="240" w:lineRule="auto"/>
              <w:jc w:val="left"/>
              <w:rPr>
                <w:color w:val="auto"/>
              </w:rPr>
            </w:pPr>
            <w:r>
              <w:rPr>
                <w:rFonts w:ascii="Arial" w:hAnsi="Arial" w:eastAsia="Arial"/>
                <w:color w:val="auto"/>
                <w:sz w:val="14"/>
              </w:rPr>
              <w:t>ADL disability</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2EAA9FD4">
            <w:pPr>
              <w:spacing w:before="0" w:after="0" w:line="240" w:lineRule="auto"/>
              <w:jc w:val="left"/>
              <w:rPr>
                <w:color w:val="auto"/>
              </w:rPr>
            </w:pPr>
            <w:r>
              <w:rPr>
                <w:rFonts w:ascii="Arial" w:hAnsi="Arial" w:eastAsia="Arial"/>
                <w:color w:val="auto"/>
                <w:sz w:val="14"/>
              </w:rPr>
              <w:t>5643</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204F2C05">
            <w:pPr>
              <w:spacing w:before="0" w:after="0" w:line="240" w:lineRule="auto"/>
              <w:jc w:val="left"/>
              <w:rPr>
                <w:color w:val="auto"/>
              </w:rPr>
            </w:pPr>
            <w:r>
              <w:rPr>
                <w:rFonts w:ascii="Arial" w:hAnsi="Arial" w:eastAsia="Arial"/>
                <w:color w:val="auto"/>
                <w:sz w:val="14"/>
              </w:rPr>
              <w:t>3855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363EFD78">
            <w:pPr>
              <w:spacing w:before="0" w:after="0" w:line="240" w:lineRule="auto"/>
              <w:jc w:val="left"/>
              <w:rPr>
                <w:color w:val="auto"/>
              </w:rPr>
            </w:pPr>
            <w:r>
              <w:rPr>
                <w:rFonts w:ascii="Arial" w:hAnsi="Arial" w:eastAsia="Arial"/>
                <w:color w:val="auto"/>
                <w:sz w:val="14"/>
              </w:rPr>
              <w:t>32.7 (29.8–35.5)</w:t>
            </w:r>
          </w:p>
        </w:tc>
      </w:tr>
      <w:tr w14:paraId="2960BD57">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C0982C3">
            <w:pPr>
              <w:spacing w:before="0" w:after="0" w:line="240" w:lineRule="auto"/>
              <w:jc w:val="left"/>
              <w:rPr>
                <w:color w:val="auto"/>
              </w:rPr>
            </w:pPr>
            <w:r>
              <w:rPr>
                <w:rFonts w:ascii="Arial" w:hAnsi="Arial" w:eastAsia="Arial"/>
                <w:color w:val="auto"/>
                <w:sz w:val="14"/>
              </w:rPr>
              <w:t>IADL limitation</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02CFAE1">
            <w:pPr>
              <w:spacing w:before="0" w:after="0" w:line="240" w:lineRule="auto"/>
              <w:jc w:val="left"/>
              <w:rPr>
                <w:color w:val="auto"/>
              </w:rPr>
            </w:pPr>
            <w:r>
              <w:rPr>
                <w:rFonts w:ascii="Arial" w:hAnsi="Arial" w:eastAsia="Arial"/>
                <w:color w:val="auto"/>
                <w:sz w:val="14"/>
              </w:rPr>
              <w:t>Comorbidity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DC4CA8A">
            <w:pPr>
              <w:spacing w:before="0" w:after="0" w:line="240" w:lineRule="auto"/>
              <w:jc w:val="left"/>
              <w:rPr>
                <w:color w:val="auto"/>
              </w:rPr>
            </w:pPr>
            <w:r>
              <w:rPr>
                <w:rFonts w:ascii="Arial" w:hAnsi="Arial" w:eastAsia="Arial"/>
                <w:color w:val="auto"/>
                <w:sz w:val="14"/>
              </w:rPr>
              <w:t>Death</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9BEBF1E">
            <w:pPr>
              <w:spacing w:before="0" w:after="0" w:line="240" w:lineRule="auto"/>
              <w:jc w:val="left"/>
              <w:rPr>
                <w:color w:val="auto"/>
              </w:rPr>
            </w:pPr>
            <w:r>
              <w:rPr>
                <w:rFonts w:ascii="Arial" w:hAnsi="Arial" w:eastAsia="Arial"/>
                <w:color w:val="auto"/>
                <w:sz w:val="14"/>
              </w:rPr>
              <w:t>5643</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4213D82">
            <w:pPr>
              <w:spacing w:before="0" w:after="0" w:line="240" w:lineRule="auto"/>
              <w:jc w:val="left"/>
              <w:rPr>
                <w:color w:val="auto"/>
              </w:rPr>
            </w:pPr>
            <w:r>
              <w:rPr>
                <w:rFonts w:ascii="Arial" w:hAnsi="Arial" w:eastAsia="Arial"/>
                <w:color w:val="auto"/>
                <w:sz w:val="14"/>
              </w:rPr>
              <w:t>3855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38F6A9B2">
            <w:pPr>
              <w:spacing w:before="0" w:after="0" w:line="240" w:lineRule="auto"/>
              <w:jc w:val="left"/>
              <w:rPr>
                <w:color w:val="auto"/>
              </w:rPr>
            </w:pPr>
            <w:r>
              <w:rPr>
                <w:rFonts w:ascii="Arial" w:hAnsi="Arial" w:eastAsia="Arial"/>
                <w:color w:val="auto"/>
                <w:sz w:val="14"/>
              </w:rPr>
              <w:t>16.9 (14.9–19.4)</w:t>
            </w:r>
          </w:p>
        </w:tc>
      </w:tr>
      <w:tr w14:paraId="4AC88CA7">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891F6C9">
            <w:pPr>
              <w:spacing w:before="0" w:after="0" w:line="240" w:lineRule="auto"/>
              <w:jc w:val="left"/>
              <w:rPr>
                <w:color w:val="auto"/>
              </w:rPr>
            </w:pPr>
            <w:r>
              <w:rPr>
                <w:rFonts w:ascii="Arial" w:hAnsi="Arial" w:eastAsia="Arial"/>
                <w:color w:val="auto"/>
                <w:sz w:val="14"/>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DD82D53">
            <w:pPr>
              <w:spacing w:before="0" w:after="0" w:line="240" w:lineRule="auto"/>
              <w:jc w:val="left"/>
              <w:rPr>
                <w:color w:val="auto"/>
              </w:rPr>
            </w:pPr>
            <w:r>
              <w:rPr>
                <w:rFonts w:ascii="Arial" w:hAnsi="Arial" w:eastAsia="Arial"/>
                <w:color w:val="auto"/>
                <w:sz w:val="14"/>
              </w:rPr>
              <w:t>Neither</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D0A2C9C">
            <w:pPr>
              <w:spacing w:before="0" w:after="0" w:line="240" w:lineRule="auto"/>
              <w:jc w:val="left"/>
              <w:rPr>
                <w:color w:val="auto"/>
              </w:rPr>
            </w:pPr>
            <w:r>
              <w:rPr>
                <w:rFonts w:ascii="Arial" w:hAnsi="Arial" w:eastAsia="Arial"/>
                <w:color w:val="auto"/>
                <w:sz w:val="14"/>
              </w:rPr>
              <w:t>ADL disability</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4832ED0A">
            <w:pPr>
              <w:spacing w:before="0" w:after="0" w:line="240" w:lineRule="auto"/>
              <w:jc w:val="left"/>
              <w:rPr>
                <w:color w:val="auto"/>
              </w:rPr>
            </w:pPr>
            <w:r>
              <w:rPr>
                <w:rFonts w:ascii="Arial" w:hAnsi="Arial" w:eastAsia="Arial"/>
                <w:color w:val="auto"/>
                <w:sz w:val="14"/>
              </w:rPr>
              <w:t>18082</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59B2C59">
            <w:pPr>
              <w:spacing w:before="0" w:after="0" w:line="240" w:lineRule="auto"/>
              <w:jc w:val="left"/>
              <w:rPr>
                <w:color w:val="auto"/>
              </w:rPr>
            </w:pPr>
            <w:r>
              <w:rPr>
                <w:rFonts w:ascii="Arial" w:hAnsi="Arial" w:eastAsia="Arial"/>
                <w:color w:val="auto"/>
                <w:sz w:val="14"/>
              </w:rPr>
              <w:t>8151</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7E3157F3">
            <w:pPr>
              <w:spacing w:before="0" w:after="0" w:line="240" w:lineRule="auto"/>
              <w:jc w:val="left"/>
              <w:rPr>
                <w:color w:val="auto"/>
              </w:rPr>
            </w:pPr>
            <w:r>
              <w:rPr>
                <w:rFonts w:ascii="Arial" w:hAnsi="Arial" w:eastAsia="Arial"/>
                <w:color w:val="auto"/>
                <w:sz w:val="14"/>
              </w:rPr>
              <w:t>52.1 (49.4–54.5)</w:t>
            </w:r>
          </w:p>
        </w:tc>
      </w:tr>
      <w:tr w14:paraId="43DF57F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2B35668">
            <w:pPr>
              <w:spacing w:before="0" w:after="0" w:line="240" w:lineRule="auto"/>
              <w:jc w:val="left"/>
              <w:rPr>
                <w:color w:val="auto"/>
              </w:rPr>
            </w:pPr>
            <w:r>
              <w:rPr>
                <w:rFonts w:ascii="Arial" w:hAnsi="Arial" w:eastAsia="Arial"/>
                <w:color w:val="auto"/>
                <w:sz w:val="14"/>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DC20055">
            <w:pPr>
              <w:spacing w:before="0" w:after="0" w:line="240" w:lineRule="auto"/>
              <w:jc w:val="left"/>
              <w:rPr>
                <w:color w:val="auto"/>
              </w:rPr>
            </w:pPr>
            <w:r>
              <w:rPr>
                <w:rFonts w:ascii="Arial" w:hAnsi="Arial" w:eastAsia="Arial"/>
                <w:color w:val="auto"/>
                <w:sz w:val="14"/>
              </w:rPr>
              <w:t>Neither</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F041A8B">
            <w:pPr>
              <w:spacing w:before="0" w:after="0" w:line="240" w:lineRule="auto"/>
              <w:jc w:val="left"/>
              <w:rPr>
                <w:color w:val="auto"/>
              </w:rPr>
            </w:pPr>
            <w:r>
              <w:rPr>
                <w:rFonts w:ascii="Arial" w:hAnsi="Arial" w:eastAsia="Arial"/>
                <w:color w:val="auto"/>
                <w:sz w:val="14"/>
              </w:rPr>
              <w:t>Independent</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FEEF714">
            <w:pPr>
              <w:spacing w:before="0" w:after="0" w:line="240" w:lineRule="auto"/>
              <w:jc w:val="left"/>
              <w:rPr>
                <w:color w:val="auto"/>
              </w:rPr>
            </w:pPr>
            <w:r>
              <w:rPr>
                <w:rFonts w:ascii="Arial" w:hAnsi="Arial" w:eastAsia="Arial"/>
                <w:color w:val="auto"/>
                <w:sz w:val="14"/>
              </w:rPr>
              <w:t>18082</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1EB74E1B">
            <w:pPr>
              <w:spacing w:before="0" w:after="0" w:line="240" w:lineRule="auto"/>
              <w:jc w:val="left"/>
              <w:rPr>
                <w:color w:val="auto"/>
              </w:rPr>
            </w:pPr>
            <w:r>
              <w:rPr>
                <w:rFonts w:ascii="Arial" w:hAnsi="Arial" w:eastAsia="Arial"/>
                <w:color w:val="auto"/>
                <w:sz w:val="14"/>
              </w:rPr>
              <w:t>8151</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27659F9E">
            <w:pPr>
              <w:spacing w:before="0" w:after="0" w:line="240" w:lineRule="auto"/>
              <w:jc w:val="left"/>
              <w:rPr>
                <w:color w:val="auto"/>
              </w:rPr>
            </w:pPr>
            <w:r>
              <w:rPr>
                <w:rFonts w:ascii="Arial" w:hAnsi="Arial" w:eastAsia="Arial"/>
                <w:color w:val="auto"/>
                <w:sz w:val="14"/>
              </w:rPr>
              <w:t>22.6 (20.6–24.8)</w:t>
            </w:r>
          </w:p>
        </w:tc>
      </w:tr>
      <w:tr w14:paraId="0C955660">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349CFB06">
            <w:pPr>
              <w:spacing w:before="0" w:after="0" w:line="240" w:lineRule="auto"/>
              <w:jc w:val="left"/>
              <w:rPr>
                <w:color w:val="auto"/>
              </w:rPr>
            </w:pPr>
            <w:r>
              <w:rPr>
                <w:rFonts w:ascii="Arial" w:hAnsi="Arial" w:eastAsia="Arial"/>
                <w:color w:val="auto"/>
                <w:sz w:val="14"/>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3C41810A">
            <w:pPr>
              <w:spacing w:before="0" w:after="0" w:line="240" w:lineRule="auto"/>
              <w:jc w:val="left"/>
              <w:rPr>
                <w:color w:val="auto"/>
              </w:rPr>
            </w:pPr>
            <w:r>
              <w:rPr>
                <w:rFonts w:ascii="Arial" w:hAnsi="Arial" w:eastAsia="Arial"/>
                <w:color w:val="auto"/>
                <w:sz w:val="14"/>
              </w:rPr>
              <w:t>Neither</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297616E">
            <w:pPr>
              <w:spacing w:before="0" w:after="0" w:line="240" w:lineRule="auto"/>
              <w:jc w:val="left"/>
              <w:rPr>
                <w:color w:val="auto"/>
              </w:rPr>
            </w:pPr>
            <w:r>
              <w:rPr>
                <w:rFonts w:ascii="Arial" w:hAnsi="Arial" w:eastAsia="Arial"/>
                <w:color w:val="auto"/>
                <w:sz w:val="14"/>
              </w:rPr>
              <w:t>IADL limitation</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E642E38">
            <w:pPr>
              <w:spacing w:before="0" w:after="0" w:line="240" w:lineRule="auto"/>
              <w:jc w:val="left"/>
              <w:rPr>
                <w:color w:val="auto"/>
              </w:rPr>
            </w:pPr>
            <w:r>
              <w:rPr>
                <w:rFonts w:ascii="Arial" w:hAnsi="Arial" w:eastAsia="Arial"/>
                <w:color w:val="auto"/>
                <w:sz w:val="14"/>
              </w:rPr>
              <w:t>18082</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E989927">
            <w:pPr>
              <w:spacing w:before="0" w:after="0" w:line="240" w:lineRule="auto"/>
              <w:jc w:val="left"/>
              <w:rPr>
                <w:color w:val="auto"/>
              </w:rPr>
            </w:pPr>
            <w:r>
              <w:rPr>
                <w:rFonts w:ascii="Arial" w:hAnsi="Arial" w:eastAsia="Arial"/>
                <w:color w:val="auto"/>
                <w:sz w:val="14"/>
              </w:rPr>
              <w:t>8151</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40A09874">
            <w:pPr>
              <w:spacing w:before="0" w:after="0" w:line="240" w:lineRule="auto"/>
              <w:jc w:val="left"/>
              <w:rPr>
                <w:color w:val="auto"/>
              </w:rPr>
            </w:pPr>
            <w:r>
              <w:rPr>
                <w:rFonts w:ascii="Arial" w:hAnsi="Arial" w:eastAsia="Arial"/>
                <w:color w:val="auto"/>
                <w:sz w:val="14"/>
              </w:rPr>
              <w:t>8.0 (6.9–9.4)</w:t>
            </w:r>
          </w:p>
        </w:tc>
      </w:tr>
      <w:tr w14:paraId="23329104">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4C625CD">
            <w:pPr>
              <w:spacing w:before="0" w:after="0" w:line="240" w:lineRule="auto"/>
              <w:jc w:val="left"/>
              <w:rPr>
                <w:color w:val="auto"/>
              </w:rPr>
            </w:pPr>
            <w:r>
              <w:rPr>
                <w:rFonts w:ascii="Arial" w:hAnsi="Arial" w:eastAsia="Arial"/>
                <w:color w:val="auto"/>
                <w:sz w:val="14"/>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494FF1E">
            <w:pPr>
              <w:spacing w:before="0" w:after="0" w:line="240" w:lineRule="auto"/>
              <w:jc w:val="left"/>
              <w:rPr>
                <w:color w:val="auto"/>
              </w:rPr>
            </w:pPr>
            <w:r>
              <w:rPr>
                <w:rFonts w:ascii="Arial" w:hAnsi="Arial" w:eastAsia="Arial"/>
                <w:color w:val="auto"/>
                <w:sz w:val="14"/>
              </w:rPr>
              <w:t>Neither</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39C3A160">
            <w:pPr>
              <w:spacing w:before="0" w:after="0" w:line="240" w:lineRule="auto"/>
              <w:jc w:val="left"/>
              <w:rPr>
                <w:color w:val="auto"/>
              </w:rPr>
            </w:pPr>
            <w:r>
              <w:rPr>
                <w:rFonts w:ascii="Arial" w:hAnsi="Arial" w:eastAsia="Arial"/>
                <w:color w:val="auto"/>
                <w:sz w:val="14"/>
              </w:rPr>
              <w:t>Death</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849B0CA">
            <w:pPr>
              <w:spacing w:before="0" w:after="0" w:line="240" w:lineRule="auto"/>
              <w:jc w:val="left"/>
              <w:rPr>
                <w:color w:val="auto"/>
              </w:rPr>
            </w:pPr>
            <w:r>
              <w:rPr>
                <w:rFonts w:ascii="Arial" w:hAnsi="Arial" w:eastAsia="Arial"/>
                <w:color w:val="auto"/>
                <w:sz w:val="14"/>
              </w:rPr>
              <w:t>18082</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1E12683E">
            <w:pPr>
              <w:spacing w:before="0" w:after="0" w:line="240" w:lineRule="auto"/>
              <w:jc w:val="left"/>
              <w:rPr>
                <w:color w:val="auto"/>
              </w:rPr>
            </w:pPr>
            <w:r>
              <w:rPr>
                <w:rFonts w:ascii="Arial" w:hAnsi="Arial" w:eastAsia="Arial"/>
                <w:color w:val="auto"/>
                <w:sz w:val="14"/>
              </w:rPr>
              <w:t>8151</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65113F55">
            <w:pPr>
              <w:spacing w:before="0" w:after="0" w:line="240" w:lineRule="auto"/>
              <w:jc w:val="left"/>
              <w:rPr>
                <w:color w:val="auto"/>
              </w:rPr>
            </w:pPr>
            <w:r>
              <w:rPr>
                <w:rFonts w:ascii="Arial" w:hAnsi="Arial" w:eastAsia="Arial"/>
                <w:color w:val="auto"/>
                <w:sz w:val="14"/>
              </w:rPr>
              <w:t>17.3 (15.8–18.9)</w:t>
            </w:r>
          </w:p>
        </w:tc>
      </w:tr>
      <w:tr w14:paraId="0CF7020D">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4250395">
            <w:pPr>
              <w:spacing w:before="0" w:after="0" w:line="240" w:lineRule="auto"/>
              <w:jc w:val="left"/>
              <w:rPr>
                <w:color w:val="auto"/>
              </w:rPr>
            </w:pPr>
            <w:r>
              <w:rPr>
                <w:rFonts w:ascii="Arial" w:hAnsi="Arial" w:eastAsia="Arial"/>
                <w:color w:val="auto"/>
                <w:sz w:val="14"/>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F2539AC">
            <w:pPr>
              <w:spacing w:before="0" w:after="0" w:line="240" w:lineRule="auto"/>
              <w:jc w:val="left"/>
              <w:rPr>
                <w:color w:val="auto"/>
              </w:rPr>
            </w:pPr>
            <w:r>
              <w:rPr>
                <w:rFonts w:ascii="Arial" w:hAnsi="Arial" w:eastAsia="Arial"/>
                <w:color w:val="auto"/>
                <w:sz w:val="14"/>
              </w:rPr>
              <w:t>Arthritis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F5703CC">
            <w:pPr>
              <w:spacing w:before="0" w:after="0" w:line="240" w:lineRule="auto"/>
              <w:jc w:val="left"/>
              <w:rPr>
                <w:color w:val="auto"/>
              </w:rPr>
            </w:pPr>
            <w:r>
              <w:rPr>
                <w:rFonts w:ascii="Arial" w:hAnsi="Arial" w:eastAsia="Arial"/>
                <w:color w:val="auto"/>
                <w:sz w:val="14"/>
              </w:rPr>
              <w:t>ADL disability</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EBBF5FA">
            <w:pPr>
              <w:spacing w:before="0" w:after="0" w:line="240" w:lineRule="auto"/>
              <w:jc w:val="left"/>
              <w:rPr>
                <w:color w:val="auto"/>
              </w:rPr>
            </w:pPr>
            <w:r>
              <w:rPr>
                <w:rFonts w:ascii="Arial" w:hAnsi="Arial" w:eastAsia="Arial"/>
                <w:color w:val="auto"/>
                <w:sz w:val="14"/>
              </w:rPr>
              <w:t>18082</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4CB21C0F">
            <w:pPr>
              <w:spacing w:before="0" w:after="0" w:line="240" w:lineRule="auto"/>
              <w:jc w:val="left"/>
              <w:rPr>
                <w:color w:val="auto"/>
              </w:rPr>
            </w:pPr>
            <w:r>
              <w:rPr>
                <w:rFonts w:ascii="Arial" w:hAnsi="Arial" w:eastAsia="Arial"/>
                <w:color w:val="auto"/>
                <w:sz w:val="14"/>
              </w:rPr>
              <w:t>8151</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163E8D77">
            <w:pPr>
              <w:spacing w:before="0" w:after="0" w:line="240" w:lineRule="auto"/>
              <w:jc w:val="left"/>
              <w:rPr>
                <w:color w:val="auto"/>
              </w:rPr>
            </w:pPr>
            <w:r>
              <w:rPr>
                <w:rFonts w:ascii="Arial" w:hAnsi="Arial" w:eastAsia="Arial"/>
                <w:color w:val="auto"/>
                <w:sz w:val="14"/>
              </w:rPr>
              <w:t>56.2 (54.9–57.2)</w:t>
            </w:r>
          </w:p>
        </w:tc>
      </w:tr>
      <w:tr w14:paraId="2D58C05B">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FB32D56">
            <w:pPr>
              <w:spacing w:before="0" w:after="0" w:line="240" w:lineRule="auto"/>
              <w:jc w:val="left"/>
              <w:rPr>
                <w:color w:val="auto"/>
              </w:rPr>
            </w:pPr>
            <w:r>
              <w:rPr>
                <w:rFonts w:ascii="Arial" w:hAnsi="Arial" w:eastAsia="Arial"/>
                <w:color w:val="auto"/>
                <w:sz w:val="14"/>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D90F2EF">
            <w:pPr>
              <w:spacing w:before="0" w:after="0" w:line="240" w:lineRule="auto"/>
              <w:jc w:val="left"/>
              <w:rPr>
                <w:color w:val="auto"/>
              </w:rPr>
            </w:pPr>
            <w:r>
              <w:rPr>
                <w:rFonts w:ascii="Arial" w:hAnsi="Arial" w:eastAsia="Arial"/>
                <w:color w:val="auto"/>
                <w:sz w:val="14"/>
              </w:rPr>
              <w:t>Arthritis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189C85F">
            <w:pPr>
              <w:spacing w:before="0" w:after="0" w:line="240" w:lineRule="auto"/>
              <w:jc w:val="left"/>
              <w:rPr>
                <w:color w:val="auto"/>
              </w:rPr>
            </w:pPr>
            <w:r>
              <w:rPr>
                <w:rFonts w:ascii="Arial" w:hAnsi="Arial" w:eastAsia="Arial"/>
                <w:color w:val="auto"/>
                <w:sz w:val="14"/>
              </w:rPr>
              <w:t>Independent</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089B64F">
            <w:pPr>
              <w:spacing w:before="0" w:after="0" w:line="240" w:lineRule="auto"/>
              <w:jc w:val="left"/>
              <w:rPr>
                <w:color w:val="auto"/>
              </w:rPr>
            </w:pPr>
            <w:r>
              <w:rPr>
                <w:rFonts w:ascii="Arial" w:hAnsi="Arial" w:eastAsia="Arial"/>
                <w:color w:val="auto"/>
                <w:sz w:val="14"/>
              </w:rPr>
              <w:t>18082</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CCC8EAC">
            <w:pPr>
              <w:spacing w:before="0" w:after="0" w:line="240" w:lineRule="auto"/>
              <w:jc w:val="left"/>
              <w:rPr>
                <w:color w:val="auto"/>
              </w:rPr>
            </w:pPr>
            <w:r>
              <w:rPr>
                <w:rFonts w:ascii="Arial" w:hAnsi="Arial" w:eastAsia="Arial"/>
                <w:color w:val="auto"/>
                <w:sz w:val="14"/>
              </w:rPr>
              <w:t>8151</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6C7BDC56">
            <w:pPr>
              <w:spacing w:before="0" w:after="0" w:line="240" w:lineRule="auto"/>
              <w:jc w:val="left"/>
              <w:rPr>
                <w:color w:val="auto"/>
              </w:rPr>
            </w:pPr>
            <w:r>
              <w:rPr>
                <w:rFonts w:ascii="Arial" w:hAnsi="Arial" w:eastAsia="Arial"/>
                <w:color w:val="auto"/>
                <w:sz w:val="14"/>
              </w:rPr>
              <w:t>21.3 (20.5–22.3)</w:t>
            </w:r>
          </w:p>
        </w:tc>
      </w:tr>
      <w:tr w14:paraId="24535F59">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0E0E452">
            <w:pPr>
              <w:spacing w:before="0" w:after="0" w:line="240" w:lineRule="auto"/>
              <w:jc w:val="left"/>
              <w:rPr>
                <w:color w:val="auto"/>
              </w:rPr>
            </w:pPr>
            <w:r>
              <w:rPr>
                <w:rFonts w:ascii="Arial" w:hAnsi="Arial" w:eastAsia="Arial"/>
                <w:color w:val="auto"/>
                <w:sz w:val="14"/>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581F0F4">
            <w:pPr>
              <w:spacing w:before="0" w:after="0" w:line="240" w:lineRule="auto"/>
              <w:jc w:val="left"/>
              <w:rPr>
                <w:color w:val="auto"/>
              </w:rPr>
            </w:pPr>
            <w:r>
              <w:rPr>
                <w:rFonts w:ascii="Arial" w:hAnsi="Arial" w:eastAsia="Arial"/>
                <w:color w:val="auto"/>
                <w:sz w:val="14"/>
              </w:rPr>
              <w:t>Arthritis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A83ABF0">
            <w:pPr>
              <w:spacing w:before="0" w:after="0" w:line="240" w:lineRule="auto"/>
              <w:jc w:val="left"/>
              <w:rPr>
                <w:color w:val="auto"/>
              </w:rPr>
            </w:pPr>
            <w:r>
              <w:rPr>
                <w:rFonts w:ascii="Arial" w:hAnsi="Arial" w:eastAsia="Arial"/>
                <w:color w:val="auto"/>
                <w:sz w:val="14"/>
              </w:rPr>
              <w:t>IADL limitation</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C62C82D">
            <w:pPr>
              <w:spacing w:before="0" w:after="0" w:line="240" w:lineRule="auto"/>
              <w:jc w:val="left"/>
              <w:rPr>
                <w:color w:val="auto"/>
              </w:rPr>
            </w:pPr>
            <w:r>
              <w:rPr>
                <w:rFonts w:ascii="Arial" w:hAnsi="Arial" w:eastAsia="Arial"/>
                <w:color w:val="auto"/>
                <w:sz w:val="14"/>
              </w:rPr>
              <w:t>18082</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5723FCC">
            <w:pPr>
              <w:spacing w:before="0" w:after="0" w:line="240" w:lineRule="auto"/>
              <w:jc w:val="left"/>
              <w:rPr>
                <w:color w:val="auto"/>
              </w:rPr>
            </w:pPr>
            <w:r>
              <w:rPr>
                <w:rFonts w:ascii="Arial" w:hAnsi="Arial" w:eastAsia="Arial"/>
                <w:color w:val="auto"/>
                <w:sz w:val="14"/>
              </w:rPr>
              <w:t>8151</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449652D0">
            <w:pPr>
              <w:spacing w:before="0" w:after="0" w:line="240" w:lineRule="auto"/>
              <w:jc w:val="left"/>
              <w:rPr>
                <w:color w:val="auto"/>
              </w:rPr>
            </w:pPr>
            <w:r>
              <w:rPr>
                <w:rFonts w:ascii="Arial" w:hAnsi="Arial" w:eastAsia="Arial"/>
                <w:color w:val="auto"/>
                <w:sz w:val="14"/>
              </w:rPr>
              <w:t>6.4 (6.0–7.0)</w:t>
            </w:r>
          </w:p>
        </w:tc>
      </w:tr>
      <w:tr w14:paraId="6E835160">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A935FF7">
            <w:pPr>
              <w:spacing w:before="0" w:after="0" w:line="240" w:lineRule="auto"/>
              <w:jc w:val="left"/>
              <w:rPr>
                <w:color w:val="auto"/>
              </w:rPr>
            </w:pPr>
            <w:r>
              <w:rPr>
                <w:rFonts w:ascii="Arial" w:hAnsi="Arial" w:eastAsia="Arial"/>
                <w:color w:val="auto"/>
                <w:sz w:val="14"/>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FCFDA40">
            <w:pPr>
              <w:spacing w:before="0" w:after="0" w:line="240" w:lineRule="auto"/>
              <w:jc w:val="left"/>
              <w:rPr>
                <w:color w:val="auto"/>
              </w:rPr>
            </w:pPr>
            <w:r>
              <w:rPr>
                <w:rFonts w:ascii="Arial" w:hAnsi="Arial" w:eastAsia="Arial"/>
                <w:color w:val="auto"/>
                <w:sz w:val="14"/>
              </w:rPr>
              <w:t>Arthritis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3A695A4B">
            <w:pPr>
              <w:spacing w:before="0" w:after="0" w:line="240" w:lineRule="auto"/>
              <w:jc w:val="left"/>
              <w:rPr>
                <w:color w:val="auto"/>
              </w:rPr>
            </w:pPr>
            <w:r>
              <w:rPr>
                <w:rFonts w:ascii="Arial" w:hAnsi="Arial" w:eastAsia="Arial"/>
                <w:color w:val="auto"/>
                <w:sz w:val="14"/>
              </w:rPr>
              <w:t>Death</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1D6A2A7E">
            <w:pPr>
              <w:spacing w:before="0" w:after="0" w:line="240" w:lineRule="auto"/>
              <w:jc w:val="left"/>
              <w:rPr>
                <w:color w:val="auto"/>
              </w:rPr>
            </w:pPr>
            <w:r>
              <w:rPr>
                <w:rFonts w:ascii="Arial" w:hAnsi="Arial" w:eastAsia="Arial"/>
                <w:color w:val="auto"/>
                <w:sz w:val="14"/>
              </w:rPr>
              <w:t>18082</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084C0630">
            <w:pPr>
              <w:spacing w:before="0" w:after="0" w:line="240" w:lineRule="auto"/>
              <w:jc w:val="left"/>
              <w:rPr>
                <w:color w:val="auto"/>
              </w:rPr>
            </w:pPr>
            <w:r>
              <w:rPr>
                <w:rFonts w:ascii="Arial" w:hAnsi="Arial" w:eastAsia="Arial"/>
                <w:color w:val="auto"/>
                <w:sz w:val="14"/>
              </w:rPr>
              <w:t>8151</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1956C459">
            <w:pPr>
              <w:spacing w:before="0" w:after="0" w:line="240" w:lineRule="auto"/>
              <w:jc w:val="left"/>
              <w:rPr>
                <w:color w:val="auto"/>
              </w:rPr>
            </w:pPr>
            <w:r>
              <w:rPr>
                <w:rFonts w:ascii="Arial" w:hAnsi="Arial" w:eastAsia="Arial"/>
                <w:color w:val="auto"/>
                <w:sz w:val="14"/>
              </w:rPr>
              <w:t>16.1 (15.5–16.8)</w:t>
            </w:r>
          </w:p>
        </w:tc>
      </w:tr>
      <w:tr w14:paraId="1FD54ABA">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2E29066">
            <w:pPr>
              <w:spacing w:before="0" w:after="0" w:line="240" w:lineRule="auto"/>
              <w:jc w:val="left"/>
              <w:rPr>
                <w:color w:val="auto"/>
              </w:rPr>
            </w:pPr>
            <w:r>
              <w:rPr>
                <w:rFonts w:ascii="Arial" w:hAnsi="Arial" w:eastAsia="Arial"/>
                <w:color w:val="auto"/>
                <w:sz w:val="14"/>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43DB2D8">
            <w:pPr>
              <w:spacing w:before="0" w:after="0" w:line="240" w:lineRule="auto"/>
              <w:jc w:val="left"/>
              <w:rPr>
                <w:color w:val="auto"/>
              </w:rPr>
            </w:pPr>
            <w:r>
              <w:rPr>
                <w:rFonts w:ascii="Arial" w:hAnsi="Arial" w:eastAsia="Arial"/>
                <w:color w:val="auto"/>
                <w:sz w:val="14"/>
              </w:rPr>
              <w:t>Diabetes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E404C01">
            <w:pPr>
              <w:spacing w:before="0" w:after="0" w:line="240" w:lineRule="auto"/>
              <w:jc w:val="left"/>
              <w:rPr>
                <w:color w:val="auto"/>
              </w:rPr>
            </w:pPr>
            <w:r>
              <w:rPr>
                <w:rFonts w:ascii="Arial" w:hAnsi="Arial" w:eastAsia="Arial"/>
                <w:color w:val="auto"/>
                <w:sz w:val="14"/>
              </w:rPr>
              <w:t>ADL disability</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2B4C3DC8">
            <w:pPr>
              <w:spacing w:before="0" w:after="0" w:line="240" w:lineRule="auto"/>
              <w:jc w:val="left"/>
              <w:rPr>
                <w:color w:val="auto"/>
              </w:rPr>
            </w:pPr>
            <w:r>
              <w:rPr>
                <w:rFonts w:ascii="Arial" w:hAnsi="Arial" w:eastAsia="Arial"/>
                <w:color w:val="auto"/>
                <w:sz w:val="14"/>
              </w:rPr>
              <w:t>18082</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2D343FBD">
            <w:pPr>
              <w:spacing w:before="0" w:after="0" w:line="240" w:lineRule="auto"/>
              <w:jc w:val="left"/>
              <w:rPr>
                <w:color w:val="auto"/>
              </w:rPr>
            </w:pPr>
            <w:r>
              <w:rPr>
                <w:rFonts w:ascii="Arial" w:hAnsi="Arial" w:eastAsia="Arial"/>
                <w:color w:val="auto"/>
                <w:sz w:val="14"/>
              </w:rPr>
              <w:t>8151</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1AE0EA7D">
            <w:pPr>
              <w:spacing w:before="0" w:after="0" w:line="240" w:lineRule="auto"/>
              <w:jc w:val="left"/>
              <w:rPr>
                <w:color w:val="auto"/>
              </w:rPr>
            </w:pPr>
            <w:r>
              <w:rPr>
                <w:rFonts w:ascii="Arial" w:hAnsi="Arial" w:eastAsia="Arial"/>
                <w:color w:val="auto"/>
                <w:sz w:val="14"/>
              </w:rPr>
              <w:t>52.1 (47.9–56.1)</w:t>
            </w:r>
          </w:p>
        </w:tc>
      </w:tr>
      <w:tr w14:paraId="5A603183">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2342C10">
            <w:pPr>
              <w:spacing w:before="0" w:after="0" w:line="240" w:lineRule="auto"/>
              <w:jc w:val="left"/>
              <w:rPr>
                <w:color w:val="auto"/>
              </w:rPr>
            </w:pPr>
            <w:r>
              <w:rPr>
                <w:rFonts w:ascii="Arial" w:hAnsi="Arial" w:eastAsia="Arial"/>
                <w:color w:val="auto"/>
                <w:sz w:val="14"/>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6596151">
            <w:pPr>
              <w:spacing w:before="0" w:after="0" w:line="240" w:lineRule="auto"/>
              <w:jc w:val="left"/>
              <w:rPr>
                <w:color w:val="auto"/>
              </w:rPr>
            </w:pPr>
            <w:r>
              <w:rPr>
                <w:rFonts w:ascii="Arial" w:hAnsi="Arial" w:eastAsia="Arial"/>
                <w:color w:val="auto"/>
                <w:sz w:val="14"/>
              </w:rPr>
              <w:t>Diabetes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31F6814">
            <w:pPr>
              <w:spacing w:before="0" w:after="0" w:line="240" w:lineRule="auto"/>
              <w:jc w:val="left"/>
              <w:rPr>
                <w:color w:val="auto"/>
              </w:rPr>
            </w:pPr>
            <w:r>
              <w:rPr>
                <w:rFonts w:ascii="Arial" w:hAnsi="Arial" w:eastAsia="Arial"/>
                <w:color w:val="auto"/>
                <w:sz w:val="14"/>
              </w:rPr>
              <w:t>Independent</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5CAE439">
            <w:pPr>
              <w:spacing w:before="0" w:after="0" w:line="240" w:lineRule="auto"/>
              <w:jc w:val="left"/>
              <w:rPr>
                <w:color w:val="auto"/>
              </w:rPr>
            </w:pPr>
            <w:r>
              <w:rPr>
                <w:rFonts w:ascii="Arial" w:hAnsi="Arial" w:eastAsia="Arial"/>
                <w:color w:val="auto"/>
                <w:sz w:val="14"/>
              </w:rPr>
              <w:t>18082</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D3D6F92">
            <w:pPr>
              <w:spacing w:before="0" w:after="0" w:line="240" w:lineRule="auto"/>
              <w:jc w:val="left"/>
              <w:rPr>
                <w:color w:val="auto"/>
              </w:rPr>
            </w:pPr>
            <w:r>
              <w:rPr>
                <w:rFonts w:ascii="Arial" w:hAnsi="Arial" w:eastAsia="Arial"/>
                <w:color w:val="auto"/>
                <w:sz w:val="14"/>
              </w:rPr>
              <w:t>8151</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6FDF78CE">
            <w:pPr>
              <w:spacing w:before="0" w:after="0" w:line="240" w:lineRule="auto"/>
              <w:jc w:val="left"/>
              <w:rPr>
                <w:color w:val="auto"/>
              </w:rPr>
            </w:pPr>
            <w:r>
              <w:rPr>
                <w:rFonts w:ascii="Arial" w:hAnsi="Arial" w:eastAsia="Arial"/>
                <w:color w:val="auto"/>
                <w:sz w:val="14"/>
              </w:rPr>
              <w:t>20.7 (17.8–24.0)</w:t>
            </w:r>
          </w:p>
        </w:tc>
      </w:tr>
      <w:tr w14:paraId="1FC30E9B">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EEFE659">
            <w:pPr>
              <w:spacing w:before="0" w:after="0" w:line="240" w:lineRule="auto"/>
              <w:jc w:val="left"/>
              <w:rPr>
                <w:color w:val="auto"/>
              </w:rPr>
            </w:pPr>
            <w:r>
              <w:rPr>
                <w:rFonts w:ascii="Arial" w:hAnsi="Arial" w:eastAsia="Arial"/>
                <w:color w:val="auto"/>
                <w:sz w:val="14"/>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CB230D4">
            <w:pPr>
              <w:spacing w:before="0" w:after="0" w:line="240" w:lineRule="auto"/>
              <w:jc w:val="left"/>
              <w:rPr>
                <w:color w:val="auto"/>
              </w:rPr>
            </w:pPr>
            <w:r>
              <w:rPr>
                <w:rFonts w:ascii="Arial" w:hAnsi="Arial" w:eastAsia="Arial"/>
                <w:color w:val="auto"/>
                <w:sz w:val="14"/>
              </w:rPr>
              <w:t>Diabetes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8FB61FC">
            <w:pPr>
              <w:spacing w:before="0" w:after="0" w:line="240" w:lineRule="auto"/>
              <w:jc w:val="left"/>
              <w:rPr>
                <w:color w:val="auto"/>
              </w:rPr>
            </w:pPr>
            <w:r>
              <w:rPr>
                <w:rFonts w:ascii="Arial" w:hAnsi="Arial" w:eastAsia="Arial"/>
                <w:color w:val="auto"/>
                <w:sz w:val="14"/>
              </w:rPr>
              <w:t>IADL limitation</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87642C1">
            <w:pPr>
              <w:spacing w:before="0" w:after="0" w:line="240" w:lineRule="auto"/>
              <w:jc w:val="left"/>
              <w:rPr>
                <w:color w:val="auto"/>
              </w:rPr>
            </w:pPr>
            <w:r>
              <w:rPr>
                <w:rFonts w:ascii="Arial" w:hAnsi="Arial" w:eastAsia="Arial"/>
                <w:color w:val="auto"/>
                <w:sz w:val="14"/>
              </w:rPr>
              <w:t>18082</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0861C347">
            <w:pPr>
              <w:spacing w:before="0" w:after="0" w:line="240" w:lineRule="auto"/>
              <w:jc w:val="left"/>
              <w:rPr>
                <w:color w:val="auto"/>
              </w:rPr>
            </w:pPr>
            <w:r>
              <w:rPr>
                <w:rFonts w:ascii="Arial" w:hAnsi="Arial" w:eastAsia="Arial"/>
                <w:color w:val="auto"/>
                <w:sz w:val="14"/>
              </w:rPr>
              <w:t>8151</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630750B2">
            <w:pPr>
              <w:spacing w:before="0" w:after="0" w:line="240" w:lineRule="auto"/>
              <w:jc w:val="left"/>
              <w:rPr>
                <w:color w:val="auto"/>
              </w:rPr>
            </w:pPr>
            <w:r>
              <w:rPr>
                <w:rFonts w:ascii="Arial" w:hAnsi="Arial" w:eastAsia="Arial"/>
                <w:color w:val="auto"/>
                <w:sz w:val="14"/>
              </w:rPr>
              <w:t>5.8 (4.4–7.8)</w:t>
            </w:r>
          </w:p>
        </w:tc>
      </w:tr>
      <w:tr w14:paraId="535C7ADC">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74B8D31">
            <w:pPr>
              <w:spacing w:before="0" w:after="0" w:line="240" w:lineRule="auto"/>
              <w:jc w:val="left"/>
              <w:rPr>
                <w:color w:val="auto"/>
              </w:rPr>
            </w:pPr>
            <w:r>
              <w:rPr>
                <w:rFonts w:ascii="Arial" w:hAnsi="Arial" w:eastAsia="Arial"/>
                <w:color w:val="auto"/>
                <w:sz w:val="14"/>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DD6507E">
            <w:pPr>
              <w:spacing w:before="0" w:after="0" w:line="240" w:lineRule="auto"/>
              <w:jc w:val="left"/>
              <w:rPr>
                <w:color w:val="auto"/>
              </w:rPr>
            </w:pPr>
            <w:r>
              <w:rPr>
                <w:rFonts w:ascii="Arial" w:hAnsi="Arial" w:eastAsia="Arial"/>
                <w:color w:val="auto"/>
                <w:sz w:val="14"/>
              </w:rPr>
              <w:t>Diabetes only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340C486">
            <w:pPr>
              <w:spacing w:before="0" w:after="0" w:line="240" w:lineRule="auto"/>
              <w:jc w:val="left"/>
              <w:rPr>
                <w:color w:val="auto"/>
              </w:rPr>
            </w:pPr>
            <w:r>
              <w:rPr>
                <w:rFonts w:ascii="Arial" w:hAnsi="Arial" w:eastAsia="Arial"/>
                <w:color w:val="auto"/>
                <w:sz w:val="14"/>
              </w:rPr>
              <w:t>Death</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611E6EBD">
            <w:pPr>
              <w:spacing w:before="0" w:after="0" w:line="240" w:lineRule="auto"/>
              <w:jc w:val="left"/>
              <w:rPr>
                <w:color w:val="auto"/>
              </w:rPr>
            </w:pPr>
            <w:r>
              <w:rPr>
                <w:rFonts w:ascii="Arial" w:hAnsi="Arial" w:eastAsia="Arial"/>
                <w:color w:val="auto"/>
                <w:sz w:val="14"/>
              </w:rPr>
              <w:t>18082</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0F8F3C1B">
            <w:pPr>
              <w:spacing w:before="0" w:after="0" w:line="240" w:lineRule="auto"/>
              <w:jc w:val="left"/>
              <w:rPr>
                <w:color w:val="auto"/>
              </w:rPr>
            </w:pPr>
            <w:r>
              <w:rPr>
                <w:rFonts w:ascii="Arial" w:hAnsi="Arial" w:eastAsia="Arial"/>
                <w:color w:val="auto"/>
                <w:sz w:val="14"/>
              </w:rPr>
              <w:t>8151</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4FC42D40">
            <w:pPr>
              <w:spacing w:before="0" w:after="0" w:line="240" w:lineRule="auto"/>
              <w:jc w:val="left"/>
              <w:rPr>
                <w:color w:val="auto"/>
              </w:rPr>
            </w:pPr>
            <w:r>
              <w:rPr>
                <w:rFonts w:ascii="Arial" w:hAnsi="Arial" w:eastAsia="Arial"/>
                <w:color w:val="auto"/>
                <w:sz w:val="14"/>
              </w:rPr>
              <w:t>21.3 (18.6–24.3)</w:t>
            </w:r>
          </w:p>
        </w:tc>
      </w:tr>
      <w:tr w14:paraId="2CB8785F">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9AA88CC">
            <w:pPr>
              <w:spacing w:before="0" w:after="0" w:line="240" w:lineRule="auto"/>
              <w:jc w:val="left"/>
              <w:rPr>
                <w:color w:val="auto"/>
              </w:rPr>
            </w:pPr>
            <w:r>
              <w:rPr>
                <w:rFonts w:ascii="Arial" w:hAnsi="Arial" w:eastAsia="Arial"/>
                <w:color w:val="auto"/>
                <w:sz w:val="14"/>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57D08B0">
            <w:pPr>
              <w:spacing w:before="0" w:after="0" w:line="240" w:lineRule="auto"/>
              <w:jc w:val="left"/>
              <w:rPr>
                <w:color w:val="auto"/>
              </w:rPr>
            </w:pPr>
            <w:r>
              <w:rPr>
                <w:rFonts w:ascii="Arial" w:hAnsi="Arial" w:eastAsia="Arial"/>
                <w:color w:val="auto"/>
                <w:sz w:val="14"/>
              </w:rPr>
              <w:t>Comorbidity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5E35F89">
            <w:pPr>
              <w:spacing w:before="0" w:after="0" w:line="240" w:lineRule="auto"/>
              <w:jc w:val="left"/>
              <w:rPr>
                <w:color w:val="auto"/>
              </w:rPr>
            </w:pPr>
            <w:r>
              <w:rPr>
                <w:rFonts w:ascii="Arial" w:hAnsi="Arial" w:eastAsia="Arial"/>
                <w:color w:val="auto"/>
                <w:sz w:val="14"/>
              </w:rPr>
              <w:t>ADL disability</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068150CE">
            <w:pPr>
              <w:spacing w:before="0" w:after="0" w:line="240" w:lineRule="auto"/>
              <w:jc w:val="left"/>
              <w:rPr>
                <w:color w:val="auto"/>
              </w:rPr>
            </w:pPr>
            <w:r>
              <w:rPr>
                <w:rFonts w:ascii="Arial" w:hAnsi="Arial" w:eastAsia="Arial"/>
                <w:color w:val="auto"/>
                <w:sz w:val="14"/>
              </w:rPr>
              <w:t>18082</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6E969596">
            <w:pPr>
              <w:spacing w:before="0" w:after="0" w:line="240" w:lineRule="auto"/>
              <w:jc w:val="left"/>
              <w:rPr>
                <w:color w:val="auto"/>
              </w:rPr>
            </w:pPr>
            <w:r>
              <w:rPr>
                <w:rFonts w:ascii="Arial" w:hAnsi="Arial" w:eastAsia="Arial"/>
                <w:color w:val="auto"/>
                <w:sz w:val="14"/>
              </w:rPr>
              <w:t>8151</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74208B12">
            <w:pPr>
              <w:spacing w:before="0" w:after="0" w:line="240" w:lineRule="auto"/>
              <w:jc w:val="left"/>
              <w:rPr>
                <w:color w:val="auto"/>
              </w:rPr>
            </w:pPr>
            <w:r>
              <w:rPr>
                <w:rFonts w:ascii="Arial" w:hAnsi="Arial" w:eastAsia="Arial"/>
                <w:color w:val="auto"/>
                <w:sz w:val="14"/>
              </w:rPr>
              <w:t>57.2 (55.5–58.7)</w:t>
            </w:r>
          </w:p>
        </w:tc>
      </w:tr>
      <w:tr w14:paraId="4C60F175">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B448EFE">
            <w:pPr>
              <w:spacing w:before="0" w:after="0" w:line="240" w:lineRule="auto"/>
              <w:jc w:val="left"/>
              <w:rPr>
                <w:color w:val="auto"/>
              </w:rPr>
            </w:pPr>
            <w:r>
              <w:rPr>
                <w:rFonts w:ascii="Arial" w:hAnsi="Arial" w:eastAsia="Arial"/>
                <w:color w:val="auto"/>
                <w:sz w:val="14"/>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1C49DEF">
            <w:pPr>
              <w:spacing w:before="0" w:after="0" w:line="240" w:lineRule="auto"/>
              <w:jc w:val="left"/>
              <w:rPr>
                <w:color w:val="auto"/>
              </w:rPr>
            </w:pPr>
            <w:r>
              <w:rPr>
                <w:rFonts w:ascii="Arial" w:hAnsi="Arial" w:eastAsia="Arial"/>
                <w:color w:val="auto"/>
                <w:sz w:val="14"/>
              </w:rPr>
              <w:t>Comorbidity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C10CE33">
            <w:pPr>
              <w:spacing w:before="0" w:after="0" w:line="240" w:lineRule="auto"/>
              <w:jc w:val="left"/>
              <w:rPr>
                <w:color w:val="auto"/>
              </w:rPr>
            </w:pPr>
            <w:r>
              <w:rPr>
                <w:rFonts w:ascii="Arial" w:hAnsi="Arial" w:eastAsia="Arial"/>
                <w:color w:val="auto"/>
                <w:sz w:val="14"/>
              </w:rPr>
              <w:t>Independent</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8B45AA9">
            <w:pPr>
              <w:spacing w:before="0" w:after="0" w:line="240" w:lineRule="auto"/>
              <w:jc w:val="left"/>
              <w:rPr>
                <w:color w:val="auto"/>
              </w:rPr>
            </w:pPr>
            <w:r>
              <w:rPr>
                <w:rFonts w:ascii="Arial" w:hAnsi="Arial" w:eastAsia="Arial"/>
                <w:color w:val="auto"/>
                <w:sz w:val="14"/>
              </w:rPr>
              <w:t>18082</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CAD412B">
            <w:pPr>
              <w:spacing w:before="0" w:after="0" w:line="240" w:lineRule="auto"/>
              <w:jc w:val="left"/>
              <w:rPr>
                <w:color w:val="auto"/>
              </w:rPr>
            </w:pPr>
            <w:r>
              <w:rPr>
                <w:rFonts w:ascii="Arial" w:hAnsi="Arial" w:eastAsia="Arial"/>
                <w:color w:val="auto"/>
                <w:sz w:val="14"/>
              </w:rPr>
              <w:t>8151</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4DCCC2A1">
            <w:pPr>
              <w:spacing w:before="0" w:after="0" w:line="240" w:lineRule="auto"/>
              <w:jc w:val="left"/>
              <w:rPr>
                <w:color w:val="auto"/>
              </w:rPr>
            </w:pPr>
            <w:r>
              <w:rPr>
                <w:rFonts w:ascii="Arial" w:hAnsi="Arial" w:eastAsia="Arial"/>
                <w:color w:val="auto"/>
                <w:sz w:val="14"/>
              </w:rPr>
              <w:t>17.6 (16.5–18.9)</w:t>
            </w:r>
          </w:p>
        </w:tc>
      </w:tr>
      <w:tr w14:paraId="1260C378">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B65624C">
            <w:pPr>
              <w:spacing w:before="0" w:after="0" w:line="240" w:lineRule="auto"/>
              <w:jc w:val="left"/>
              <w:rPr>
                <w:color w:val="auto"/>
              </w:rPr>
            </w:pPr>
            <w:r>
              <w:rPr>
                <w:rFonts w:ascii="Arial" w:hAnsi="Arial" w:eastAsia="Arial"/>
                <w:color w:val="auto"/>
                <w:sz w:val="14"/>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210EDB3">
            <w:pPr>
              <w:spacing w:before="0" w:after="0" w:line="240" w:lineRule="auto"/>
              <w:jc w:val="left"/>
              <w:rPr>
                <w:color w:val="auto"/>
              </w:rPr>
            </w:pPr>
            <w:r>
              <w:rPr>
                <w:rFonts w:ascii="Arial" w:hAnsi="Arial" w:eastAsia="Arial"/>
                <w:color w:val="auto"/>
                <w:sz w:val="14"/>
              </w:rPr>
              <w:t>Comorbidity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180B3C1">
            <w:pPr>
              <w:spacing w:before="0" w:after="0" w:line="240" w:lineRule="auto"/>
              <w:jc w:val="left"/>
              <w:rPr>
                <w:color w:val="auto"/>
              </w:rPr>
            </w:pPr>
            <w:r>
              <w:rPr>
                <w:rFonts w:ascii="Arial" w:hAnsi="Arial" w:eastAsia="Arial"/>
                <w:color w:val="auto"/>
                <w:sz w:val="14"/>
              </w:rPr>
              <w:t>IADL limitation</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2A969A59">
            <w:pPr>
              <w:spacing w:before="0" w:after="0" w:line="240" w:lineRule="auto"/>
              <w:jc w:val="left"/>
              <w:rPr>
                <w:color w:val="auto"/>
              </w:rPr>
            </w:pPr>
            <w:r>
              <w:rPr>
                <w:rFonts w:ascii="Arial" w:hAnsi="Arial" w:eastAsia="Arial"/>
                <w:color w:val="auto"/>
                <w:sz w:val="14"/>
              </w:rPr>
              <w:t>18082</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1113A3C">
            <w:pPr>
              <w:spacing w:before="0" w:after="0" w:line="240" w:lineRule="auto"/>
              <w:jc w:val="left"/>
              <w:rPr>
                <w:color w:val="auto"/>
              </w:rPr>
            </w:pPr>
            <w:r>
              <w:rPr>
                <w:rFonts w:ascii="Arial" w:hAnsi="Arial" w:eastAsia="Arial"/>
                <w:color w:val="auto"/>
                <w:sz w:val="14"/>
              </w:rPr>
              <w:t>8151</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0234EEB7">
            <w:pPr>
              <w:spacing w:before="0" w:after="0" w:line="240" w:lineRule="auto"/>
              <w:jc w:val="left"/>
              <w:rPr>
                <w:color w:val="auto"/>
              </w:rPr>
            </w:pPr>
            <w:r>
              <w:rPr>
                <w:rFonts w:ascii="Arial" w:hAnsi="Arial" w:eastAsia="Arial"/>
                <w:color w:val="auto"/>
                <w:sz w:val="14"/>
              </w:rPr>
              <w:t>5.4 (4.8–6.1)</w:t>
            </w:r>
          </w:p>
        </w:tc>
      </w:tr>
      <w:tr w14:paraId="02FE6AF8">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180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162CFDC5">
            <w:pPr>
              <w:spacing w:before="0" w:after="0" w:line="240" w:lineRule="auto"/>
              <w:jc w:val="left"/>
              <w:rPr>
                <w:color w:val="auto"/>
              </w:rPr>
            </w:pPr>
            <w:r>
              <w:rPr>
                <w:rFonts w:ascii="Arial" w:hAnsi="Arial" w:eastAsia="Arial"/>
                <w:color w:val="auto"/>
                <w:sz w:val="14"/>
              </w:rPr>
              <w:t>ADL disability</w:t>
            </w:r>
          </w:p>
        </w:tc>
        <w:tc>
          <w:tcPr>
            <w:tcW w:w="180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3B1AF0BB">
            <w:pPr>
              <w:spacing w:before="0" w:after="0" w:line="240" w:lineRule="auto"/>
              <w:jc w:val="left"/>
              <w:rPr>
                <w:color w:val="auto"/>
              </w:rPr>
            </w:pPr>
            <w:r>
              <w:rPr>
                <w:rFonts w:ascii="Arial" w:hAnsi="Arial" w:eastAsia="Arial"/>
                <w:color w:val="auto"/>
                <w:sz w:val="14"/>
              </w:rPr>
              <w:t>Comorbidity</w:t>
            </w:r>
          </w:p>
        </w:tc>
        <w:tc>
          <w:tcPr>
            <w:tcW w:w="180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22F752B2">
            <w:pPr>
              <w:spacing w:before="0" w:after="0" w:line="240" w:lineRule="auto"/>
              <w:jc w:val="left"/>
              <w:rPr>
                <w:color w:val="auto"/>
              </w:rPr>
            </w:pPr>
            <w:r>
              <w:rPr>
                <w:rFonts w:ascii="Arial" w:hAnsi="Arial" w:eastAsia="Arial"/>
                <w:color w:val="auto"/>
                <w:sz w:val="14"/>
              </w:rPr>
              <w:t>Death</w:t>
            </w:r>
          </w:p>
        </w:tc>
        <w:tc>
          <w:tcPr>
            <w:tcW w:w="2232"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681DCC92">
            <w:pPr>
              <w:spacing w:before="0" w:after="0" w:line="240" w:lineRule="auto"/>
              <w:jc w:val="left"/>
              <w:rPr>
                <w:color w:val="auto"/>
              </w:rPr>
            </w:pPr>
            <w:r>
              <w:rPr>
                <w:rFonts w:ascii="Arial" w:hAnsi="Arial" w:eastAsia="Arial"/>
                <w:color w:val="auto"/>
                <w:sz w:val="14"/>
              </w:rPr>
              <w:t>18082</w:t>
            </w:r>
          </w:p>
        </w:tc>
        <w:tc>
          <w:tcPr>
            <w:tcW w:w="2232"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477E8531">
            <w:pPr>
              <w:spacing w:before="0" w:after="0" w:line="240" w:lineRule="auto"/>
              <w:jc w:val="left"/>
              <w:rPr>
                <w:color w:val="auto"/>
              </w:rPr>
            </w:pPr>
            <w:r>
              <w:rPr>
                <w:rFonts w:ascii="Arial" w:hAnsi="Arial" w:eastAsia="Arial"/>
                <w:color w:val="auto"/>
                <w:sz w:val="14"/>
              </w:rPr>
              <w:t>8151</w:t>
            </w:r>
          </w:p>
        </w:tc>
        <w:tc>
          <w:tcPr>
            <w:tcW w:w="288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7D99CB76">
            <w:pPr>
              <w:spacing w:before="0" w:after="0" w:line="240" w:lineRule="auto"/>
              <w:jc w:val="left"/>
              <w:rPr>
                <w:color w:val="auto"/>
              </w:rPr>
            </w:pPr>
            <w:r>
              <w:rPr>
                <w:rFonts w:ascii="Arial" w:hAnsi="Arial" w:eastAsia="Arial"/>
                <w:color w:val="auto"/>
                <w:sz w:val="14"/>
              </w:rPr>
              <w:t>19.8 (18.8–20.9)</w:t>
            </w:r>
          </w:p>
        </w:tc>
      </w:tr>
    </w:tbl>
    <w:p w14:paraId="67FAD64F">
      <w:pPr>
        <w:pStyle w:val="4"/>
        <w:rPr>
          <w:color w:val="auto"/>
        </w:rPr>
      </w:pPr>
      <w:r>
        <w:rPr>
          <w:rFonts w:ascii="Times New Roman" w:hAnsi="Times New Roman" w:eastAsia="Times New Roman"/>
          <w:i w:val="0"/>
          <w:color w:val="auto"/>
        </w:rPr>
        <w:t>Panel B. Absolute risk differences</w:t>
      </w:r>
    </w:p>
    <w:tbl>
      <w:tblPr>
        <w:tblStyle w:val="32"/>
        <w:tblW w:w="0" w:type="auto"/>
        <w:jc w:val="center"/>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Layout w:type="autofit"/>
        <w:tblCellMar>
          <w:top w:w="0" w:type="dxa"/>
          <w:left w:w="108" w:type="dxa"/>
          <w:bottom w:w="0" w:type="dxa"/>
          <w:right w:w="108" w:type="dxa"/>
        </w:tblCellMar>
      </w:tblPr>
      <w:tblGrid>
        <w:gridCol w:w="2088"/>
        <w:gridCol w:w="2160"/>
        <w:gridCol w:w="2880"/>
        <w:gridCol w:w="4752"/>
      </w:tblGrid>
      <w:tr w14:paraId="24ABF08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PrEx>
        <w:trPr>
          <w:cantSplit/>
          <w:tblHeader/>
          <w:jc w:val="center"/>
        </w:trPr>
        <w:tc>
          <w:tcPr>
            <w:tcW w:w="2088"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2BF52C43">
            <w:pPr>
              <w:spacing w:before="0" w:after="0" w:line="240" w:lineRule="auto"/>
              <w:jc w:val="left"/>
              <w:rPr>
                <w:color w:val="auto"/>
              </w:rPr>
            </w:pPr>
            <w:r>
              <w:rPr>
                <w:rFonts w:ascii="Arial" w:hAnsi="Arial" w:eastAsia="Arial"/>
                <w:b/>
                <w:color w:val="auto"/>
                <w:sz w:val="16"/>
              </w:rPr>
              <w:t>Baseline state</w:t>
            </w:r>
          </w:p>
        </w:tc>
        <w:tc>
          <w:tcPr>
            <w:tcW w:w="216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4DDDF657">
            <w:pPr>
              <w:spacing w:before="0" w:after="0" w:line="240" w:lineRule="auto"/>
              <w:jc w:val="left"/>
              <w:rPr>
                <w:color w:val="auto"/>
              </w:rPr>
            </w:pPr>
            <w:r>
              <w:rPr>
                <w:rFonts w:ascii="Arial" w:hAnsi="Arial" w:eastAsia="Arial"/>
                <w:b/>
                <w:color w:val="auto"/>
                <w:sz w:val="16"/>
              </w:rPr>
              <w:t>Next-wave state</w:t>
            </w:r>
          </w:p>
        </w:tc>
        <w:tc>
          <w:tcPr>
            <w:tcW w:w="288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558FFF32">
            <w:pPr>
              <w:spacing w:before="0" w:after="0" w:line="240" w:lineRule="auto"/>
              <w:jc w:val="left"/>
              <w:rPr>
                <w:color w:val="auto"/>
              </w:rPr>
            </w:pPr>
            <w:r>
              <w:rPr>
                <w:rFonts w:ascii="Arial" w:hAnsi="Arial" w:eastAsia="Arial"/>
                <w:b/>
                <w:color w:val="auto"/>
                <w:sz w:val="16"/>
              </w:rPr>
              <w:t>Contrast</w:t>
            </w:r>
          </w:p>
        </w:tc>
        <w:tc>
          <w:tcPr>
            <w:tcW w:w="4752"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0B6C3B82">
            <w:pPr>
              <w:spacing w:before="0" w:after="0" w:line="240" w:lineRule="auto"/>
              <w:jc w:val="left"/>
              <w:rPr>
                <w:color w:val="auto"/>
              </w:rPr>
            </w:pPr>
            <w:r>
              <w:rPr>
                <w:rFonts w:ascii="Arial" w:hAnsi="Arial" w:eastAsia="Arial"/>
                <w:b/>
                <w:color w:val="auto"/>
                <w:sz w:val="16"/>
              </w:rPr>
              <w:t>Risk difference, percentage points (95% CI)</w:t>
            </w:r>
          </w:p>
        </w:tc>
      </w:tr>
      <w:tr w14:paraId="52F8438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63480028">
            <w:pPr>
              <w:spacing w:before="0" w:after="0" w:line="240" w:lineRule="auto"/>
              <w:jc w:val="left"/>
              <w:rPr>
                <w:color w:val="auto"/>
              </w:rPr>
            </w:pPr>
            <w:r>
              <w:rPr>
                <w:rFonts w:ascii="Arial" w:hAnsi="Arial" w:eastAsia="Arial"/>
                <w:color w:val="auto"/>
                <w:sz w:val="16"/>
              </w:rPr>
              <w:t>Independent</w:t>
            </w:r>
          </w:p>
        </w:tc>
        <w:tc>
          <w:tcPr>
            <w:tcW w:w="2160" w:type="dxa"/>
            <w:tcBorders>
              <w:top w:val="nil"/>
              <w:left w:val="nil"/>
              <w:bottom w:val="nil"/>
              <w:right w:val="nil"/>
              <w:insideH w:val="nil"/>
              <w:insideV w:val="nil"/>
            </w:tcBorders>
            <w:tcMar>
              <w:top w:w="80" w:type="dxa"/>
              <w:left w:w="80" w:type="dxa"/>
              <w:bottom w:w="80" w:type="dxa"/>
              <w:right w:w="80" w:type="dxa"/>
            </w:tcMar>
            <w:vAlign w:val="center"/>
          </w:tcPr>
          <w:p w14:paraId="660A0061">
            <w:pPr>
              <w:spacing w:before="0" w:after="0" w:line="240" w:lineRule="auto"/>
              <w:jc w:val="left"/>
              <w:rPr>
                <w:color w:val="auto"/>
              </w:rPr>
            </w:pPr>
            <w:r>
              <w:rPr>
                <w:rFonts w:ascii="Arial" w:hAnsi="Arial" w:eastAsia="Arial"/>
                <w:color w:val="auto"/>
                <w:sz w:val="16"/>
              </w:rPr>
              <w:t>Independent</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165F478F">
            <w:pPr>
              <w:spacing w:before="0" w:after="0" w:line="240" w:lineRule="auto"/>
              <w:jc w:val="left"/>
              <w:rPr>
                <w:color w:val="auto"/>
              </w:rPr>
            </w:pPr>
            <w:r>
              <w:rPr>
                <w:rFonts w:ascii="Arial" w:hAnsi="Arial" w:eastAsia="Arial"/>
                <w:color w:val="auto"/>
                <w:sz w:val="16"/>
              </w:rPr>
              <w:t>Comorbidity - Arthritis only</w:t>
            </w:r>
          </w:p>
        </w:tc>
        <w:tc>
          <w:tcPr>
            <w:tcW w:w="4752" w:type="dxa"/>
            <w:tcBorders>
              <w:top w:val="nil"/>
              <w:left w:val="nil"/>
              <w:bottom w:val="nil"/>
              <w:right w:val="nil"/>
              <w:insideH w:val="nil"/>
              <w:insideV w:val="nil"/>
            </w:tcBorders>
            <w:tcMar>
              <w:top w:w="80" w:type="dxa"/>
              <w:left w:w="80" w:type="dxa"/>
              <w:bottom w:w="80" w:type="dxa"/>
              <w:right w:w="80" w:type="dxa"/>
            </w:tcMar>
            <w:vAlign w:val="center"/>
          </w:tcPr>
          <w:p w14:paraId="5D61EDDD">
            <w:pPr>
              <w:spacing w:before="0" w:after="0" w:line="240" w:lineRule="auto"/>
              <w:jc w:val="left"/>
              <w:rPr>
                <w:color w:val="auto"/>
              </w:rPr>
            </w:pPr>
            <w:r>
              <w:rPr>
                <w:rFonts w:ascii="Arial" w:hAnsi="Arial" w:eastAsia="Arial"/>
                <w:color w:val="auto"/>
                <w:sz w:val="16"/>
              </w:rPr>
              <w:t>-3.04 (-4.06 to -2.06)</w:t>
            </w:r>
          </w:p>
        </w:tc>
      </w:tr>
      <w:tr w14:paraId="54CD9EBF">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1A5C11AB">
            <w:pPr>
              <w:spacing w:before="0" w:after="0" w:line="240" w:lineRule="auto"/>
              <w:jc w:val="left"/>
              <w:rPr>
                <w:color w:val="auto"/>
              </w:rPr>
            </w:pPr>
            <w:r>
              <w:rPr>
                <w:rFonts w:ascii="Arial" w:hAnsi="Arial" w:eastAsia="Arial"/>
                <w:color w:val="auto"/>
                <w:sz w:val="16"/>
              </w:rPr>
              <w:t>Independent</w:t>
            </w:r>
          </w:p>
        </w:tc>
        <w:tc>
          <w:tcPr>
            <w:tcW w:w="2160" w:type="dxa"/>
            <w:tcBorders>
              <w:top w:val="nil"/>
              <w:left w:val="nil"/>
              <w:bottom w:val="nil"/>
              <w:right w:val="nil"/>
              <w:insideH w:val="nil"/>
              <w:insideV w:val="nil"/>
            </w:tcBorders>
            <w:tcMar>
              <w:top w:w="80" w:type="dxa"/>
              <w:left w:w="80" w:type="dxa"/>
              <w:bottom w:w="80" w:type="dxa"/>
              <w:right w:w="80" w:type="dxa"/>
            </w:tcMar>
            <w:vAlign w:val="center"/>
          </w:tcPr>
          <w:p w14:paraId="334FD7CE">
            <w:pPr>
              <w:spacing w:before="0" w:after="0" w:line="240" w:lineRule="auto"/>
              <w:jc w:val="left"/>
              <w:rPr>
                <w:color w:val="auto"/>
              </w:rPr>
            </w:pPr>
            <w:r>
              <w:rPr>
                <w:rFonts w:ascii="Arial" w:hAnsi="Arial" w:eastAsia="Arial"/>
                <w:color w:val="auto"/>
                <w:sz w:val="16"/>
              </w:rPr>
              <w:t>IADL limitation</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57A8FE04">
            <w:pPr>
              <w:spacing w:before="0" w:after="0" w:line="240" w:lineRule="auto"/>
              <w:jc w:val="left"/>
              <w:rPr>
                <w:color w:val="auto"/>
              </w:rPr>
            </w:pPr>
            <w:r>
              <w:rPr>
                <w:rFonts w:ascii="Arial" w:hAnsi="Arial" w:eastAsia="Arial"/>
                <w:color w:val="auto"/>
                <w:sz w:val="16"/>
              </w:rPr>
              <w:t>Comorbidity - Arthritis only</w:t>
            </w:r>
          </w:p>
        </w:tc>
        <w:tc>
          <w:tcPr>
            <w:tcW w:w="4752" w:type="dxa"/>
            <w:tcBorders>
              <w:top w:val="nil"/>
              <w:left w:val="nil"/>
              <w:bottom w:val="nil"/>
              <w:right w:val="nil"/>
              <w:insideH w:val="nil"/>
              <w:insideV w:val="nil"/>
            </w:tcBorders>
            <w:tcMar>
              <w:top w:w="80" w:type="dxa"/>
              <w:left w:w="80" w:type="dxa"/>
              <w:bottom w:w="80" w:type="dxa"/>
              <w:right w:w="80" w:type="dxa"/>
            </w:tcMar>
            <w:vAlign w:val="center"/>
          </w:tcPr>
          <w:p w14:paraId="4F1BB479">
            <w:pPr>
              <w:spacing w:before="0" w:after="0" w:line="240" w:lineRule="auto"/>
              <w:jc w:val="left"/>
              <w:rPr>
                <w:color w:val="auto"/>
              </w:rPr>
            </w:pPr>
            <w:r>
              <w:rPr>
                <w:rFonts w:ascii="Arial" w:hAnsi="Arial" w:eastAsia="Arial"/>
                <w:color w:val="auto"/>
                <w:sz w:val="16"/>
              </w:rPr>
              <w:t>+0.18 (-0.32 to +0.70)</w:t>
            </w:r>
          </w:p>
        </w:tc>
      </w:tr>
      <w:tr w14:paraId="4B3E217D">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215970AF">
            <w:pPr>
              <w:spacing w:before="0" w:after="0" w:line="240" w:lineRule="auto"/>
              <w:jc w:val="left"/>
              <w:rPr>
                <w:color w:val="auto"/>
              </w:rPr>
            </w:pPr>
            <w:r>
              <w:rPr>
                <w:rFonts w:ascii="Arial" w:hAnsi="Arial" w:eastAsia="Arial"/>
                <w:color w:val="auto"/>
                <w:sz w:val="16"/>
              </w:rPr>
              <w:t>Independent</w:t>
            </w:r>
          </w:p>
        </w:tc>
        <w:tc>
          <w:tcPr>
            <w:tcW w:w="2160" w:type="dxa"/>
            <w:tcBorders>
              <w:top w:val="nil"/>
              <w:left w:val="nil"/>
              <w:bottom w:val="nil"/>
              <w:right w:val="nil"/>
              <w:insideH w:val="nil"/>
              <w:insideV w:val="nil"/>
            </w:tcBorders>
            <w:tcMar>
              <w:top w:w="80" w:type="dxa"/>
              <w:left w:w="80" w:type="dxa"/>
              <w:bottom w:w="80" w:type="dxa"/>
              <w:right w:w="80" w:type="dxa"/>
            </w:tcMar>
            <w:vAlign w:val="center"/>
          </w:tcPr>
          <w:p w14:paraId="0ECF4587">
            <w:pPr>
              <w:spacing w:before="0" w:after="0" w:line="240" w:lineRule="auto"/>
              <w:jc w:val="left"/>
              <w:rPr>
                <w:color w:val="auto"/>
              </w:rPr>
            </w:pPr>
            <w:r>
              <w:rPr>
                <w:rFonts w:ascii="Arial" w:hAnsi="Arial" w:eastAsia="Arial"/>
                <w:color w:val="auto"/>
                <w:sz w:val="16"/>
              </w:rPr>
              <w:t>ADL disability</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241F7F80">
            <w:pPr>
              <w:spacing w:before="0" w:after="0" w:line="240" w:lineRule="auto"/>
              <w:jc w:val="left"/>
              <w:rPr>
                <w:color w:val="auto"/>
              </w:rPr>
            </w:pPr>
            <w:r>
              <w:rPr>
                <w:rFonts w:ascii="Arial" w:hAnsi="Arial" w:eastAsia="Arial"/>
                <w:color w:val="auto"/>
                <w:sz w:val="16"/>
              </w:rPr>
              <w:t>Comorbidity - Arthritis only</w:t>
            </w:r>
          </w:p>
        </w:tc>
        <w:tc>
          <w:tcPr>
            <w:tcW w:w="4752" w:type="dxa"/>
            <w:tcBorders>
              <w:top w:val="nil"/>
              <w:left w:val="nil"/>
              <w:bottom w:val="nil"/>
              <w:right w:val="nil"/>
              <w:insideH w:val="nil"/>
              <w:insideV w:val="nil"/>
            </w:tcBorders>
            <w:tcMar>
              <w:top w:w="80" w:type="dxa"/>
              <w:left w:w="80" w:type="dxa"/>
              <w:bottom w:w="80" w:type="dxa"/>
              <w:right w:w="80" w:type="dxa"/>
            </w:tcMar>
            <w:vAlign w:val="center"/>
          </w:tcPr>
          <w:p w14:paraId="6C49DA17">
            <w:pPr>
              <w:spacing w:before="0" w:after="0" w:line="240" w:lineRule="auto"/>
              <w:jc w:val="left"/>
              <w:rPr>
                <w:color w:val="auto"/>
              </w:rPr>
            </w:pPr>
            <w:r>
              <w:rPr>
                <w:rFonts w:ascii="Arial" w:hAnsi="Arial" w:eastAsia="Arial"/>
                <w:color w:val="auto"/>
                <w:sz w:val="16"/>
              </w:rPr>
              <w:t>+1.10 (+0.34 to +1.89)</w:t>
            </w:r>
          </w:p>
        </w:tc>
      </w:tr>
      <w:tr w14:paraId="3A853507">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363C1836">
            <w:pPr>
              <w:spacing w:before="0" w:after="0" w:line="240" w:lineRule="auto"/>
              <w:jc w:val="left"/>
              <w:rPr>
                <w:color w:val="auto"/>
              </w:rPr>
            </w:pPr>
            <w:r>
              <w:rPr>
                <w:rFonts w:ascii="Arial" w:hAnsi="Arial" w:eastAsia="Arial"/>
                <w:color w:val="auto"/>
                <w:sz w:val="16"/>
              </w:rPr>
              <w:t>Independent</w:t>
            </w:r>
          </w:p>
        </w:tc>
        <w:tc>
          <w:tcPr>
            <w:tcW w:w="2160" w:type="dxa"/>
            <w:tcBorders>
              <w:top w:val="nil"/>
              <w:left w:val="nil"/>
              <w:bottom w:val="nil"/>
              <w:right w:val="nil"/>
              <w:insideH w:val="nil"/>
              <w:insideV w:val="nil"/>
            </w:tcBorders>
            <w:tcMar>
              <w:top w:w="80" w:type="dxa"/>
              <w:left w:w="80" w:type="dxa"/>
              <w:bottom w:w="80" w:type="dxa"/>
              <w:right w:w="80" w:type="dxa"/>
            </w:tcMar>
            <w:vAlign w:val="center"/>
          </w:tcPr>
          <w:p w14:paraId="6E0FF392">
            <w:pPr>
              <w:spacing w:before="0" w:after="0" w:line="240" w:lineRule="auto"/>
              <w:jc w:val="left"/>
              <w:rPr>
                <w:color w:val="auto"/>
              </w:rPr>
            </w:pPr>
            <w:r>
              <w:rPr>
                <w:rFonts w:ascii="Arial" w:hAnsi="Arial" w:eastAsia="Arial"/>
                <w:color w:val="auto"/>
                <w:sz w:val="16"/>
              </w:rPr>
              <w:t>Death</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2E89BFE4">
            <w:pPr>
              <w:spacing w:before="0" w:after="0" w:line="240" w:lineRule="auto"/>
              <w:jc w:val="left"/>
              <w:rPr>
                <w:color w:val="auto"/>
              </w:rPr>
            </w:pPr>
            <w:r>
              <w:rPr>
                <w:rFonts w:ascii="Arial" w:hAnsi="Arial" w:eastAsia="Arial"/>
                <w:color w:val="auto"/>
                <w:sz w:val="16"/>
              </w:rPr>
              <w:t>Comorbidity - Arthritis only</w:t>
            </w:r>
          </w:p>
        </w:tc>
        <w:tc>
          <w:tcPr>
            <w:tcW w:w="4752" w:type="dxa"/>
            <w:tcBorders>
              <w:top w:val="nil"/>
              <w:left w:val="nil"/>
              <w:bottom w:val="nil"/>
              <w:right w:val="nil"/>
              <w:insideH w:val="nil"/>
              <w:insideV w:val="nil"/>
            </w:tcBorders>
            <w:tcMar>
              <w:top w:w="80" w:type="dxa"/>
              <w:left w:w="80" w:type="dxa"/>
              <w:bottom w:w="80" w:type="dxa"/>
              <w:right w:w="80" w:type="dxa"/>
            </w:tcMar>
            <w:vAlign w:val="center"/>
          </w:tcPr>
          <w:p w14:paraId="0AD7F3CF">
            <w:pPr>
              <w:spacing w:before="0" w:after="0" w:line="240" w:lineRule="auto"/>
              <w:jc w:val="left"/>
              <w:rPr>
                <w:color w:val="auto"/>
              </w:rPr>
            </w:pPr>
            <w:r>
              <w:rPr>
                <w:rFonts w:ascii="Arial" w:hAnsi="Arial" w:eastAsia="Arial"/>
                <w:color w:val="auto"/>
                <w:sz w:val="16"/>
              </w:rPr>
              <w:t>+1.76 (+1.25 to +2.32)</w:t>
            </w:r>
          </w:p>
        </w:tc>
      </w:tr>
      <w:tr w14:paraId="2AD91E12">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6BC7DFBB">
            <w:pPr>
              <w:spacing w:before="0" w:after="0" w:line="240" w:lineRule="auto"/>
              <w:jc w:val="left"/>
              <w:rPr>
                <w:color w:val="auto"/>
              </w:rPr>
            </w:pPr>
            <w:r>
              <w:rPr>
                <w:rFonts w:ascii="Arial" w:hAnsi="Arial" w:eastAsia="Arial"/>
                <w:color w:val="auto"/>
                <w:sz w:val="16"/>
              </w:rPr>
              <w:t>IADL limitation</w:t>
            </w:r>
          </w:p>
        </w:tc>
        <w:tc>
          <w:tcPr>
            <w:tcW w:w="2160" w:type="dxa"/>
            <w:tcBorders>
              <w:top w:val="nil"/>
              <w:left w:val="nil"/>
              <w:bottom w:val="nil"/>
              <w:right w:val="nil"/>
              <w:insideH w:val="nil"/>
              <w:insideV w:val="nil"/>
            </w:tcBorders>
            <w:tcMar>
              <w:top w:w="80" w:type="dxa"/>
              <w:left w:w="80" w:type="dxa"/>
              <w:bottom w:w="80" w:type="dxa"/>
              <w:right w:w="80" w:type="dxa"/>
            </w:tcMar>
            <w:vAlign w:val="center"/>
          </w:tcPr>
          <w:p w14:paraId="35C581F3">
            <w:pPr>
              <w:spacing w:before="0" w:after="0" w:line="240" w:lineRule="auto"/>
              <w:jc w:val="left"/>
              <w:rPr>
                <w:color w:val="auto"/>
              </w:rPr>
            </w:pPr>
            <w:r>
              <w:rPr>
                <w:rFonts w:ascii="Arial" w:hAnsi="Arial" w:eastAsia="Arial"/>
                <w:color w:val="auto"/>
                <w:sz w:val="16"/>
              </w:rPr>
              <w:t>IADL limitation</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49B5D6BC">
            <w:pPr>
              <w:spacing w:before="0" w:after="0" w:line="240" w:lineRule="auto"/>
              <w:jc w:val="left"/>
              <w:rPr>
                <w:color w:val="auto"/>
              </w:rPr>
            </w:pPr>
            <w:r>
              <w:rPr>
                <w:rFonts w:ascii="Arial" w:hAnsi="Arial" w:eastAsia="Arial"/>
                <w:color w:val="auto"/>
                <w:sz w:val="16"/>
              </w:rPr>
              <w:t>Comorbidity - Arthritis only</w:t>
            </w:r>
          </w:p>
        </w:tc>
        <w:tc>
          <w:tcPr>
            <w:tcW w:w="4752" w:type="dxa"/>
            <w:tcBorders>
              <w:top w:val="nil"/>
              <w:left w:val="nil"/>
              <w:bottom w:val="nil"/>
              <w:right w:val="nil"/>
              <w:insideH w:val="nil"/>
              <w:insideV w:val="nil"/>
            </w:tcBorders>
            <w:tcMar>
              <w:top w:w="80" w:type="dxa"/>
              <w:left w:w="80" w:type="dxa"/>
              <w:bottom w:w="80" w:type="dxa"/>
              <w:right w:w="80" w:type="dxa"/>
            </w:tcMar>
            <w:vAlign w:val="center"/>
          </w:tcPr>
          <w:p w14:paraId="496F597F">
            <w:pPr>
              <w:spacing w:before="0" w:after="0" w:line="240" w:lineRule="auto"/>
              <w:jc w:val="left"/>
              <w:rPr>
                <w:color w:val="auto"/>
              </w:rPr>
            </w:pPr>
            <w:r>
              <w:rPr>
                <w:rFonts w:ascii="Arial" w:hAnsi="Arial" w:eastAsia="Arial"/>
                <w:color w:val="auto"/>
                <w:sz w:val="16"/>
              </w:rPr>
              <w:t>-1.31 (-4.54 to +1.99)</w:t>
            </w:r>
          </w:p>
        </w:tc>
      </w:tr>
      <w:tr w14:paraId="5C47BEB5">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030B0BD7">
            <w:pPr>
              <w:spacing w:before="0" w:after="0" w:line="240" w:lineRule="auto"/>
              <w:jc w:val="left"/>
              <w:rPr>
                <w:color w:val="auto"/>
              </w:rPr>
            </w:pPr>
            <w:r>
              <w:rPr>
                <w:rFonts w:ascii="Arial" w:hAnsi="Arial" w:eastAsia="Arial"/>
                <w:color w:val="auto"/>
                <w:sz w:val="16"/>
              </w:rPr>
              <w:t>IADL limitation</w:t>
            </w:r>
          </w:p>
        </w:tc>
        <w:tc>
          <w:tcPr>
            <w:tcW w:w="2160" w:type="dxa"/>
            <w:tcBorders>
              <w:top w:val="nil"/>
              <w:left w:val="nil"/>
              <w:bottom w:val="nil"/>
              <w:right w:val="nil"/>
              <w:insideH w:val="nil"/>
              <w:insideV w:val="nil"/>
            </w:tcBorders>
            <w:tcMar>
              <w:top w:w="80" w:type="dxa"/>
              <w:left w:w="80" w:type="dxa"/>
              <w:bottom w:w="80" w:type="dxa"/>
              <w:right w:w="80" w:type="dxa"/>
            </w:tcMar>
            <w:vAlign w:val="center"/>
          </w:tcPr>
          <w:p w14:paraId="66456B58">
            <w:pPr>
              <w:spacing w:before="0" w:after="0" w:line="240" w:lineRule="auto"/>
              <w:jc w:val="left"/>
              <w:rPr>
                <w:color w:val="auto"/>
              </w:rPr>
            </w:pPr>
            <w:r>
              <w:rPr>
                <w:rFonts w:ascii="Arial" w:hAnsi="Arial" w:eastAsia="Arial"/>
                <w:color w:val="auto"/>
                <w:sz w:val="16"/>
              </w:rPr>
              <w:t>Independent</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161A55F8">
            <w:pPr>
              <w:spacing w:before="0" w:after="0" w:line="240" w:lineRule="auto"/>
              <w:jc w:val="left"/>
              <w:rPr>
                <w:color w:val="auto"/>
              </w:rPr>
            </w:pPr>
            <w:r>
              <w:rPr>
                <w:rFonts w:ascii="Arial" w:hAnsi="Arial" w:eastAsia="Arial"/>
                <w:color w:val="auto"/>
                <w:sz w:val="16"/>
              </w:rPr>
              <w:t>Comorbidity - Arthritis only</w:t>
            </w:r>
          </w:p>
        </w:tc>
        <w:tc>
          <w:tcPr>
            <w:tcW w:w="4752" w:type="dxa"/>
            <w:tcBorders>
              <w:top w:val="nil"/>
              <w:left w:val="nil"/>
              <w:bottom w:val="nil"/>
              <w:right w:val="nil"/>
              <w:insideH w:val="nil"/>
              <w:insideV w:val="nil"/>
            </w:tcBorders>
            <w:tcMar>
              <w:top w:w="80" w:type="dxa"/>
              <w:left w:w="80" w:type="dxa"/>
              <w:bottom w:w="80" w:type="dxa"/>
              <w:right w:w="80" w:type="dxa"/>
            </w:tcMar>
            <w:vAlign w:val="center"/>
          </w:tcPr>
          <w:p w14:paraId="38DD4B71">
            <w:pPr>
              <w:spacing w:before="0" w:after="0" w:line="240" w:lineRule="auto"/>
              <w:jc w:val="left"/>
              <w:rPr>
                <w:color w:val="auto"/>
              </w:rPr>
            </w:pPr>
            <w:r>
              <w:rPr>
                <w:rFonts w:ascii="Arial" w:hAnsi="Arial" w:eastAsia="Arial"/>
                <w:color w:val="auto"/>
                <w:sz w:val="16"/>
              </w:rPr>
              <w:t>-4.67 (-7.83 to -1.47)</w:t>
            </w:r>
          </w:p>
        </w:tc>
      </w:tr>
      <w:tr w14:paraId="637D04E4">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265A6A1E">
            <w:pPr>
              <w:spacing w:before="0" w:after="0" w:line="240" w:lineRule="auto"/>
              <w:jc w:val="left"/>
              <w:rPr>
                <w:color w:val="auto"/>
              </w:rPr>
            </w:pPr>
            <w:r>
              <w:rPr>
                <w:rFonts w:ascii="Arial" w:hAnsi="Arial" w:eastAsia="Arial"/>
                <w:color w:val="auto"/>
                <w:sz w:val="16"/>
              </w:rPr>
              <w:t>IADL limitation</w:t>
            </w:r>
          </w:p>
        </w:tc>
        <w:tc>
          <w:tcPr>
            <w:tcW w:w="2160" w:type="dxa"/>
            <w:tcBorders>
              <w:top w:val="nil"/>
              <w:left w:val="nil"/>
              <w:bottom w:val="nil"/>
              <w:right w:val="nil"/>
              <w:insideH w:val="nil"/>
              <w:insideV w:val="nil"/>
            </w:tcBorders>
            <w:tcMar>
              <w:top w:w="80" w:type="dxa"/>
              <w:left w:w="80" w:type="dxa"/>
              <w:bottom w:w="80" w:type="dxa"/>
              <w:right w:w="80" w:type="dxa"/>
            </w:tcMar>
            <w:vAlign w:val="center"/>
          </w:tcPr>
          <w:p w14:paraId="6DF59406">
            <w:pPr>
              <w:spacing w:before="0" w:after="0" w:line="240" w:lineRule="auto"/>
              <w:jc w:val="left"/>
              <w:rPr>
                <w:color w:val="auto"/>
              </w:rPr>
            </w:pPr>
            <w:r>
              <w:rPr>
                <w:rFonts w:ascii="Arial" w:hAnsi="Arial" w:eastAsia="Arial"/>
                <w:color w:val="auto"/>
                <w:sz w:val="16"/>
              </w:rPr>
              <w:t>ADL disability</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217C7499">
            <w:pPr>
              <w:spacing w:before="0" w:after="0" w:line="240" w:lineRule="auto"/>
              <w:jc w:val="left"/>
              <w:rPr>
                <w:color w:val="auto"/>
              </w:rPr>
            </w:pPr>
            <w:r>
              <w:rPr>
                <w:rFonts w:ascii="Arial" w:hAnsi="Arial" w:eastAsia="Arial"/>
                <w:color w:val="auto"/>
                <w:sz w:val="16"/>
              </w:rPr>
              <w:t>Comorbidity - Arthritis only</w:t>
            </w:r>
          </w:p>
        </w:tc>
        <w:tc>
          <w:tcPr>
            <w:tcW w:w="4752" w:type="dxa"/>
            <w:tcBorders>
              <w:top w:val="nil"/>
              <w:left w:val="nil"/>
              <w:bottom w:val="nil"/>
              <w:right w:val="nil"/>
              <w:insideH w:val="nil"/>
              <w:insideV w:val="nil"/>
            </w:tcBorders>
            <w:tcMar>
              <w:top w:w="80" w:type="dxa"/>
              <w:left w:w="80" w:type="dxa"/>
              <w:bottom w:w="80" w:type="dxa"/>
              <w:right w:w="80" w:type="dxa"/>
            </w:tcMar>
            <w:vAlign w:val="center"/>
          </w:tcPr>
          <w:p w14:paraId="4B7EC4EB">
            <w:pPr>
              <w:spacing w:before="0" w:after="0" w:line="240" w:lineRule="auto"/>
              <w:jc w:val="left"/>
              <w:rPr>
                <w:color w:val="auto"/>
              </w:rPr>
            </w:pPr>
            <w:r>
              <w:rPr>
                <w:rFonts w:ascii="Arial" w:hAnsi="Arial" w:eastAsia="Arial"/>
                <w:color w:val="auto"/>
                <w:sz w:val="16"/>
              </w:rPr>
              <w:t>+2.67 (-0.69 to +6.01)</w:t>
            </w:r>
          </w:p>
        </w:tc>
      </w:tr>
      <w:tr w14:paraId="73FB506B">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749B840B">
            <w:pPr>
              <w:spacing w:before="0" w:after="0" w:line="240" w:lineRule="auto"/>
              <w:jc w:val="left"/>
              <w:rPr>
                <w:color w:val="auto"/>
              </w:rPr>
            </w:pPr>
            <w:r>
              <w:rPr>
                <w:rFonts w:ascii="Arial" w:hAnsi="Arial" w:eastAsia="Arial"/>
                <w:color w:val="auto"/>
                <w:sz w:val="16"/>
              </w:rPr>
              <w:t>IADL limitation</w:t>
            </w:r>
          </w:p>
        </w:tc>
        <w:tc>
          <w:tcPr>
            <w:tcW w:w="2160" w:type="dxa"/>
            <w:tcBorders>
              <w:top w:val="nil"/>
              <w:left w:val="nil"/>
              <w:bottom w:val="nil"/>
              <w:right w:val="nil"/>
              <w:insideH w:val="nil"/>
              <w:insideV w:val="nil"/>
            </w:tcBorders>
            <w:tcMar>
              <w:top w:w="80" w:type="dxa"/>
              <w:left w:w="80" w:type="dxa"/>
              <w:bottom w:w="80" w:type="dxa"/>
              <w:right w:w="80" w:type="dxa"/>
            </w:tcMar>
            <w:vAlign w:val="center"/>
          </w:tcPr>
          <w:p w14:paraId="488F3DC4">
            <w:pPr>
              <w:spacing w:before="0" w:after="0" w:line="240" w:lineRule="auto"/>
              <w:jc w:val="left"/>
              <w:rPr>
                <w:color w:val="auto"/>
              </w:rPr>
            </w:pPr>
            <w:r>
              <w:rPr>
                <w:rFonts w:ascii="Arial" w:hAnsi="Arial" w:eastAsia="Arial"/>
                <w:color w:val="auto"/>
                <w:sz w:val="16"/>
              </w:rPr>
              <w:t>Death</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74A05B0A">
            <w:pPr>
              <w:spacing w:before="0" w:after="0" w:line="240" w:lineRule="auto"/>
              <w:jc w:val="left"/>
              <w:rPr>
                <w:color w:val="auto"/>
              </w:rPr>
            </w:pPr>
            <w:r>
              <w:rPr>
                <w:rFonts w:ascii="Arial" w:hAnsi="Arial" w:eastAsia="Arial"/>
                <w:color w:val="auto"/>
                <w:sz w:val="16"/>
              </w:rPr>
              <w:t>Comorbidity - Arthritis only</w:t>
            </w:r>
          </w:p>
        </w:tc>
        <w:tc>
          <w:tcPr>
            <w:tcW w:w="4752" w:type="dxa"/>
            <w:tcBorders>
              <w:top w:val="nil"/>
              <w:left w:val="nil"/>
              <w:bottom w:val="nil"/>
              <w:right w:val="nil"/>
              <w:insideH w:val="nil"/>
              <w:insideV w:val="nil"/>
            </w:tcBorders>
            <w:tcMar>
              <w:top w:w="80" w:type="dxa"/>
              <w:left w:w="80" w:type="dxa"/>
              <w:bottom w:w="80" w:type="dxa"/>
              <w:right w:w="80" w:type="dxa"/>
            </w:tcMar>
            <w:vAlign w:val="center"/>
          </w:tcPr>
          <w:p w14:paraId="41266712">
            <w:pPr>
              <w:spacing w:before="0" w:after="0" w:line="240" w:lineRule="auto"/>
              <w:jc w:val="left"/>
              <w:rPr>
                <w:color w:val="auto"/>
              </w:rPr>
            </w:pPr>
            <w:r>
              <w:rPr>
                <w:rFonts w:ascii="Arial" w:hAnsi="Arial" w:eastAsia="Arial"/>
                <w:color w:val="auto"/>
                <w:sz w:val="16"/>
              </w:rPr>
              <w:t>+3.31 (+0.77 to +5.92)</w:t>
            </w:r>
          </w:p>
        </w:tc>
      </w:tr>
      <w:tr w14:paraId="1A59661D">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75B4E3ED">
            <w:pPr>
              <w:spacing w:before="0" w:after="0" w:line="240" w:lineRule="auto"/>
              <w:jc w:val="left"/>
              <w:rPr>
                <w:color w:val="auto"/>
              </w:rPr>
            </w:pPr>
            <w:r>
              <w:rPr>
                <w:rFonts w:ascii="Arial" w:hAnsi="Arial" w:eastAsia="Arial"/>
                <w:color w:val="auto"/>
                <w:sz w:val="16"/>
              </w:rPr>
              <w:t>ADL disability</w:t>
            </w:r>
          </w:p>
        </w:tc>
        <w:tc>
          <w:tcPr>
            <w:tcW w:w="2160" w:type="dxa"/>
            <w:tcBorders>
              <w:top w:val="nil"/>
              <w:left w:val="nil"/>
              <w:bottom w:val="nil"/>
              <w:right w:val="nil"/>
              <w:insideH w:val="nil"/>
              <w:insideV w:val="nil"/>
            </w:tcBorders>
            <w:tcMar>
              <w:top w:w="80" w:type="dxa"/>
              <w:left w:w="80" w:type="dxa"/>
              <w:bottom w:w="80" w:type="dxa"/>
              <w:right w:w="80" w:type="dxa"/>
            </w:tcMar>
            <w:vAlign w:val="center"/>
          </w:tcPr>
          <w:p w14:paraId="5C7E27C8">
            <w:pPr>
              <w:spacing w:before="0" w:after="0" w:line="240" w:lineRule="auto"/>
              <w:jc w:val="left"/>
              <w:rPr>
                <w:color w:val="auto"/>
              </w:rPr>
            </w:pPr>
            <w:r>
              <w:rPr>
                <w:rFonts w:ascii="Arial" w:hAnsi="Arial" w:eastAsia="Arial"/>
                <w:color w:val="auto"/>
                <w:sz w:val="16"/>
              </w:rPr>
              <w:t>ADL disability</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23533B05">
            <w:pPr>
              <w:spacing w:before="0" w:after="0" w:line="240" w:lineRule="auto"/>
              <w:jc w:val="left"/>
              <w:rPr>
                <w:color w:val="auto"/>
              </w:rPr>
            </w:pPr>
            <w:r>
              <w:rPr>
                <w:rFonts w:ascii="Arial" w:hAnsi="Arial" w:eastAsia="Arial"/>
                <w:color w:val="auto"/>
                <w:sz w:val="16"/>
              </w:rPr>
              <w:t>Comorbidity - Arthritis only</w:t>
            </w:r>
          </w:p>
        </w:tc>
        <w:tc>
          <w:tcPr>
            <w:tcW w:w="4752" w:type="dxa"/>
            <w:tcBorders>
              <w:top w:val="nil"/>
              <w:left w:val="nil"/>
              <w:bottom w:val="nil"/>
              <w:right w:val="nil"/>
              <w:insideH w:val="nil"/>
              <w:insideV w:val="nil"/>
            </w:tcBorders>
            <w:tcMar>
              <w:top w:w="80" w:type="dxa"/>
              <w:left w:w="80" w:type="dxa"/>
              <w:bottom w:w="80" w:type="dxa"/>
              <w:right w:w="80" w:type="dxa"/>
            </w:tcMar>
            <w:vAlign w:val="center"/>
          </w:tcPr>
          <w:p w14:paraId="4E9C3E90">
            <w:pPr>
              <w:spacing w:before="0" w:after="0" w:line="240" w:lineRule="auto"/>
              <w:jc w:val="left"/>
              <w:rPr>
                <w:color w:val="auto"/>
              </w:rPr>
            </w:pPr>
            <w:r>
              <w:rPr>
                <w:rFonts w:ascii="Arial" w:hAnsi="Arial" w:eastAsia="Arial"/>
                <w:color w:val="auto"/>
                <w:sz w:val="16"/>
              </w:rPr>
              <w:t>+1.00 (-0.96 to +2.95)</w:t>
            </w:r>
          </w:p>
        </w:tc>
      </w:tr>
      <w:tr w14:paraId="4DD5783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115E7845">
            <w:pPr>
              <w:spacing w:before="0" w:after="0" w:line="240" w:lineRule="auto"/>
              <w:jc w:val="left"/>
              <w:rPr>
                <w:color w:val="auto"/>
              </w:rPr>
            </w:pPr>
            <w:r>
              <w:rPr>
                <w:rFonts w:ascii="Arial" w:hAnsi="Arial" w:eastAsia="Arial"/>
                <w:color w:val="auto"/>
                <w:sz w:val="16"/>
              </w:rPr>
              <w:t>ADL disability</w:t>
            </w:r>
          </w:p>
        </w:tc>
        <w:tc>
          <w:tcPr>
            <w:tcW w:w="2160" w:type="dxa"/>
            <w:tcBorders>
              <w:top w:val="nil"/>
              <w:left w:val="nil"/>
              <w:bottom w:val="nil"/>
              <w:right w:val="nil"/>
              <w:insideH w:val="nil"/>
              <w:insideV w:val="nil"/>
            </w:tcBorders>
            <w:tcMar>
              <w:top w:w="80" w:type="dxa"/>
              <w:left w:w="80" w:type="dxa"/>
              <w:bottom w:w="80" w:type="dxa"/>
              <w:right w:w="80" w:type="dxa"/>
            </w:tcMar>
            <w:vAlign w:val="center"/>
          </w:tcPr>
          <w:p w14:paraId="2BFB0D53">
            <w:pPr>
              <w:spacing w:before="0" w:after="0" w:line="240" w:lineRule="auto"/>
              <w:jc w:val="left"/>
              <w:rPr>
                <w:color w:val="auto"/>
              </w:rPr>
            </w:pPr>
            <w:r>
              <w:rPr>
                <w:rFonts w:ascii="Arial" w:hAnsi="Arial" w:eastAsia="Arial"/>
                <w:color w:val="auto"/>
                <w:sz w:val="16"/>
              </w:rPr>
              <w:t>Independent</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72735E53">
            <w:pPr>
              <w:spacing w:before="0" w:after="0" w:line="240" w:lineRule="auto"/>
              <w:jc w:val="left"/>
              <w:rPr>
                <w:color w:val="auto"/>
              </w:rPr>
            </w:pPr>
            <w:r>
              <w:rPr>
                <w:rFonts w:ascii="Arial" w:hAnsi="Arial" w:eastAsia="Arial"/>
                <w:color w:val="auto"/>
                <w:sz w:val="16"/>
              </w:rPr>
              <w:t>Comorbidity - Arthritis only</w:t>
            </w:r>
          </w:p>
        </w:tc>
        <w:tc>
          <w:tcPr>
            <w:tcW w:w="4752" w:type="dxa"/>
            <w:tcBorders>
              <w:top w:val="nil"/>
              <w:left w:val="nil"/>
              <w:bottom w:val="nil"/>
              <w:right w:val="nil"/>
              <w:insideH w:val="nil"/>
              <w:insideV w:val="nil"/>
            </w:tcBorders>
            <w:tcMar>
              <w:top w:w="80" w:type="dxa"/>
              <w:left w:w="80" w:type="dxa"/>
              <w:bottom w:w="80" w:type="dxa"/>
              <w:right w:w="80" w:type="dxa"/>
            </w:tcMar>
            <w:vAlign w:val="center"/>
          </w:tcPr>
          <w:p w14:paraId="16BDE5EA">
            <w:pPr>
              <w:spacing w:before="0" w:after="0" w:line="240" w:lineRule="auto"/>
              <w:jc w:val="left"/>
              <w:rPr>
                <w:color w:val="auto"/>
              </w:rPr>
            </w:pPr>
            <w:r>
              <w:rPr>
                <w:rFonts w:ascii="Arial" w:hAnsi="Arial" w:eastAsia="Arial"/>
                <w:color w:val="auto"/>
                <w:sz w:val="16"/>
              </w:rPr>
              <w:t>-3.69 (-5.20 to -2.13)</w:t>
            </w:r>
          </w:p>
        </w:tc>
      </w:tr>
      <w:tr w14:paraId="0E4552BD">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6A2F0ABC">
            <w:pPr>
              <w:spacing w:before="0" w:after="0" w:line="240" w:lineRule="auto"/>
              <w:jc w:val="left"/>
              <w:rPr>
                <w:color w:val="auto"/>
              </w:rPr>
            </w:pPr>
            <w:r>
              <w:rPr>
                <w:rFonts w:ascii="Arial" w:hAnsi="Arial" w:eastAsia="Arial"/>
                <w:color w:val="auto"/>
                <w:sz w:val="16"/>
              </w:rPr>
              <w:t>ADL disability</w:t>
            </w:r>
          </w:p>
        </w:tc>
        <w:tc>
          <w:tcPr>
            <w:tcW w:w="2160" w:type="dxa"/>
            <w:tcBorders>
              <w:top w:val="nil"/>
              <w:left w:val="nil"/>
              <w:bottom w:val="nil"/>
              <w:right w:val="nil"/>
              <w:insideH w:val="nil"/>
              <w:insideV w:val="nil"/>
            </w:tcBorders>
            <w:tcMar>
              <w:top w:w="80" w:type="dxa"/>
              <w:left w:w="80" w:type="dxa"/>
              <w:bottom w:w="80" w:type="dxa"/>
              <w:right w:w="80" w:type="dxa"/>
            </w:tcMar>
            <w:vAlign w:val="center"/>
          </w:tcPr>
          <w:p w14:paraId="307A45F9">
            <w:pPr>
              <w:spacing w:before="0" w:after="0" w:line="240" w:lineRule="auto"/>
              <w:jc w:val="left"/>
              <w:rPr>
                <w:color w:val="auto"/>
              </w:rPr>
            </w:pPr>
            <w:r>
              <w:rPr>
                <w:rFonts w:ascii="Arial" w:hAnsi="Arial" w:eastAsia="Arial"/>
                <w:color w:val="auto"/>
                <w:sz w:val="16"/>
              </w:rPr>
              <w:t>IADL limitation</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58B96423">
            <w:pPr>
              <w:spacing w:before="0" w:after="0" w:line="240" w:lineRule="auto"/>
              <w:jc w:val="left"/>
              <w:rPr>
                <w:color w:val="auto"/>
              </w:rPr>
            </w:pPr>
            <w:r>
              <w:rPr>
                <w:rFonts w:ascii="Arial" w:hAnsi="Arial" w:eastAsia="Arial"/>
                <w:color w:val="auto"/>
                <w:sz w:val="16"/>
              </w:rPr>
              <w:t>Comorbidity - Arthritis only</w:t>
            </w:r>
          </w:p>
        </w:tc>
        <w:tc>
          <w:tcPr>
            <w:tcW w:w="4752" w:type="dxa"/>
            <w:tcBorders>
              <w:top w:val="nil"/>
              <w:left w:val="nil"/>
              <w:bottom w:val="nil"/>
              <w:right w:val="nil"/>
              <w:insideH w:val="nil"/>
              <w:insideV w:val="nil"/>
            </w:tcBorders>
            <w:tcMar>
              <w:top w:w="80" w:type="dxa"/>
              <w:left w:w="80" w:type="dxa"/>
              <w:bottom w:w="80" w:type="dxa"/>
              <w:right w:w="80" w:type="dxa"/>
            </w:tcMar>
            <w:vAlign w:val="center"/>
          </w:tcPr>
          <w:p w14:paraId="2E821F1B">
            <w:pPr>
              <w:spacing w:before="0" w:after="0" w:line="240" w:lineRule="auto"/>
              <w:jc w:val="left"/>
              <w:rPr>
                <w:color w:val="auto"/>
              </w:rPr>
            </w:pPr>
            <w:r>
              <w:rPr>
                <w:rFonts w:ascii="Arial" w:hAnsi="Arial" w:eastAsia="Arial"/>
                <w:color w:val="auto"/>
                <w:sz w:val="16"/>
              </w:rPr>
              <w:t>-1.02 (-1.88 to -0.15)</w:t>
            </w:r>
          </w:p>
        </w:tc>
      </w:tr>
      <w:tr w14:paraId="4DD35F03">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50C24E75">
            <w:pPr>
              <w:spacing w:before="0" w:after="0" w:line="240" w:lineRule="auto"/>
              <w:jc w:val="left"/>
              <w:rPr>
                <w:color w:val="auto"/>
              </w:rPr>
            </w:pPr>
            <w:r>
              <w:rPr>
                <w:rFonts w:ascii="Arial" w:hAnsi="Arial" w:eastAsia="Arial"/>
                <w:color w:val="auto"/>
                <w:sz w:val="16"/>
              </w:rPr>
              <w:t>ADL disability</w:t>
            </w:r>
          </w:p>
        </w:tc>
        <w:tc>
          <w:tcPr>
            <w:tcW w:w="216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61449D41">
            <w:pPr>
              <w:spacing w:before="0" w:after="0" w:line="240" w:lineRule="auto"/>
              <w:jc w:val="left"/>
              <w:rPr>
                <w:color w:val="auto"/>
              </w:rPr>
            </w:pPr>
            <w:r>
              <w:rPr>
                <w:rFonts w:ascii="Arial" w:hAnsi="Arial" w:eastAsia="Arial"/>
                <w:color w:val="auto"/>
                <w:sz w:val="16"/>
              </w:rPr>
              <w:t>Death</w:t>
            </w:r>
          </w:p>
        </w:tc>
        <w:tc>
          <w:tcPr>
            <w:tcW w:w="288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726A8EB7">
            <w:pPr>
              <w:spacing w:before="0" w:after="0" w:line="240" w:lineRule="auto"/>
              <w:jc w:val="left"/>
              <w:rPr>
                <w:color w:val="auto"/>
              </w:rPr>
            </w:pPr>
            <w:r>
              <w:rPr>
                <w:rFonts w:ascii="Arial" w:hAnsi="Arial" w:eastAsia="Arial"/>
                <w:color w:val="auto"/>
                <w:sz w:val="16"/>
              </w:rPr>
              <w:t>Comorbidity - Arthritis only</w:t>
            </w:r>
          </w:p>
        </w:tc>
        <w:tc>
          <w:tcPr>
            <w:tcW w:w="4752"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4FE601C4">
            <w:pPr>
              <w:spacing w:before="0" w:after="0" w:line="240" w:lineRule="auto"/>
              <w:jc w:val="left"/>
              <w:rPr>
                <w:color w:val="auto"/>
              </w:rPr>
            </w:pPr>
            <w:r>
              <w:rPr>
                <w:rFonts w:ascii="Arial" w:hAnsi="Arial" w:eastAsia="Arial"/>
                <w:color w:val="auto"/>
                <w:sz w:val="16"/>
              </w:rPr>
              <w:t>+3.70 (+2.41 to +5.02)</w:t>
            </w:r>
          </w:p>
        </w:tc>
      </w:tr>
    </w:tbl>
    <w:p w14:paraId="44E28B18">
      <w:pPr>
        <w:pStyle w:val="4"/>
        <w:rPr>
          <w:color w:val="auto"/>
        </w:rPr>
      </w:pPr>
      <w:r>
        <w:rPr>
          <w:rFonts w:ascii="Times New Roman" w:hAnsi="Times New Roman" w:eastAsia="Times New Roman"/>
          <w:i w:val="0"/>
          <w:color w:val="auto"/>
        </w:rPr>
        <w:t>Panel C. Model-scale relative risk ratios for the primary contrast</w:t>
      </w:r>
    </w:p>
    <w:tbl>
      <w:tblPr>
        <w:tblStyle w:val="32"/>
        <w:tblW w:w="0" w:type="auto"/>
        <w:jc w:val="center"/>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Layout w:type="autofit"/>
        <w:tblCellMar>
          <w:top w:w="0" w:type="dxa"/>
          <w:left w:w="108" w:type="dxa"/>
          <w:bottom w:w="0" w:type="dxa"/>
          <w:right w:w="108" w:type="dxa"/>
        </w:tblCellMar>
      </w:tblPr>
      <w:tblGrid>
        <w:gridCol w:w="2088"/>
        <w:gridCol w:w="2880"/>
        <w:gridCol w:w="3024"/>
        <w:gridCol w:w="2376"/>
        <w:gridCol w:w="1440"/>
      </w:tblGrid>
      <w:tr w14:paraId="4B8A3DD5">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blHeader/>
          <w:jc w:val="center"/>
        </w:trPr>
        <w:tc>
          <w:tcPr>
            <w:tcW w:w="2088"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72239242">
            <w:pPr>
              <w:spacing w:before="0" w:after="0" w:line="240" w:lineRule="auto"/>
              <w:jc w:val="left"/>
              <w:rPr>
                <w:color w:val="auto"/>
              </w:rPr>
            </w:pPr>
            <w:r>
              <w:rPr>
                <w:rFonts w:ascii="Arial" w:hAnsi="Arial" w:eastAsia="Arial"/>
                <w:b/>
                <w:color w:val="auto"/>
                <w:sz w:val="16"/>
              </w:rPr>
              <w:t>Baseline state</w:t>
            </w:r>
          </w:p>
        </w:tc>
        <w:tc>
          <w:tcPr>
            <w:tcW w:w="288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237951D0">
            <w:pPr>
              <w:spacing w:before="0" w:after="0" w:line="240" w:lineRule="auto"/>
              <w:jc w:val="left"/>
              <w:rPr>
                <w:color w:val="auto"/>
              </w:rPr>
            </w:pPr>
            <w:r>
              <w:rPr>
                <w:rFonts w:ascii="Arial" w:hAnsi="Arial" w:eastAsia="Arial"/>
                <w:b/>
                <w:color w:val="auto"/>
                <w:sz w:val="16"/>
              </w:rPr>
              <w:t>Outcome versus persistence state</w:t>
            </w:r>
          </w:p>
        </w:tc>
        <w:tc>
          <w:tcPr>
            <w:tcW w:w="3024"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7C1A719D">
            <w:pPr>
              <w:spacing w:before="0" w:after="0" w:line="240" w:lineRule="auto"/>
              <w:jc w:val="left"/>
              <w:rPr>
                <w:color w:val="auto"/>
              </w:rPr>
            </w:pPr>
            <w:r>
              <w:rPr>
                <w:rFonts w:ascii="Arial" w:hAnsi="Arial" w:eastAsia="Arial"/>
                <w:b/>
                <w:color w:val="auto"/>
                <w:sz w:val="16"/>
              </w:rPr>
              <w:t>Contrast</w:t>
            </w:r>
          </w:p>
        </w:tc>
        <w:tc>
          <w:tcPr>
            <w:tcW w:w="2376"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737BAE43">
            <w:pPr>
              <w:spacing w:before="0" w:after="0" w:line="240" w:lineRule="auto"/>
              <w:jc w:val="left"/>
              <w:rPr>
                <w:color w:val="auto"/>
              </w:rPr>
            </w:pPr>
            <w:r>
              <w:rPr>
                <w:rFonts w:ascii="Arial" w:hAnsi="Arial" w:eastAsia="Arial"/>
                <w:b/>
                <w:color w:val="auto"/>
                <w:sz w:val="16"/>
              </w:rPr>
              <w:t>Relative risk ratio (95% CI)</w:t>
            </w:r>
          </w:p>
        </w:tc>
        <w:tc>
          <w:tcPr>
            <w:tcW w:w="144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69E00876">
            <w:pPr>
              <w:spacing w:before="0" w:after="0" w:line="240" w:lineRule="auto"/>
              <w:jc w:val="left"/>
              <w:rPr>
                <w:color w:val="auto"/>
              </w:rPr>
            </w:pPr>
            <w:r>
              <w:rPr>
                <w:rFonts w:ascii="Arial" w:hAnsi="Arial" w:eastAsia="Arial"/>
                <w:b/>
                <w:color w:val="auto"/>
                <w:sz w:val="16"/>
              </w:rPr>
              <w:t>P value</w:t>
            </w:r>
          </w:p>
        </w:tc>
      </w:tr>
      <w:tr w14:paraId="0E626E8E">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40D5E8B1">
            <w:pPr>
              <w:spacing w:before="0" w:after="0" w:line="240" w:lineRule="auto"/>
              <w:jc w:val="left"/>
              <w:rPr>
                <w:color w:val="auto"/>
              </w:rPr>
            </w:pPr>
            <w:r>
              <w:rPr>
                <w:rFonts w:ascii="Arial" w:hAnsi="Arial" w:eastAsia="Arial"/>
                <w:color w:val="auto"/>
                <w:sz w:val="16"/>
              </w:rPr>
              <w:t>Independent</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02EBD4BE">
            <w:pPr>
              <w:spacing w:before="0" w:after="0" w:line="240" w:lineRule="auto"/>
              <w:jc w:val="left"/>
              <w:rPr>
                <w:color w:val="auto"/>
              </w:rPr>
            </w:pPr>
            <w:r>
              <w:rPr>
                <w:rFonts w:ascii="Arial" w:hAnsi="Arial" w:eastAsia="Arial"/>
                <w:color w:val="auto"/>
                <w:sz w:val="16"/>
              </w:rPr>
              <w:t>IADL limitation</w:t>
            </w:r>
          </w:p>
        </w:tc>
        <w:tc>
          <w:tcPr>
            <w:tcW w:w="3024" w:type="dxa"/>
            <w:tcBorders>
              <w:top w:val="nil"/>
              <w:left w:val="nil"/>
              <w:bottom w:val="nil"/>
              <w:right w:val="nil"/>
              <w:insideH w:val="nil"/>
              <w:insideV w:val="nil"/>
            </w:tcBorders>
            <w:tcMar>
              <w:top w:w="80" w:type="dxa"/>
              <w:left w:w="80" w:type="dxa"/>
              <w:bottom w:w="80" w:type="dxa"/>
              <w:right w:w="80" w:type="dxa"/>
            </w:tcMar>
            <w:vAlign w:val="center"/>
          </w:tcPr>
          <w:p w14:paraId="270D83BA">
            <w:pPr>
              <w:spacing w:before="0" w:after="0" w:line="240" w:lineRule="auto"/>
              <w:jc w:val="left"/>
              <w:rPr>
                <w:color w:val="auto"/>
              </w:rPr>
            </w:pPr>
            <w:r>
              <w:rPr>
                <w:rFonts w:ascii="Arial" w:hAnsi="Arial" w:eastAsia="Arial"/>
                <w:color w:val="auto"/>
                <w:sz w:val="16"/>
              </w:rPr>
              <w:t>Comorbidity vs Arthritis only</w:t>
            </w:r>
          </w:p>
        </w:tc>
        <w:tc>
          <w:tcPr>
            <w:tcW w:w="2376" w:type="dxa"/>
            <w:tcBorders>
              <w:top w:val="nil"/>
              <w:left w:val="nil"/>
              <w:bottom w:val="nil"/>
              <w:right w:val="nil"/>
              <w:insideH w:val="nil"/>
              <w:insideV w:val="nil"/>
            </w:tcBorders>
            <w:tcMar>
              <w:top w:w="80" w:type="dxa"/>
              <w:left w:w="80" w:type="dxa"/>
              <w:bottom w:w="80" w:type="dxa"/>
              <w:right w:w="80" w:type="dxa"/>
            </w:tcMar>
            <w:vAlign w:val="center"/>
          </w:tcPr>
          <w:p w14:paraId="4726A98E">
            <w:pPr>
              <w:spacing w:before="0" w:after="0" w:line="240" w:lineRule="auto"/>
              <w:jc w:val="left"/>
              <w:rPr>
                <w:color w:val="auto"/>
              </w:rPr>
            </w:pPr>
            <w:r>
              <w:rPr>
                <w:rFonts w:ascii="Arial" w:hAnsi="Arial" w:eastAsia="Arial"/>
                <w:color w:val="auto"/>
                <w:sz w:val="16"/>
              </w:rPr>
              <w:t>1.11 (0.99–1.25)</w:t>
            </w:r>
          </w:p>
        </w:tc>
        <w:tc>
          <w:tcPr>
            <w:tcW w:w="1440" w:type="dxa"/>
            <w:tcBorders>
              <w:top w:val="nil"/>
              <w:left w:val="nil"/>
              <w:bottom w:val="nil"/>
              <w:right w:val="nil"/>
              <w:insideH w:val="nil"/>
              <w:insideV w:val="nil"/>
            </w:tcBorders>
            <w:tcMar>
              <w:top w:w="80" w:type="dxa"/>
              <w:left w:w="80" w:type="dxa"/>
              <w:bottom w:w="80" w:type="dxa"/>
              <w:right w:w="80" w:type="dxa"/>
            </w:tcMar>
            <w:vAlign w:val="center"/>
          </w:tcPr>
          <w:p w14:paraId="65FCD6CD">
            <w:pPr>
              <w:spacing w:before="0" w:after="0" w:line="240" w:lineRule="auto"/>
              <w:jc w:val="left"/>
              <w:rPr>
                <w:color w:val="auto"/>
              </w:rPr>
            </w:pPr>
            <w:r>
              <w:rPr>
                <w:rFonts w:ascii="Arial" w:hAnsi="Arial" w:eastAsia="Arial"/>
                <w:color w:val="auto"/>
                <w:sz w:val="16"/>
              </w:rPr>
              <w:t>0.081</w:t>
            </w:r>
          </w:p>
        </w:tc>
      </w:tr>
      <w:tr w14:paraId="3FA6EF93">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74AC83F4">
            <w:pPr>
              <w:spacing w:before="0" w:after="0" w:line="240" w:lineRule="auto"/>
              <w:jc w:val="left"/>
              <w:rPr>
                <w:color w:val="auto"/>
              </w:rPr>
            </w:pPr>
            <w:r>
              <w:rPr>
                <w:rFonts w:ascii="Arial" w:hAnsi="Arial" w:eastAsia="Arial"/>
                <w:color w:val="auto"/>
                <w:sz w:val="16"/>
              </w:rPr>
              <w:t>Independent</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63739454">
            <w:pPr>
              <w:spacing w:before="0" w:after="0" w:line="240" w:lineRule="auto"/>
              <w:jc w:val="left"/>
              <w:rPr>
                <w:color w:val="auto"/>
              </w:rPr>
            </w:pPr>
            <w:r>
              <w:rPr>
                <w:rFonts w:ascii="Arial" w:hAnsi="Arial" w:eastAsia="Arial"/>
                <w:color w:val="auto"/>
                <w:sz w:val="16"/>
              </w:rPr>
              <w:t>ADL disability</w:t>
            </w:r>
          </w:p>
        </w:tc>
        <w:tc>
          <w:tcPr>
            <w:tcW w:w="3024" w:type="dxa"/>
            <w:tcBorders>
              <w:top w:val="nil"/>
              <w:left w:val="nil"/>
              <w:bottom w:val="nil"/>
              <w:right w:val="nil"/>
              <w:insideH w:val="nil"/>
              <w:insideV w:val="nil"/>
            </w:tcBorders>
            <w:tcMar>
              <w:top w:w="80" w:type="dxa"/>
              <w:left w:w="80" w:type="dxa"/>
              <w:bottom w:w="80" w:type="dxa"/>
              <w:right w:w="80" w:type="dxa"/>
            </w:tcMar>
            <w:vAlign w:val="center"/>
          </w:tcPr>
          <w:p w14:paraId="490ECC66">
            <w:pPr>
              <w:spacing w:before="0" w:after="0" w:line="240" w:lineRule="auto"/>
              <w:jc w:val="left"/>
              <w:rPr>
                <w:color w:val="auto"/>
              </w:rPr>
            </w:pPr>
            <w:r>
              <w:rPr>
                <w:rFonts w:ascii="Arial" w:hAnsi="Arial" w:eastAsia="Arial"/>
                <w:color w:val="auto"/>
                <w:sz w:val="16"/>
              </w:rPr>
              <w:t>Comorbidity vs Arthritis only</w:t>
            </w:r>
          </w:p>
        </w:tc>
        <w:tc>
          <w:tcPr>
            <w:tcW w:w="2376" w:type="dxa"/>
            <w:tcBorders>
              <w:top w:val="nil"/>
              <w:left w:val="nil"/>
              <w:bottom w:val="nil"/>
              <w:right w:val="nil"/>
              <w:insideH w:val="nil"/>
              <w:insideV w:val="nil"/>
            </w:tcBorders>
            <w:tcMar>
              <w:top w:w="80" w:type="dxa"/>
              <w:left w:w="80" w:type="dxa"/>
              <w:bottom w:w="80" w:type="dxa"/>
              <w:right w:w="80" w:type="dxa"/>
            </w:tcMar>
            <w:vAlign w:val="center"/>
          </w:tcPr>
          <w:p w14:paraId="5C2C2DFD">
            <w:pPr>
              <w:spacing w:before="0" w:after="0" w:line="240" w:lineRule="auto"/>
              <w:jc w:val="left"/>
              <w:rPr>
                <w:color w:val="auto"/>
              </w:rPr>
            </w:pPr>
            <w:r>
              <w:rPr>
                <w:rFonts w:ascii="Arial" w:hAnsi="Arial" w:eastAsia="Arial"/>
                <w:color w:val="auto"/>
                <w:sz w:val="16"/>
              </w:rPr>
              <w:t>1.17 (1.08–1.27)</w:t>
            </w:r>
          </w:p>
        </w:tc>
        <w:tc>
          <w:tcPr>
            <w:tcW w:w="1440" w:type="dxa"/>
            <w:tcBorders>
              <w:top w:val="nil"/>
              <w:left w:val="nil"/>
              <w:bottom w:val="nil"/>
              <w:right w:val="nil"/>
              <w:insideH w:val="nil"/>
              <w:insideV w:val="nil"/>
            </w:tcBorders>
            <w:tcMar>
              <w:top w:w="80" w:type="dxa"/>
              <w:left w:w="80" w:type="dxa"/>
              <w:bottom w:w="80" w:type="dxa"/>
              <w:right w:w="80" w:type="dxa"/>
            </w:tcMar>
            <w:vAlign w:val="center"/>
          </w:tcPr>
          <w:p w14:paraId="27391A3B">
            <w:pPr>
              <w:spacing w:before="0" w:after="0" w:line="240" w:lineRule="auto"/>
              <w:jc w:val="left"/>
              <w:rPr>
                <w:color w:val="auto"/>
              </w:rPr>
            </w:pPr>
            <w:r>
              <w:rPr>
                <w:rFonts w:ascii="Arial" w:hAnsi="Arial" w:eastAsia="Arial"/>
                <w:color w:val="auto"/>
                <w:sz w:val="16"/>
              </w:rPr>
              <w:t>&lt;0.001</w:t>
            </w:r>
          </w:p>
        </w:tc>
      </w:tr>
      <w:tr w14:paraId="25F95A94">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5550EBEA">
            <w:pPr>
              <w:spacing w:before="0" w:after="0" w:line="240" w:lineRule="auto"/>
              <w:jc w:val="left"/>
              <w:rPr>
                <w:color w:val="auto"/>
              </w:rPr>
            </w:pPr>
            <w:r>
              <w:rPr>
                <w:rFonts w:ascii="Arial" w:hAnsi="Arial" w:eastAsia="Arial"/>
                <w:color w:val="auto"/>
                <w:sz w:val="16"/>
              </w:rPr>
              <w:t>Independent</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62E0D7CE">
            <w:pPr>
              <w:spacing w:before="0" w:after="0" w:line="240" w:lineRule="auto"/>
              <w:jc w:val="left"/>
              <w:rPr>
                <w:color w:val="auto"/>
              </w:rPr>
            </w:pPr>
            <w:r>
              <w:rPr>
                <w:rFonts w:ascii="Arial" w:hAnsi="Arial" w:eastAsia="Arial"/>
                <w:color w:val="auto"/>
                <w:sz w:val="16"/>
              </w:rPr>
              <w:t>Death</w:t>
            </w:r>
          </w:p>
        </w:tc>
        <w:tc>
          <w:tcPr>
            <w:tcW w:w="3024" w:type="dxa"/>
            <w:tcBorders>
              <w:top w:val="nil"/>
              <w:left w:val="nil"/>
              <w:bottom w:val="nil"/>
              <w:right w:val="nil"/>
              <w:insideH w:val="nil"/>
              <w:insideV w:val="nil"/>
            </w:tcBorders>
            <w:tcMar>
              <w:top w:w="80" w:type="dxa"/>
              <w:left w:w="80" w:type="dxa"/>
              <w:bottom w:w="80" w:type="dxa"/>
              <w:right w:w="80" w:type="dxa"/>
            </w:tcMar>
            <w:vAlign w:val="center"/>
          </w:tcPr>
          <w:p w14:paraId="0ECA4AB6">
            <w:pPr>
              <w:spacing w:before="0" w:after="0" w:line="240" w:lineRule="auto"/>
              <w:jc w:val="left"/>
              <w:rPr>
                <w:color w:val="auto"/>
              </w:rPr>
            </w:pPr>
            <w:r>
              <w:rPr>
                <w:rFonts w:ascii="Arial" w:hAnsi="Arial" w:eastAsia="Arial"/>
                <w:color w:val="auto"/>
                <w:sz w:val="16"/>
              </w:rPr>
              <w:t>Comorbidity vs Arthritis only</w:t>
            </w:r>
          </w:p>
        </w:tc>
        <w:tc>
          <w:tcPr>
            <w:tcW w:w="2376" w:type="dxa"/>
            <w:tcBorders>
              <w:top w:val="nil"/>
              <w:left w:val="nil"/>
              <w:bottom w:val="nil"/>
              <w:right w:val="nil"/>
              <w:insideH w:val="nil"/>
              <w:insideV w:val="nil"/>
            </w:tcBorders>
            <w:tcMar>
              <w:top w:w="80" w:type="dxa"/>
              <w:left w:w="80" w:type="dxa"/>
              <w:bottom w:w="80" w:type="dxa"/>
              <w:right w:w="80" w:type="dxa"/>
            </w:tcMar>
            <w:vAlign w:val="center"/>
          </w:tcPr>
          <w:p w14:paraId="7197931B">
            <w:pPr>
              <w:spacing w:before="0" w:after="0" w:line="240" w:lineRule="auto"/>
              <w:jc w:val="left"/>
              <w:rPr>
                <w:color w:val="auto"/>
              </w:rPr>
            </w:pPr>
            <w:r>
              <w:rPr>
                <w:rFonts w:ascii="Arial" w:hAnsi="Arial" w:eastAsia="Arial"/>
                <w:color w:val="auto"/>
                <w:sz w:val="16"/>
              </w:rPr>
              <w:t>1.48 (1.34–1.64)</w:t>
            </w:r>
          </w:p>
        </w:tc>
        <w:tc>
          <w:tcPr>
            <w:tcW w:w="1440" w:type="dxa"/>
            <w:tcBorders>
              <w:top w:val="nil"/>
              <w:left w:val="nil"/>
              <w:bottom w:val="nil"/>
              <w:right w:val="nil"/>
              <w:insideH w:val="nil"/>
              <w:insideV w:val="nil"/>
            </w:tcBorders>
            <w:tcMar>
              <w:top w:w="80" w:type="dxa"/>
              <w:left w:w="80" w:type="dxa"/>
              <w:bottom w:w="80" w:type="dxa"/>
              <w:right w:w="80" w:type="dxa"/>
            </w:tcMar>
            <w:vAlign w:val="center"/>
          </w:tcPr>
          <w:p w14:paraId="7D0F1388">
            <w:pPr>
              <w:spacing w:before="0" w:after="0" w:line="240" w:lineRule="auto"/>
              <w:jc w:val="left"/>
              <w:rPr>
                <w:color w:val="auto"/>
              </w:rPr>
            </w:pPr>
            <w:r>
              <w:rPr>
                <w:rFonts w:ascii="Arial" w:hAnsi="Arial" w:eastAsia="Arial"/>
                <w:color w:val="auto"/>
                <w:sz w:val="16"/>
              </w:rPr>
              <w:t>&lt;0.001</w:t>
            </w:r>
          </w:p>
        </w:tc>
      </w:tr>
      <w:tr w14:paraId="2954FE8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34A100D4">
            <w:pPr>
              <w:spacing w:before="0" w:after="0" w:line="240" w:lineRule="auto"/>
              <w:jc w:val="left"/>
              <w:rPr>
                <w:color w:val="auto"/>
              </w:rPr>
            </w:pPr>
            <w:r>
              <w:rPr>
                <w:rFonts w:ascii="Arial" w:hAnsi="Arial" w:eastAsia="Arial"/>
                <w:color w:val="auto"/>
                <w:sz w:val="16"/>
              </w:rPr>
              <w:t>IADL limitation</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014667FE">
            <w:pPr>
              <w:spacing w:before="0" w:after="0" w:line="240" w:lineRule="auto"/>
              <w:jc w:val="left"/>
              <w:rPr>
                <w:color w:val="auto"/>
              </w:rPr>
            </w:pPr>
            <w:r>
              <w:rPr>
                <w:rFonts w:ascii="Arial" w:hAnsi="Arial" w:eastAsia="Arial"/>
                <w:color w:val="auto"/>
                <w:sz w:val="16"/>
              </w:rPr>
              <w:t>Independent</w:t>
            </w:r>
          </w:p>
        </w:tc>
        <w:tc>
          <w:tcPr>
            <w:tcW w:w="3024" w:type="dxa"/>
            <w:tcBorders>
              <w:top w:val="nil"/>
              <w:left w:val="nil"/>
              <w:bottom w:val="nil"/>
              <w:right w:val="nil"/>
              <w:insideH w:val="nil"/>
              <w:insideV w:val="nil"/>
            </w:tcBorders>
            <w:tcMar>
              <w:top w:w="80" w:type="dxa"/>
              <w:left w:w="80" w:type="dxa"/>
              <w:bottom w:w="80" w:type="dxa"/>
              <w:right w:w="80" w:type="dxa"/>
            </w:tcMar>
            <w:vAlign w:val="center"/>
          </w:tcPr>
          <w:p w14:paraId="646E0868">
            <w:pPr>
              <w:spacing w:before="0" w:after="0" w:line="240" w:lineRule="auto"/>
              <w:jc w:val="left"/>
              <w:rPr>
                <w:color w:val="auto"/>
              </w:rPr>
            </w:pPr>
            <w:r>
              <w:rPr>
                <w:rFonts w:ascii="Arial" w:hAnsi="Arial" w:eastAsia="Arial"/>
                <w:color w:val="auto"/>
                <w:sz w:val="16"/>
              </w:rPr>
              <w:t>Comorbidity vs Arthritis only</w:t>
            </w:r>
          </w:p>
        </w:tc>
        <w:tc>
          <w:tcPr>
            <w:tcW w:w="2376" w:type="dxa"/>
            <w:tcBorders>
              <w:top w:val="nil"/>
              <w:left w:val="nil"/>
              <w:bottom w:val="nil"/>
              <w:right w:val="nil"/>
              <w:insideH w:val="nil"/>
              <w:insideV w:val="nil"/>
            </w:tcBorders>
            <w:tcMar>
              <w:top w:w="80" w:type="dxa"/>
              <w:left w:w="80" w:type="dxa"/>
              <w:bottom w:w="80" w:type="dxa"/>
              <w:right w:w="80" w:type="dxa"/>
            </w:tcMar>
            <w:vAlign w:val="center"/>
          </w:tcPr>
          <w:p w14:paraId="65BDE37A">
            <w:pPr>
              <w:spacing w:before="0" w:after="0" w:line="240" w:lineRule="auto"/>
              <w:jc w:val="left"/>
              <w:rPr>
                <w:color w:val="auto"/>
              </w:rPr>
            </w:pPr>
            <w:r>
              <w:rPr>
                <w:rFonts w:ascii="Arial" w:hAnsi="Arial" w:eastAsia="Arial"/>
                <w:color w:val="auto"/>
                <w:sz w:val="16"/>
              </w:rPr>
              <w:t>0.87 (0.70–1.08)</w:t>
            </w:r>
          </w:p>
        </w:tc>
        <w:tc>
          <w:tcPr>
            <w:tcW w:w="1440" w:type="dxa"/>
            <w:tcBorders>
              <w:top w:val="nil"/>
              <w:left w:val="nil"/>
              <w:bottom w:val="nil"/>
              <w:right w:val="nil"/>
              <w:insideH w:val="nil"/>
              <w:insideV w:val="nil"/>
            </w:tcBorders>
            <w:tcMar>
              <w:top w:w="80" w:type="dxa"/>
              <w:left w:w="80" w:type="dxa"/>
              <w:bottom w:w="80" w:type="dxa"/>
              <w:right w:w="80" w:type="dxa"/>
            </w:tcMar>
            <w:vAlign w:val="center"/>
          </w:tcPr>
          <w:p w14:paraId="5AD30178">
            <w:pPr>
              <w:spacing w:before="0" w:after="0" w:line="240" w:lineRule="auto"/>
              <w:jc w:val="left"/>
              <w:rPr>
                <w:color w:val="auto"/>
              </w:rPr>
            </w:pPr>
            <w:r>
              <w:rPr>
                <w:rFonts w:ascii="Arial" w:hAnsi="Arial" w:eastAsia="Arial"/>
                <w:color w:val="auto"/>
                <w:sz w:val="16"/>
              </w:rPr>
              <w:t>0.210</w:t>
            </w:r>
          </w:p>
        </w:tc>
      </w:tr>
      <w:tr w14:paraId="525FC165">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0BF77E74">
            <w:pPr>
              <w:spacing w:before="0" w:after="0" w:line="240" w:lineRule="auto"/>
              <w:jc w:val="left"/>
              <w:rPr>
                <w:color w:val="auto"/>
              </w:rPr>
            </w:pPr>
            <w:r>
              <w:rPr>
                <w:rFonts w:ascii="Arial" w:hAnsi="Arial" w:eastAsia="Arial"/>
                <w:color w:val="auto"/>
                <w:sz w:val="16"/>
              </w:rPr>
              <w:t>IADL limitation</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7CD4F2EE">
            <w:pPr>
              <w:spacing w:before="0" w:after="0" w:line="240" w:lineRule="auto"/>
              <w:jc w:val="left"/>
              <w:rPr>
                <w:color w:val="auto"/>
              </w:rPr>
            </w:pPr>
            <w:r>
              <w:rPr>
                <w:rFonts w:ascii="Arial" w:hAnsi="Arial" w:eastAsia="Arial"/>
                <w:color w:val="auto"/>
                <w:sz w:val="16"/>
              </w:rPr>
              <w:t>ADL disability</w:t>
            </w:r>
          </w:p>
        </w:tc>
        <w:tc>
          <w:tcPr>
            <w:tcW w:w="3024" w:type="dxa"/>
            <w:tcBorders>
              <w:top w:val="nil"/>
              <w:left w:val="nil"/>
              <w:bottom w:val="nil"/>
              <w:right w:val="nil"/>
              <w:insideH w:val="nil"/>
              <w:insideV w:val="nil"/>
            </w:tcBorders>
            <w:tcMar>
              <w:top w:w="80" w:type="dxa"/>
              <w:left w:w="80" w:type="dxa"/>
              <w:bottom w:w="80" w:type="dxa"/>
              <w:right w:w="80" w:type="dxa"/>
            </w:tcMar>
            <w:vAlign w:val="center"/>
          </w:tcPr>
          <w:p w14:paraId="4F24703E">
            <w:pPr>
              <w:spacing w:before="0" w:after="0" w:line="240" w:lineRule="auto"/>
              <w:jc w:val="left"/>
              <w:rPr>
                <w:color w:val="auto"/>
              </w:rPr>
            </w:pPr>
            <w:r>
              <w:rPr>
                <w:rFonts w:ascii="Arial" w:hAnsi="Arial" w:eastAsia="Arial"/>
                <w:color w:val="auto"/>
                <w:sz w:val="16"/>
              </w:rPr>
              <w:t>Comorbidity vs Arthritis only</w:t>
            </w:r>
          </w:p>
        </w:tc>
        <w:tc>
          <w:tcPr>
            <w:tcW w:w="2376" w:type="dxa"/>
            <w:tcBorders>
              <w:top w:val="nil"/>
              <w:left w:val="nil"/>
              <w:bottom w:val="nil"/>
              <w:right w:val="nil"/>
              <w:insideH w:val="nil"/>
              <w:insideV w:val="nil"/>
            </w:tcBorders>
            <w:tcMar>
              <w:top w:w="80" w:type="dxa"/>
              <w:left w:w="80" w:type="dxa"/>
              <w:bottom w:w="80" w:type="dxa"/>
              <w:right w:w="80" w:type="dxa"/>
            </w:tcMar>
            <w:vAlign w:val="center"/>
          </w:tcPr>
          <w:p w14:paraId="06581018">
            <w:pPr>
              <w:spacing w:before="0" w:after="0" w:line="240" w:lineRule="auto"/>
              <w:jc w:val="left"/>
              <w:rPr>
                <w:color w:val="auto"/>
              </w:rPr>
            </w:pPr>
            <w:r>
              <w:rPr>
                <w:rFonts w:ascii="Arial" w:hAnsi="Arial" w:eastAsia="Arial"/>
                <w:color w:val="auto"/>
                <w:sz w:val="16"/>
              </w:rPr>
              <w:t>1.17 (0.96–1.44)</w:t>
            </w:r>
          </w:p>
        </w:tc>
        <w:tc>
          <w:tcPr>
            <w:tcW w:w="1440" w:type="dxa"/>
            <w:tcBorders>
              <w:top w:val="nil"/>
              <w:left w:val="nil"/>
              <w:bottom w:val="nil"/>
              <w:right w:val="nil"/>
              <w:insideH w:val="nil"/>
              <w:insideV w:val="nil"/>
            </w:tcBorders>
            <w:tcMar>
              <w:top w:w="80" w:type="dxa"/>
              <w:left w:w="80" w:type="dxa"/>
              <w:bottom w:w="80" w:type="dxa"/>
              <w:right w:w="80" w:type="dxa"/>
            </w:tcMar>
            <w:vAlign w:val="center"/>
          </w:tcPr>
          <w:p w14:paraId="0CD827AC">
            <w:pPr>
              <w:spacing w:before="0" w:after="0" w:line="240" w:lineRule="auto"/>
              <w:jc w:val="left"/>
              <w:rPr>
                <w:color w:val="auto"/>
              </w:rPr>
            </w:pPr>
            <w:r>
              <w:rPr>
                <w:rFonts w:ascii="Arial" w:hAnsi="Arial" w:eastAsia="Arial"/>
                <w:color w:val="auto"/>
                <w:sz w:val="16"/>
              </w:rPr>
              <w:t>0.126</w:t>
            </w:r>
          </w:p>
        </w:tc>
      </w:tr>
      <w:tr w14:paraId="6AC37166">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7A1C15C5">
            <w:pPr>
              <w:spacing w:before="0" w:after="0" w:line="240" w:lineRule="auto"/>
              <w:jc w:val="left"/>
              <w:rPr>
                <w:color w:val="auto"/>
              </w:rPr>
            </w:pPr>
            <w:r>
              <w:rPr>
                <w:rFonts w:ascii="Arial" w:hAnsi="Arial" w:eastAsia="Arial"/>
                <w:color w:val="auto"/>
                <w:sz w:val="16"/>
              </w:rPr>
              <w:t>IADL limitation</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57C20FFC">
            <w:pPr>
              <w:spacing w:before="0" w:after="0" w:line="240" w:lineRule="auto"/>
              <w:jc w:val="left"/>
              <w:rPr>
                <w:color w:val="auto"/>
              </w:rPr>
            </w:pPr>
            <w:r>
              <w:rPr>
                <w:rFonts w:ascii="Arial" w:hAnsi="Arial" w:eastAsia="Arial"/>
                <w:color w:val="auto"/>
                <w:sz w:val="16"/>
              </w:rPr>
              <w:t>Death</w:t>
            </w:r>
          </w:p>
        </w:tc>
        <w:tc>
          <w:tcPr>
            <w:tcW w:w="3024" w:type="dxa"/>
            <w:tcBorders>
              <w:top w:val="nil"/>
              <w:left w:val="nil"/>
              <w:bottom w:val="nil"/>
              <w:right w:val="nil"/>
              <w:insideH w:val="nil"/>
              <w:insideV w:val="nil"/>
            </w:tcBorders>
            <w:tcMar>
              <w:top w:w="80" w:type="dxa"/>
              <w:left w:w="80" w:type="dxa"/>
              <w:bottom w:w="80" w:type="dxa"/>
              <w:right w:w="80" w:type="dxa"/>
            </w:tcMar>
            <w:vAlign w:val="center"/>
          </w:tcPr>
          <w:p w14:paraId="5A2B208B">
            <w:pPr>
              <w:spacing w:before="0" w:after="0" w:line="240" w:lineRule="auto"/>
              <w:jc w:val="left"/>
              <w:rPr>
                <w:color w:val="auto"/>
              </w:rPr>
            </w:pPr>
            <w:r>
              <w:rPr>
                <w:rFonts w:ascii="Arial" w:hAnsi="Arial" w:eastAsia="Arial"/>
                <w:color w:val="auto"/>
                <w:sz w:val="16"/>
              </w:rPr>
              <w:t>Comorbidity vs Arthritis only</w:t>
            </w:r>
          </w:p>
        </w:tc>
        <w:tc>
          <w:tcPr>
            <w:tcW w:w="2376" w:type="dxa"/>
            <w:tcBorders>
              <w:top w:val="nil"/>
              <w:left w:val="nil"/>
              <w:bottom w:val="nil"/>
              <w:right w:val="nil"/>
              <w:insideH w:val="nil"/>
              <w:insideV w:val="nil"/>
            </w:tcBorders>
            <w:tcMar>
              <w:top w:w="80" w:type="dxa"/>
              <w:left w:w="80" w:type="dxa"/>
              <w:bottom w:w="80" w:type="dxa"/>
              <w:right w:w="80" w:type="dxa"/>
            </w:tcMar>
            <w:vAlign w:val="center"/>
          </w:tcPr>
          <w:p w14:paraId="67D3FF07">
            <w:pPr>
              <w:spacing w:before="0" w:after="0" w:line="240" w:lineRule="auto"/>
              <w:jc w:val="left"/>
              <w:rPr>
                <w:color w:val="auto"/>
              </w:rPr>
            </w:pPr>
            <w:r>
              <w:rPr>
                <w:rFonts w:ascii="Arial" w:hAnsi="Arial" w:eastAsia="Arial"/>
                <w:color w:val="auto"/>
                <w:sz w:val="16"/>
              </w:rPr>
              <w:t>1.37 (1.07–1.76)</w:t>
            </w:r>
          </w:p>
        </w:tc>
        <w:tc>
          <w:tcPr>
            <w:tcW w:w="1440" w:type="dxa"/>
            <w:tcBorders>
              <w:top w:val="nil"/>
              <w:left w:val="nil"/>
              <w:bottom w:val="nil"/>
              <w:right w:val="nil"/>
              <w:insideH w:val="nil"/>
              <w:insideV w:val="nil"/>
            </w:tcBorders>
            <w:tcMar>
              <w:top w:w="80" w:type="dxa"/>
              <w:left w:w="80" w:type="dxa"/>
              <w:bottom w:w="80" w:type="dxa"/>
              <w:right w:w="80" w:type="dxa"/>
            </w:tcMar>
            <w:vAlign w:val="center"/>
          </w:tcPr>
          <w:p w14:paraId="57777753">
            <w:pPr>
              <w:spacing w:before="0" w:after="0" w:line="240" w:lineRule="auto"/>
              <w:jc w:val="left"/>
              <w:rPr>
                <w:color w:val="auto"/>
              </w:rPr>
            </w:pPr>
            <w:r>
              <w:rPr>
                <w:rFonts w:ascii="Arial" w:hAnsi="Arial" w:eastAsia="Arial"/>
                <w:color w:val="auto"/>
                <w:sz w:val="16"/>
              </w:rPr>
              <w:t>0.012</w:t>
            </w:r>
          </w:p>
        </w:tc>
      </w:tr>
      <w:tr w14:paraId="11832F3F">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37953BE0">
            <w:pPr>
              <w:spacing w:before="0" w:after="0" w:line="240" w:lineRule="auto"/>
              <w:jc w:val="left"/>
              <w:rPr>
                <w:color w:val="auto"/>
              </w:rPr>
            </w:pPr>
            <w:r>
              <w:rPr>
                <w:rFonts w:ascii="Arial" w:hAnsi="Arial" w:eastAsia="Arial"/>
                <w:color w:val="auto"/>
                <w:sz w:val="16"/>
              </w:rPr>
              <w:t>ADL disability</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35C710F1">
            <w:pPr>
              <w:spacing w:before="0" w:after="0" w:line="240" w:lineRule="auto"/>
              <w:jc w:val="left"/>
              <w:rPr>
                <w:color w:val="auto"/>
              </w:rPr>
            </w:pPr>
            <w:r>
              <w:rPr>
                <w:rFonts w:ascii="Arial" w:hAnsi="Arial" w:eastAsia="Arial"/>
                <w:color w:val="auto"/>
                <w:sz w:val="16"/>
              </w:rPr>
              <w:t>Independent</w:t>
            </w:r>
          </w:p>
        </w:tc>
        <w:tc>
          <w:tcPr>
            <w:tcW w:w="3024" w:type="dxa"/>
            <w:tcBorders>
              <w:top w:val="nil"/>
              <w:left w:val="nil"/>
              <w:bottom w:val="nil"/>
              <w:right w:val="nil"/>
              <w:insideH w:val="nil"/>
              <w:insideV w:val="nil"/>
            </w:tcBorders>
            <w:tcMar>
              <w:top w:w="80" w:type="dxa"/>
              <w:left w:w="80" w:type="dxa"/>
              <w:bottom w:w="80" w:type="dxa"/>
              <w:right w:w="80" w:type="dxa"/>
            </w:tcMar>
            <w:vAlign w:val="center"/>
          </w:tcPr>
          <w:p w14:paraId="4A3C2DC1">
            <w:pPr>
              <w:spacing w:before="0" w:after="0" w:line="240" w:lineRule="auto"/>
              <w:jc w:val="left"/>
              <w:rPr>
                <w:color w:val="auto"/>
              </w:rPr>
            </w:pPr>
            <w:r>
              <w:rPr>
                <w:rFonts w:ascii="Arial" w:hAnsi="Arial" w:eastAsia="Arial"/>
                <w:color w:val="auto"/>
                <w:sz w:val="16"/>
              </w:rPr>
              <w:t>Comorbidity vs Arthritis only</w:t>
            </w:r>
          </w:p>
        </w:tc>
        <w:tc>
          <w:tcPr>
            <w:tcW w:w="2376" w:type="dxa"/>
            <w:tcBorders>
              <w:top w:val="nil"/>
              <w:left w:val="nil"/>
              <w:bottom w:val="nil"/>
              <w:right w:val="nil"/>
              <w:insideH w:val="nil"/>
              <w:insideV w:val="nil"/>
            </w:tcBorders>
            <w:tcMar>
              <w:top w:w="80" w:type="dxa"/>
              <w:left w:w="80" w:type="dxa"/>
              <w:bottom w:w="80" w:type="dxa"/>
              <w:right w:w="80" w:type="dxa"/>
            </w:tcMar>
            <w:vAlign w:val="center"/>
          </w:tcPr>
          <w:p w14:paraId="0FA2C225">
            <w:pPr>
              <w:spacing w:before="0" w:after="0" w:line="240" w:lineRule="auto"/>
              <w:jc w:val="left"/>
              <w:rPr>
                <w:color w:val="auto"/>
              </w:rPr>
            </w:pPr>
            <w:r>
              <w:rPr>
                <w:rFonts w:ascii="Arial" w:hAnsi="Arial" w:eastAsia="Arial"/>
                <w:color w:val="auto"/>
                <w:sz w:val="16"/>
              </w:rPr>
              <w:t>0.79 (0.70–0.89)</w:t>
            </w:r>
          </w:p>
        </w:tc>
        <w:tc>
          <w:tcPr>
            <w:tcW w:w="1440" w:type="dxa"/>
            <w:tcBorders>
              <w:top w:val="nil"/>
              <w:left w:val="nil"/>
              <w:bottom w:val="nil"/>
              <w:right w:val="nil"/>
              <w:insideH w:val="nil"/>
              <w:insideV w:val="nil"/>
            </w:tcBorders>
            <w:tcMar>
              <w:top w:w="80" w:type="dxa"/>
              <w:left w:w="80" w:type="dxa"/>
              <w:bottom w:w="80" w:type="dxa"/>
              <w:right w:w="80" w:type="dxa"/>
            </w:tcMar>
            <w:vAlign w:val="center"/>
          </w:tcPr>
          <w:p w14:paraId="1605C3BF">
            <w:pPr>
              <w:spacing w:before="0" w:after="0" w:line="240" w:lineRule="auto"/>
              <w:jc w:val="left"/>
              <w:rPr>
                <w:color w:val="auto"/>
              </w:rPr>
            </w:pPr>
            <w:r>
              <w:rPr>
                <w:rFonts w:ascii="Arial" w:hAnsi="Arial" w:eastAsia="Arial"/>
                <w:color w:val="auto"/>
                <w:sz w:val="16"/>
              </w:rPr>
              <w:t>&lt;0.001</w:t>
            </w:r>
          </w:p>
        </w:tc>
      </w:tr>
      <w:tr w14:paraId="2021AEEE">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nil"/>
              <w:right w:val="nil"/>
              <w:insideH w:val="nil"/>
              <w:insideV w:val="nil"/>
            </w:tcBorders>
            <w:tcMar>
              <w:top w:w="80" w:type="dxa"/>
              <w:left w:w="80" w:type="dxa"/>
              <w:bottom w:w="80" w:type="dxa"/>
              <w:right w:w="80" w:type="dxa"/>
            </w:tcMar>
            <w:vAlign w:val="center"/>
          </w:tcPr>
          <w:p w14:paraId="625DF14B">
            <w:pPr>
              <w:spacing w:before="0" w:after="0" w:line="240" w:lineRule="auto"/>
              <w:jc w:val="left"/>
              <w:rPr>
                <w:color w:val="auto"/>
              </w:rPr>
            </w:pPr>
            <w:r>
              <w:rPr>
                <w:rFonts w:ascii="Arial" w:hAnsi="Arial" w:eastAsia="Arial"/>
                <w:color w:val="auto"/>
                <w:sz w:val="16"/>
              </w:rPr>
              <w:t>ADL disability</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00136977">
            <w:pPr>
              <w:spacing w:before="0" w:after="0" w:line="240" w:lineRule="auto"/>
              <w:jc w:val="left"/>
              <w:rPr>
                <w:color w:val="auto"/>
              </w:rPr>
            </w:pPr>
            <w:r>
              <w:rPr>
                <w:rFonts w:ascii="Arial" w:hAnsi="Arial" w:eastAsia="Arial"/>
                <w:color w:val="auto"/>
                <w:sz w:val="16"/>
              </w:rPr>
              <w:t>IADL limitation</w:t>
            </w:r>
          </w:p>
        </w:tc>
        <w:tc>
          <w:tcPr>
            <w:tcW w:w="3024" w:type="dxa"/>
            <w:tcBorders>
              <w:top w:val="nil"/>
              <w:left w:val="nil"/>
              <w:bottom w:val="nil"/>
              <w:right w:val="nil"/>
              <w:insideH w:val="nil"/>
              <w:insideV w:val="nil"/>
            </w:tcBorders>
            <w:tcMar>
              <w:top w:w="80" w:type="dxa"/>
              <w:left w:w="80" w:type="dxa"/>
              <w:bottom w:w="80" w:type="dxa"/>
              <w:right w:w="80" w:type="dxa"/>
            </w:tcMar>
            <w:vAlign w:val="center"/>
          </w:tcPr>
          <w:p w14:paraId="07C5A623">
            <w:pPr>
              <w:spacing w:before="0" w:after="0" w:line="240" w:lineRule="auto"/>
              <w:jc w:val="left"/>
              <w:rPr>
                <w:color w:val="auto"/>
              </w:rPr>
            </w:pPr>
            <w:r>
              <w:rPr>
                <w:rFonts w:ascii="Arial" w:hAnsi="Arial" w:eastAsia="Arial"/>
                <w:color w:val="auto"/>
                <w:sz w:val="16"/>
              </w:rPr>
              <w:t>Comorbidity vs Arthritis only</w:t>
            </w:r>
          </w:p>
        </w:tc>
        <w:tc>
          <w:tcPr>
            <w:tcW w:w="2376" w:type="dxa"/>
            <w:tcBorders>
              <w:top w:val="nil"/>
              <w:left w:val="nil"/>
              <w:bottom w:val="nil"/>
              <w:right w:val="nil"/>
              <w:insideH w:val="nil"/>
              <w:insideV w:val="nil"/>
            </w:tcBorders>
            <w:tcMar>
              <w:top w:w="80" w:type="dxa"/>
              <w:left w:w="80" w:type="dxa"/>
              <w:bottom w:w="80" w:type="dxa"/>
              <w:right w:w="80" w:type="dxa"/>
            </w:tcMar>
            <w:vAlign w:val="center"/>
          </w:tcPr>
          <w:p w14:paraId="7FD83351">
            <w:pPr>
              <w:spacing w:before="0" w:after="0" w:line="240" w:lineRule="auto"/>
              <w:jc w:val="left"/>
              <w:rPr>
                <w:color w:val="auto"/>
              </w:rPr>
            </w:pPr>
            <w:r>
              <w:rPr>
                <w:rFonts w:ascii="Arial" w:hAnsi="Arial" w:eastAsia="Arial"/>
                <w:color w:val="auto"/>
                <w:sz w:val="16"/>
              </w:rPr>
              <w:t>0.82 (0.70–0.97)</w:t>
            </w:r>
          </w:p>
        </w:tc>
        <w:tc>
          <w:tcPr>
            <w:tcW w:w="1440" w:type="dxa"/>
            <w:tcBorders>
              <w:top w:val="nil"/>
              <w:left w:val="nil"/>
              <w:bottom w:val="nil"/>
              <w:right w:val="nil"/>
              <w:insideH w:val="nil"/>
              <w:insideV w:val="nil"/>
            </w:tcBorders>
            <w:tcMar>
              <w:top w:w="80" w:type="dxa"/>
              <w:left w:w="80" w:type="dxa"/>
              <w:bottom w:w="80" w:type="dxa"/>
              <w:right w:w="80" w:type="dxa"/>
            </w:tcMar>
            <w:vAlign w:val="center"/>
          </w:tcPr>
          <w:p w14:paraId="5CEFE828">
            <w:pPr>
              <w:spacing w:before="0" w:after="0" w:line="240" w:lineRule="auto"/>
              <w:jc w:val="left"/>
              <w:rPr>
                <w:color w:val="auto"/>
              </w:rPr>
            </w:pPr>
            <w:r>
              <w:rPr>
                <w:rFonts w:ascii="Arial" w:hAnsi="Arial" w:eastAsia="Arial"/>
                <w:color w:val="auto"/>
                <w:sz w:val="16"/>
              </w:rPr>
              <w:t>0.024</w:t>
            </w:r>
          </w:p>
        </w:tc>
      </w:tr>
      <w:tr w14:paraId="77873ED3">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088"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2396AC81">
            <w:pPr>
              <w:spacing w:before="0" w:after="0" w:line="240" w:lineRule="auto"/>
              <w:jc w:val="left"/>
              <w:rPr>
                <w:color w:val="auto"/>
              </w:rPr>
            </w:pPr>
            <w:r>
              <w:rPr>
                <w:rFonts w:ascii="Arial" w:hAnsi="Arial" w:eastAsia="Arial"/>
                <w:color w:val="auto"/>
                <w:sz w:val="16"/>
              </w:rPr>
              <w:t>ADL disability</w:t>
            </w:r>
          </w:p>
        </w:tc>
        <w:tc>
          <w:tcPr>
            <w:tcW w:w="288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3D4015AC">
            <w:pPr>
              <w:spacing w:before="0" w:after="0" w:line="240" w:lineRule="auto"/>
              <w:jc w:val="left"/>
              <w:rPr>
                <w:color w:val="auto"/>
              </w:rPr>
            </w:pPr>
            <w:r>
              <w:rPr>
                <w:rFonts w:ascii="Arial" w:hAnsi="Arial" w:eastAsia="Arial"/>
                <w:color w:val="auto"/>
                <w:sz w:val="16"/>
              </w:rPr>
              <w:t>Death</w:t>
            </w:r>
          </w:p>
        </w:tc>
        <w:tc>
          <w:tcPr>
            <w:tcW w:w="3024"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0195833C">
            <w:pPr>
              <w:spacing w:before="0" w:after="0" w:line="240" w:lineRule="auto"/>
              <w:jc w:val="left"/>
              <w:rPr>
                <w:color w:val="auto"/>
              </w:rPr>
            </w:pPr>
            <w:r>
              <w:rPr>
                <w:rFonts w:ascii="Arial" w:hAnsi="Arial" w:eastAsia="Arial"/>
                <w:color w:val="auto"/>
                <w:sz w:val="16"/>
              </w:rPr>
              <w:t>Comorbidity vs Arthritis only</w:t>
            </w:r>
          </w:p>
        </w:tc>
        <w:tc>
          <w:tcPr>
            <w:tcW w:w="2376"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116637F2">
            <w:pPr>
              <w:spacing w:before="0" w:after="0" w:line="240" w:lineRule="auto"/>
              <w:jc w:val="left"/>
              <w:rPr>
                <w:color w:val="auto"/>
              </w:rPr>
            </w:pPr>
            <w:r>
              <w:rPr>
                <w:rFonts w:ascii="Arial" w:hAnsi="Arial" w:eastAsia="Arial"/>
                <w:color w:val="auto"/>
                <w:sz w:val="16"/>
              </w:rPr>
              <w:t>1.26 (1.14–1.40)</w:t>
            </w:r>
          </w:p>
        </w:tc>
        <w:tc>
          <w:tcPr>
            <w:tcW w:w="144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623C9DDC">
            <w:pPr>
              <w:spacing w:before="0" w:after="0" w:line="240" w:lineRule="auto"/>
              <w:jc w:val="left"/>
              <w:rPr>
                <w:color w:val="auto"/>
              </w:rPr>
            </w:pPr>
            <w:r>
              <w:rPr>
                <w:rFonts w:ascii="Arial" w:hAnsi="Arial" w:eastAsia="Arial"/>
                <w:color w:val="auto"/>
                <w:sz w:val="16"/>
              </w:rPr>
              <w:t>&lt;0.001</w:t>
            </w:r>
          </w:p>
        </w:tc>
      </w:tr>
    </w:tbl>
    <w:p w14:paraId="34A0654B">
      <w:pPr>
        <w:rPr>
          <w:color w:val="auto"/>
        </w:rPr>
      </w:pPr>
      <w:r>
        <w:rPr>
          <w:rFonts w:ascii="Times New Roman" w:hAnsi="Times New Roman" w:eastAsia="Times New Roman"/>
          <w:i w:val="0"/>
          <w:color w:val="auto"/>
          <w:sz w:val="18"/>
        </w:rPr>
        <w:t>Note. Risk differences are comorbidity minus the named comparator. In Panel C, the persistence state matching the baseline state is the multinomial reference outcome. Person-wave and participant counts in Panel A refer to the common complete-case standardization sample for each baseline-state model, not exposure-specific observed counts.</w:t>
      </w:r>
    </w:p>
    <w:p w14:paraId="453D330F">
      <w:pPr>
        <w:pStyle w:val="3"/>
        <w:rPr>
          <w:color w:val="auto"/>
        </w:rPr>
      </w:pPr>
      <w:r>
        <w:rPr>
          <w:rFonts w:ascii="Times New Roman" w:hAnsi="Times New Roman" w:eastAsia="Times New Roman"/>
          <w:i w:val="0"/>
          <w:color w:val="auto"/>
        </w:rPr>
        <w:t>Supplementary Table S3. Disability history and functional-improvement extensions</w:t>
      </w:r>
    </w:p>
    <w:p w14:paraId="22AAD8EB">
      <w:pPr>
        <w:rPr>
          <w:color w:val="auto"/>
        </w:rPr>
      </w:pPr>
      <w:r>
        <w:rPr>
          <w:rFonts w:ascii="Times New Roman" w:hAnsi="Times New Roman" w:eastAsia="Times New Roman"/>
          <w:i/>
          <w:color w:val="auto"/>
        </w:rPr>
        <w:t>Prespecified extensions of the primary recovery analysis.</w:t>
      </w:r>
    </w:p>
    <w:tbl>
      <w:tblPr>
        <w:tblStyle w:val="32"/>
        <w:tblW w:w="0" w:type="auto"/>
        <w:jc w:val="center"/>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Layout w:type="autofit"/>
        <w:tblCellMar>
          <w:top w:w="0" w:type="dxa"/>
          <w:left w:w="108" w:type="dxa"/>
          <w:bottom w:w="0" w:type="dxa"/>
          <w:right w:w="108" w:type="dxa"/>
        </w:tblCellMar>
      </w:tblPr>
      <w:tblGrid>
        <w:gridCol w:w="2232"/>
        <w:gridCol w:w="1800"/>
        <w:gridCol w:w="1800"/>
        <w:gridCol w:w="1512"/>
        <w:gridCol w:w="2232"/>
        <w:gridCol w:w="2232"/>
        <w:gridCol w:w="2880"/>
      </w:tblGrid>
      <w:tr w14:paraId="296FA0E5">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blHeader/>
          <w:jc w:val="center"/>
        </w:trPr>
        <w:tc>
          <w:tcPr>
            <w:tcW w:w="2232"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39377389">
            <w:pPr>
              <w:spacing w:before="0" w:after="0" w:line="240" w:lineRule="auto"/>
              <w:jc w:val="left"/>
              <w:rPr>
                <w:color w:val="auto"/>
              </w:rPr>
            </w:pPr>
            <w:r>
              <w:rPr>
                <w:rFonts w:ascii="Arial" w:hAnsi="Arial" w:eastAsia="Arial"/>
                <w:b/>
                <w:color w:val="auto"/>
                <w:sz w:val="15"/>
              </w:rPr>
              <w:t>Baseline history/state</w:t>
            </w:r>
          </w:p>
        </w:tc>
        <w:tc>
          <w:tcPr>
            <w:tcW w:w="180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21C59815">
            <w:pPr>
              <w:spacing w:before="0" w:after="0" w:line="240" w:lineRule="auto"/>
              <w:jc w:val="left"/>
              <w:rPr>
                <w:color w:val="auto"/>
              </w:rPr>
            </w:pPr>
            <w:r>
              <w:rPr>
                <w:rFonts w:ascii="Arial" w:hAnsi="Arial" w:eastAsia="Arial"/>
                <w:b/>
                <w:color w:val="auto"/>
                <w:sz w:val="15"/>
              </w:rPr>
              <w:t>Outcome</w:t>
            </w:r>
          </w:p>
        </w:tc>
        <w:tc>
          <w:tcPr>
            <w:tcW w:w="180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01A23FC6">
            <w:pPr>
              <w:spacing w:before="0" w:after="0" w:line="240" w:lineRule="auto"/>
              <w:jc w:val="left"/>
              <w:rPr>
                <w:color w:val="auto"/>
              </w:rPr>
            </w:pPr>
            <w:r>
              <w:rPr>
                <w:rFonts w:ascii="Arial" w:hAnsi="Arial" w:eastAsia="Arial"/>
                <w:b/>
                <w:color w:val="auto"/>
                <w:sz w:val="15"/>
              </w:rPr>
              <w:t>Complete model person-waves</w:t>
            </w:r>
          </w:p>
        </w:tc>
        <w:tc>
          <w:tcPr>
            <w:tcW w:w="1512"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3334935A">
            <w:pPr>
              <w:spacing w:before="0" w:after="0" w:line="240" w:lineRule="auto"/>
              <w:jc w:val="left"/>
              <w:rPr>
                <w:color w:val="auto"/>
              </w:rPr>
            </w:pPr>
            <w:r>
              <w:rPr>
                <w:rFonts w:ascii="Arial" w:hAnsi="Arial" w:eastAsia="Arial"/>
                <w:b/>
                <w:color w:val="auto"/>
                <w:sz w:val="15"/>
              </w:rPr>
              <w:t>Participants</w:t>
            </w:r>
          </w:p>
        </w:tc>
        <w:tc>
          <w:tcPr>
            <w:tcW w:w="2232"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0B549CF5">
            <w:pPr>
              <w:spacing w:before="0" w:after="0" w:line="240" w:lineRule="auto"/>
              <w:jc w:val="left"/>
              <w:rPr>
                <w:color w:val="auto"/>
              </w:rPr>
            </w:pPr>
            <w:r>
              <w:rPr>
                <w:rFonts w:ascii="Arial" w:hAnsi="Arial" w:eastAsia="Arial"/>
                <w:b/>
                <w:color w:val="auto"/>
                <w:sz w:val="15"/>
              </w:rPr>
              <w:t>Comorbidity, % (95% CI)</w:t>
            </w:r>
          </w:p>
        </w:tc>
        <w:tc>
          <w:tcPr>
            <w:tcW w:w="2232"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0CE344A9">
            <w:pPr>
              <w:spacing w:before="0" w:after="0" w:line="240" w:lineRule="auto"/>
              <w:jc w:val="left"/>
              <w:rPr>
                <w:color w:val="auto"/>
              </w:rPr>
            </w:pPr>
            <w:r>
              <w:rPr>
                <w:rFonts w:ascii="Arial" w:hAnsi="Arial" w:eastAsia="Arial"/>
                <w:b/>
                <w:color w:val="auto"/>
                <w:sz w:val="15"/>
              </w:rPr>
              <w:t>Arthritis only, % (95% CI)</w:t>
            </w:r>
          </w:p>
        </w:tc>
        <w:tc>
          <w:tcPr>
            <w:tcW w:w="288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359B71AD">
            <w:pPr>
              <w:spacing w:before="0" w:after="0" w:line="240" w:lineRule="auto"/>
              <w:jc w:val="left"/>
              <w:rPr>
                <w:color w:val="auto"/>
              </w:rPr>
            </w:pPr>
            <w:r>
              <w:rPr>
                <w:rFonts w:ascii="Arial" w:hAnsi="Arial" w:eastAsia="Arial"/>
                <w:b/>
                <w:color w:val="auto"/>
                <w:sz w:val="15"/>
              </w:rPr>
              <w:t>Risk difference, percentage points (95% CI)</w:t>
            </w:r>
          </w:p>
        </w:tc>
      </w:tr>
      <w:tr w14:paraId="3519804A">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E39E609">
            <w:pPr>
              <w:spacing w:before="0" w:after="0" w:line="240" w:lineRule="auto"/>
              <w:jc w:val="left"/>
              <w:rPr>
                <w:color w:val="auto"/>
              </w:rPr>
            </w:pPr>
            <w:r>
              <w:rPr>
                <w:rFonts w:ascii="Arial" w:hAnsi="Arial" w:eastAsia="Arial"/>
                <w:color w:val="auto"/>
                <w:sz w:val="15"/>
              </w:rPr>
              <w:t>Recent-onset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DA3D305">
            <w:pPr>
              <w:spacing w:before="0" w:after="0" w:line="240" w:lineRule="auto"/>
              <w:jc w:val="left"/>
              <w:rPr>
                <w:color w:val="auto"/>
              </w:rPr>
            </w:pPr>
            <w:r>
              <w:rPr>
                <w:rFonts w:ascii="Arial" w:hAnsi="Arial" w:eastAsia="Arial"/>
                <w:color w:val="auto"/>
                <w:sz w:val="15"/>
              </w:rPr>
              <w:t>Recovery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373361B7">
            <w:pPr>
              <w:spacing w:before="0" w:after="0" w:line="240" w:lineRule="auto"/>
              <w:jc w:val="left"/>
              <w:rPr>
                <w:color w:val="auto"/>
              </w:rPr>
            </w:pPr>
            <w:r>
              <w:rPr>
                <w:rFonts w:ascii="Arial" w:hAnsi="Arial" w:eastAsia="Arial"/>
                <w:color w:val="auto"/>
                <w:sz w:val="15"/>
              </w:rPr>
              <w:t>8558</w:t>
            </w:r>
          </w:p>
        </w:tc>
        <w:tc>
          <w:tcPr>
            <w:tcW w:w="1512" w:type="dxa"/>
            <w:tcBorders>
              <w:top w:val="nil"/>
              <w:left w:val="nil"/>
              <w:bottom w:val="nil"/>
              <w:right w:val="nil"/>
              <w:insideH w:val="nil"/>
              <w:insideV w:val="nil"/>
            </w:tcBorders>
            <w:tcMar>
              <w:top w:w="80" w:type="dxa"/>
              <w:left w:w="80" w:type="dxa"/>
              <w:bottom w:w="80" w:type="dxa"/>
              <w:right w:w="80" w:type="dxa"/>
            </w:tcMar>
            <w:vAlign w:val="center"/>
          </w:tcPr>
          <w:p w14:paraId="29F8FEE1">
            <w:pPr>
              <w:spacing w:before="0" w:after="0" w:line="240" w:lineRule="auto"/>
              <w:jc w:val="left"/>
              <w:rPr>
                <w:color w:val="auto"/>
              </w:rPr>
            </w:pPr>
            <w:r>
              <w:rPr>
                <w:rFonts w:ascii="Arial" w:hAnsi="Arial" w:eastAsia="Arial"/>
                <w:color w:val="auto"/>
                <w:sz w:val="15"/>
              </w:rPr>
              <w:t>6898</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6DE28F5A">
            <w:pPr>
              <w:spacing w:before="0" w:after="0" w:line="240" w:lineRule="auto"/>
              <w:jc w:val="left"/>
              <w:rPr>
                <w:color w:val="auto"/>
              </w:rPr>
            </w:pPr>
            <w:r>
              <w:rPr>
                <w:rFonts w:ascii="Arial" w:hAnsi="Arial" w:eastAsia="Arial"/>
                <w:color w:val="auto"/>
                <w:sz w:val="15"/>
              </w:rPr>
              <w:t>34.7 (32.6–36.7)</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E421703">
            <w:pPr>
              <w:spacing w:before="0" w:after="0" w:line="240" w:lineRule="auto"/>
              <w:jc w:val="left"/>
              <w:rPr>
                <w:color w:val="auto"/>
              </w:rPr>
            </w:pPr>
            <w:r>
              <w:rPr>
                <w:rFonts w:ascii="Arial" w:hAnsi="Arial" w:eastAsia="Arial"/>
                <w:color w:val="auto"/>
                <w:sz w:val="15"/>
              </w:rPr>
              <w:t>38.2 (36.9–39.5)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5A73F7B2">
            <w:pPr>
              <w:spacing w:before="0" w:after="0" w:line="240" w:lineRule="auto"/>
              <w:jc w:val="left"/>
              <w:rPr>
                <w:color w:val="auto"/>
              </w:rPr>
            </w:pPr>
            <w:r>
              <w:rPr>
                <w:rFonts w:ascii="Arial" w:hAnsi="Arial" w:eastAsia="Arial"/>
                <w:color w:val="auto"/>
                <w:sz w:val="15"/>
              </w:rPr>
              <w:t>-3.52 (-5.99 to -1.06)</w:t>
            </w:r>
          </w:p>
        </w:tc>
      </w:tr>
      <w:tr w14:paraId="455CCDFF">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insideH w:val="nil"/>
              <w:insideV w:val="nil"/>
            </w:tcBorders>
            <w:tcMar>
              <w:top w:w="80" w:type="dxa"/>
              <w:left w:w="80" w:type="dxa"/>
              <w:bottom w:w="80" w:type="dxa"/>
              <w:right w:w="80" w:type="dxa"/>
            </w:tcMar>
            <w:vAlign w:val="center"/>
          </w:tcPr>
          <w:p w14:paraId="4ACCE070">
            <w:pPr>
              <w:spacing w:before="0" w:after="0" w:line="240" w:lineRule="auto"/>
              <w:jc w:val="left"/>
              <w:rPr>
                <w:color w:val="auto"/>
              </w:rPr>
            </w:pPr>
            <w:r>
              <w:rPr>
                <w:rFonts w:ascii="Arial" w:hAnsi="Arial" w:eastAsia="Arial"/>
                <w:color w:val="auto"/>
                <w:sz w:val="15"/>
              </w:rPr>
              <w:t>Recent-onset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15F78A2">
            <w:pPr>
              <w:spacing w:before="0" w:after="0" w:line="240" w:lineRule="auto"/>
              <w:jc w:val="left"/>
              <w:rPr>
                <w:color w:val="auto"/>
              </w:rPr>
            </w:pPr>
            <w:r>
              <w:rPr>
                <w:rFonts w:ascii="Arial" w:hAnsi="Arial" w:eastAsia="Arial"/>
                <w:color w:val="auto"/>
                <w:sz w:val="15"/>
              </w:rPr>
              <w:t>Death</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056B3C7">
            <w:pPr>
              <w:spacing w:before="0" w:after="0" w:line="240" w:lineRule="auto"/>
              <w:jc w:val="left"/>
              <w:rPr>
                <w:color w:val="auto"/>
              </w:rPr>
            </w:pPr>
            <w:r>
              <w:rPr>
                <w:rFonts w:ascii="Arial" w:hAnsi="Arial" w:eastAsia="Arial"/>
                <w:color w:val="auto"/>
                <w:sz w:val="15"/>
              </w:rPr>
              <w:t>8558</w:t>
            </w:r>
          </w:p>
        </w:tc>
        <w:tc>
          <w:tcPr>
            <w:tcW w:w="1512" w:type="dxa"/>
            <w:tcBorders>
              <w:top w:val="nil"/>
              <w:left w:val="nil"/>
              <w:bottom w:val="nil"/>
              <w:right w:val="nil"/>
              <w:insideH w:val="nil"/>
              <w:insideV w:val="nil"/>
            </w:tcBorders>
            <w:tcMar>
              <w:top w:w="80" w:type="dxa"/>
              <w:left w:w="80" w:type="dxa"/>
              <w:bottom w:w="80" w:type="dxa"/>
              <w:right w:w="80" w:type="dxa"/>
            </w:tcMar>
            <w:vAlign w:val="center"/>
          </w:tcPr>
          <w:p w14:paraId="13515C13">
            <w:pPr>
              <w:spacing w:before="0" w:after="0" w:line="240" w:lineRule="auto"/>
              <w:jc w:val="left"/>
              <w:rPr>
                <w:color w:val="auto"/>
              </w:rPr>
            </w:pPr>
            <w:r>
              <w:rPr>
                <w:rFonts w:ascii="Arial" w:hAnsi="Arial" w:eastAsia="Arial"/>
                <w:color w:val="auto"/>
                <w:sz w:val="15"/>
              </w:rPr>
              <w:t>6898</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596008D">
            <w:pPr>
              <w:spacing w:before="0" w:after="0" w:line="240" w:lineRule="auto"/>
              <w:jc w:val="left"/>
              <w:rPr>
                <w:color w:val="auto"/>
              </w:rPr>
            </w:pPr>
            <w:r>
              <w:rPr>
                <w:rFonts w:ascii="Arial" w:hAnsi="Arial" w:eastAsia="Arial"/>
                <w:color w:val="auto"/>
                <w:sz w:val="15"/>
              </w:rPr>
              <w:t>13.7 (12.2–15.4)</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7951C491">
            <w:pPr>
              <w:spacing w:before="0" w:after="0" w:line="240" w:lineRule="auto"/>
              <w:jc w:val="left"/>
              <w:rPr>
                <w:color w:val="auto"/>
              </w:rPr>
            </w:pPr>
            <w:r>
              <w:rPr>
                <w:rFonts w:ascii="Arial" w:hAnsi="Arial" w:eastAsia="Arial"/>
                <w:color w:val="auto"/>
                <w:sz w:val="15"/>
              </w:rPr>
              <w:t>13.2 (12.4–14.2)</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0A2DE664">
            <w:pPr>
              <w:spacing w:before="0" w:after="0" w:line="240" w:lineRule="auto"/>
              <w:jc w:val="left"/>
              <w:rPr>
                <w:color w:val="auto"/>
              </w:rPr>
            </w:pPr>
            <w:r>
              <w:rPr>
                <w:rFonts w:ascii="Arial" w:hAnsi="Arial" w:eastAsia="Arial"/>
                <w:color w:val="auto"/>
                <w:sz w:val="15"/>
              </w:rPr>
              <w:t>+0.47 (-1.36 to +2.37)</w:t>
            </w:r>
          </w:p>
        </w:tc>
      </w:tr>
      <w:tr w14:paraId="033DF8BE">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insideH w:val="nil"/>
              <w:insideV w:val="nil"/>
            </w:tcBorders>
            <w:tcMar>
              <w:top w:w="80" w:type="dxa"/>
              <w:left w:w="80" w:type="dxa"/>
              <w:bottom w:w="80" w:type="dxa"/>
              <w:right w:w="80" w:type="dxa"/>
            </w:tcMar>
            <w:vAlign w:val="center"/>
          </w:tcPr>
          <w:p w14:paraId="027C03B2">
            <w:pPr>
              <w:spacing w:before="0" w:after="0" w:line="240" w:lineRule="auto"/>
              <w:jc w:val="left"/>
              <w:rPr>
                <w:color w:val="auto"/>
              </w:rPr>
            </w:pPr>
            <w:r>
              <w:rPr>
                <w:rFonts w:ascii="Arial" w:hAnsi="Arial" w:eastAsia="Arial"/>
                <w:color w:val="auto"/>
                <w:sz w:val="15"/>
              </w:rPr>
              <w:t>Persistent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D315C23">
            <w:pPr>
              <w:spacing w:before="0" w:after="0" w:line="240" w:lineRule="auto"/>
              <w:jc w:val="left"/>
              <w:rPr>
                <w:color w:val="auto"/>
              </w:rPr>
            </w:pPr>
            <w:r>
              <w:rPr>
                <w:rFonts w:ascii="Arial" w:hAnsi="Arial" w:eastAsia="Arial"/>
                <w:color w:val="auto"/>
                <w:sz w:val="15"/>
              </w:rPr>
              <w:t>Recovery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C7D2835">
            <w:pPr>
              <w:spacing w:before="0" w:after="0" w:line="240" w:lineRule="auto"/>
              <w:jc w:val="left"/>
              <w:rPr>
                <w:color w:val="auto"/>
              </w:rPr>
            </w:pPr>
            <w:r>
              <w:rPr>
                <w:rFonts w:ascii="Arial" w:hAnsi="Arial" w:eastAsia="Arial"/>
                <w:color w:val="auto"/>
                <w:sz w:val="15"/>
              </w:rPr>
              <w:t>12516</w:t>
            </w:r>
          </w:p>
        </w:tc>
        <w:tc>
          <w:tcPr>
            <w:tcW w:w="1512" w:type="dxa"/>
            <w:tcBorders>
              <w:top w:val="nil"/>
              <w:left w:val="nil"/>
              <w:bottom w:val="nil"/>
              <w:right w:val="nil"/>
              <w:insideH w:val="nil"/>
              <w:insideV w:val="nil"/>
            </w:tcBorders>
            <w:tcMar>
              <w:top w:w="80" w:type="dxa"/>
              <w:left w:w="80" w:type="dxa"/>
              <w:bottom w:w="80" w:type="dxa"/>
              <w:right w:w="80" w:type="dxa"/>
            </w:tcMar>
            <w:vAlign w:val="center"/>
          </w:tcPr>
          <w:p w14:paraId="732038E1">
            <w:pPr>
              <w:spacing w:before="0" w:after="0" w:line="240" w:lineRule="auto"/>
              <w:jc w:val="left"/>
              <w:rPr>
                <w:color w:val="auto"/>
              </w:rPr>
            </w:pPr>
            <w:r>
              <w:rPr>
                <w:rFonts w:ascii="Arial" w:hAnsi="Arial" w:eastAsia="Arial"/>
                <w:color w:val="auto"/>
                <w:sz w:val="15"/>
              </w:rPr>
              <w:t>5501</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64709221">
            <w:pPr>
              <w:spacing w:before="0" w:after="0" w:line="240" w:lineRule="auto"/>
              <w:jc w:val="left"/>
              <w:rPr>
                <w:color w:val="auto"/>
              </w:rPr>
            </w:pPr>
            <w:r>
              <w:rPr>
                <w:rFonts w:ascii="Arial" w:hAnsi="Arial" w:eastAsia="Arial"/>
                <w:color w:val="auto"/>
                <w:sz w:val="15"/>
              </w:rPr>
              <w:t>10.9 (10.0–12.1)</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56E34D0">
            <w:pPr>
              <w:spacing w:before="0" w:after="0" w:line="240" w:lineRule="auto"/>
              <w:jc w:val="left"/>
              <w:rPr>
                <w:color w:val="auto"/>
              </w:rPr>
            </w:pPr>
            <w:r>
              <w:rPr>
                <w:rFonts w:ascii="Arial" w:hAnsi="Arial" w:eastAsia="Arial"/>
                <w:color w:val="auto"/>
                <w:sz w:val="15"/>
              </w:rPr>
              <w:t>13.0 (12.3–13.9)</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36D1A676">
            <w:pPr>
              <w:spacing w:before="0" w:after="0" w:line="240" w:lineRule="auto"/>
              <w:jc w:val="left"/>
              <w:rPr>
                <w:color w:val="auto"/>
              </w:rPr>
            </w:pPr>
            <w:r>
              <w:rPr>
                <w:rFonts w:ascii="Arial" w:hAnsi="Arial" w:eastAsia="Arial"/>
                <w:color w:val="auto"/>
                <w:sz w:val="15"/>
              </w:rPr>
              <w:t>-2.06 (-3.39 to -0.69)</w:t>
            </w:r>
          </w:p>
        </w:tc>
      </w:tr>
      <w:tr w14:paraId="3E9D4078">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insideH w:val="nil"/>
              <w:insideV w:val="nil"/>
            </w:tcBorders>
            <w:tcMar>
              <w:top w:w="80" w:type="dxa"/>
              <w:left w:w="80" w:type="dxa"/>
              <w:bottom w:w="80" w:type="dxa"/>
              <w:right w:w="80" w:type="dxa"/>
            </w:tcMar>
            <w:vAlign w:val="center"/>
          </w:tcPr>
          <w:p w14:paraId="0C73EAC6">
            <w:pPr>
              <w:spacing w:before="0" w:after="0" w:line="240" w:lineRule="auto"/>
              <w:jc w:val="left"/>
              <w:rPr>
                <w:color w:val="auto"/>
              </w:rPr>
            </w:pPr>
            <w:r>
              <w:rPr>
                <w:rFonts w:ascii="Arial" w:hAnsi="Arial" w:eastAsia="Arial"/>
                <w:color w:val="auto"/>
                <w:sz w:val="15"/>
              </w:rPr>
              <w:t>Persistent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2CF1FD4">
            <w:pPr>
              <w:spacing w:before="0" w:after="0" w:line="240" w:lineRule="auto"/>
              <w:jc w:val="left"/>
              <w:rPr>
                <w:color w:val="auto"/>
              </w:rPr>
            </w:pPr>
            <w:r>
              <w:rPr>
                <w:rFonts w:ascii="Arial" w:hAnsi="Arial" w:eastAsia="Arial"/>
                <w:color w:val="auto"/>
                <w:sz w:val="15"/>
              </w:rPr>
              <w:t>Death</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78B0864">
            <w:pPr>
              <w:spacing w:before="0" w:after="0" w:line="240" w:lineRule="auto"/>
              <w:jc w:val="left"/>
              <w:rPr>
                <w:color w:val="auto"/>
              </w:rPr>
            </w:pPr>
            <w:r>
              <w:rPr>
                <w:rFonts w:ascii="Arial" w:hAnsi="Arial" w:eastAsia="Arial"/>
                <w:color w:val="auto"/>
                <w:sz w:val="15"/>
              </w:rPr>
              <w:t>12516</w:t>
            </w:r>
          </w:p>
        </w:tc>
        <w:tc>
          <w:tcPr>
            <w:tcW w:w="1512" w:type="dxa"/>
            <w:tcBorders>
              <w:top w:val="nil"/>
              <w:left w:val="nil"/>
              <w:bottom w:val="nil"/>
              <w:right w:val="nil"/>
              <w:insideH w:val="nil"/>
              <w:insideV w:val="nil"/>
            </w:tcBorders>
            <w:tcMar>
              <w:top w:w="80" w:type="dxa"/>
              <w:left w:w="80" w:type="dxa"/>
              <w:bottom w:w="80" w:type="dxa"/>
              <w:right w:w="80" w:type="dxa"/>
            </w:tcMar>
            <w:vAlign w:val="center"/>
          </w:tcPr>
          <w:p w14:paraId="1446681C">
            <w:pPr>
              <w:spacing w:before="0" w:after="0" w:line="240" w:lineRule="auto"/>
              <w:jc w:val="left"/>
              <w:rPr>
                <w:color w:val="auto"/>
              </w:rPr>
            </w:pPr>
            <w:r>
              <w:rPr>
                <w:rFonts w:ascii="Arial" w:hAnsi="Arial" w:eastAsia="Arial"/>
                <w:color w:val="auto"/>
                <w:sz w:val="15"/>
              </w:rPr>
              <w:t>5501</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1082450A">
            <w:pPr>
              <w:spacing w:before="0" w:after="0" w:line="240" w:lineRule="auto"/>
              <w:jc w:val="left"/>
              <w:rPr>
                <w:color w:val="auto"/>
              </w:rPr>
            </w:pPr>
            <w:r>
              <w:rPr>
                <w:rFonts w:ascii="Arial" w:hAnsi="Arial" w:eastAsia="Arial"/>
                <w:color w:val="auto"/>
                <w:sz w:val="15"/>
              </w:rPr>
              <w:t>21.7 (20.4–23.2)</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2F7DA9E">
            <w:pPr>
              <w:spacing w:before="0" w:after="0" w:line="240" w:lineRule="auto"/>
              <w:jc w:val="left"/>
              <w:rPr>
                <w:color w:val="auto"/>
              </w:rPr>
            </w:pPr>
            <w:r>
              <w:rPr>
                <w:rFonts w:ascii="Arial" w:hAnsi="Arial" w:eastAsia="Arial"/>
                <w:color w:val="auto"/>
                <w:sz w:val="15"/>
              </w:rPr>
              <w:t>17.3 (16.5–18.2)</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11739DBB">
            <w:pPr>
              <w:spacing w:before="0" w:after="0" w:line="240" w:lineRule="auto"/>
              <w:jc w:val="left"/>
              <w:rPr>
                <w:color w:val="auto"/>
              </w:rPr>
            </w:pPr>
            <w:r>
              <w:rPr>
                <w:rFonts w:ascii="Arial" w:hAnsi="Arial" w:eastAsia="Arial"/>
                <w:color w:val="auto"/>
                <w:sz w:val="15"/>
              </w:rPr>
              <w:t>+4.44 (+2.79 to +6.06)</w:t>
            </w:r>
          </w:p>
        </w:tc>
      </w:tr>
      <w:tr w14:paraId="7BBD7F7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558FD83">
            <w:pPr>
              <w:spacing w:before="0" w:after="0" w:line="240" w:lineRule="auto"/>
              <w:jc w:val="left"/>
              <w:rPr>
                <w:color w:val="auto"/>
              </w:rPr>
            </w:pPr>
            <w:r>
              <w:rPr>
                <w:rFonts w:ascii="Arial" w:hAnsi="Arial" w:eastAsia="Arial"/>
                <w:color w:val="auto"/>
                <w:sz w:val="15"/>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1A379AF3">
            <w:pPr>
              <w:spacing w:before="0" w:after="0" w:line="240" w:lineRule="auto"/>
              <w:jc w:val="left"/>
              <w:rPr>
                <w:color w:val="auto"/>
              </w:rPr>
            </w:pPr>
            <w:r>
              <w:rPr>
                <w:rFonts w:ascii="Arial" w:hAnsi="Arial" w:eastAsia="Arial"/>
                <w:color w:val="auto"/>
                <w:sz w:val="15"/>
              </w:rPr>
              <w:t>Independent</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F81C08B">
            <w:pPr>
              <w:spacing w:before="0" w:after="0" w:line="240" w:lineRule="auto"/>
              <w:jc w:val="left"/>
              <w:rPr>
                <w:color w:val="auto"/>
              </w:rPr>
            </w:pPr>
            <w:r>
              <w:rPr>
                <w:rFonts w:ascii="Arial" w:hAnsi="Arial" w:eastAsia="Arial"/>
                <w:color w:val="auto"/>
                <w:sz w:val="15"/>
              </w:rPr>
              <w:t>18082</w:t>
            </w:r>
          </w:p>
        </w:tc>
        <w:tc>
          <w:tcPr>
            <w:tcW w:w="1512" w:type="dxa"/>
            <w:tcBorders>
              <w:top w:val="nil"/>
              <w:left w:val="nil"/>
              <w:bottom w:val="nil"/>
              <w:right w:val="nil"/>
              <w:insideH w:val="nil"/>
              <w:insideV w:val="nil"/>
            </w:tcBorders>
            <w:tcMar>
              <w:top w:w="80" w:type="dxa"/>
              <w:left w:w="80" w:type="dxa"/>
              <w:bottom w:w="80" w:type="dxa"/>
              <w:right w:w="80" w:type="dxa"/>
            </w:tcMar>
            <w:vAlign w:val="center"/>
          </w:tcPr>
          <w:p w14:paraId="3783E3A9">
            <w:pPr>
              <w:spacing w:before="0" w:after="0" w:line="240" w:lineRule="auto"/>
              <w:jc w:val="left"/>
              <w:rPr>
                <w:color w:val="auto"/>
              </w:rPr>
            </w:pPr>
            <w:r>
              <w:rPr>
                <w:rFonts w:ascii="Arial" w:hAnsi="Arial" w:eastAsia="Arial"/>
                <w:color w:val="auto"/>
                <w:sz w:val="15"/>
              </w:rPr>
              <w:t>8151</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654F0DA8">
            <w:pPr>
              <w:spacing w:before="0" w:after="0" w:line="240" w:lineRule="auto"/>
              <w:jc w:val="left"/>
              <w:rPr>
                <w:color w:val="auto"/>
              </w:rPr>
            </w:pPr>
            <w:r>
              <w:rPr>
                <w:rFonts w:ascii="Arial" w:hAnsi="Arial" w:eastAsia="Arial"/>
                <w:color w:val="auto"/>
                <w:sz w:val="15"/>
              </w:rPr>
              <w:t>17.6 (16.5–18.9)</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4B8286DD">
            <w:pPr>
              <w:spacing w:before="0" w:after="0" w:line="240" w:lineRule="auto"/>
              <w:jc w:val="left"/>
              <w:rPr>
                <w:color w:val="auto"/>
              </w:rPr>
            </w:pPr>
            <w:r>
              <w:rPr>
                <w:rFonts w:ascii="Arial" w:hAnsi="Arial" w:eastAsia="Arial"/>
                <w:color w:val="auto"/>
                <w:sz w:val="15"/>
              </w:rPr>
              <w:t>21.3 (20.5–22.3)</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614DE777">
            <w:pPr>
              <w:spacing w:before="0" w:after="0" w:line="240" w:lineRule="auto"/>
              <w:jc w:val="left"/>
              <w:rPr>
                <w:color w:val="auto"/>
              </w:rPr>
            </w:pPr>
            <w:r>
              <w:rPr>
                <w:rFonts w:ascii="Arial" w:hAnsi="Arial" w:eastAsia="Arial"/>
                <w:color w:val="auto"/>
                <w:sz w:val="15"/>
              </w:rPr>
              <w:t>-3.69 (-5.20 to -2.13)</w:t>
            </w:r>
          </w:p>
        </w:tc>
      </w:tr>
      <w:tr w14:paraId="05BE11FC">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insideH w:val="nil"/>
              <w:insideV w:val="nil"/>
            </w:tcBorders>
            <w:tcMar>
              <w:top w:w="80" w:type="dxa"/>
              <w:left w:w="80" w:type="dxa"/>
              <w:bottom w:w="80" w:type="dxa"/>
              <w:right w:w="80" w:type="dxa"/>
            </w:tcMar>
            <w:vAlign w:val="center"/>
          </w:tcPr>
          <w:p w14:paraId="43A8A299">
            <w:pPr>
              <w:spacing w:before="0" w:after="0" w:line="240" w:lineRule="auto"/>
              <w:jc w:val="left"/>
              <w:rPr>
                <w:color w:val="auto"/>
              </w:rPr>
            </w:pPr>
            <w:r>
              <w:rPr>
                <w:rFonts w:ascii="Arial" w:hAnsi="Arial" w:eastAsia="Arial"/>
                <w:color w:val="auto"/>
                <w:sz w:val="15"/>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3C43F77">
            <w:pPr>
              <w:spacing w:before="0" w:after="0" w:line="240" w:lineRule="auto"/>
              <w:jc w:val="left"/>
              <w:rPr>
                <w:color w:val="auto"/>
              </w:rPr>
            </w:pPr>
            <w:r>
              <w:rPr>
                <w:rFonts w:ascii="Arial" w:hAnsi="Arial" w:eastAsia="Arial"/>
                <w:color w:val="auto"/>
                <w:sz w:val="15"/>
              </w:rPr>
              <w:t>IADL limitation</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B28726B">
            <w:pPr>
              <w:spacing w:before="0" w:after="0" w:line="240" w:lineRule="auto"/>
              <w:jc w:val="left"/>
              <w:rPr>
                <w:color w:val="auto"/>
              </w:rPr>
            </w:pPr>
            <w:r>
              <w:rPr>
                <w:rFonts w:ascii="Arial" w:hAnsi="Arial" w:eastAsia="Arial"/>
                <w:color w:val="auto"/>
                <w:sz w:val="15"/>
              </w:rPr>
              <w:t>18082</w:t>
            </w:r>
          </w:p>
        </w:tc>
        <w:tc>
          <w:tcPr>
            <w:tcW w:w="1512" w:type="dxa"/>
            <w:tcBorders>
              <w:top w:val="nil"/>
              <w:left w:val="nil"/>
              <w:bottom w:val="nil"/>
              <w:right w:val="nil"/>
              <w:insideH w:val="nil"/>
              <w:insideV w:val="nil"/>
            </w:tcBorders>
            <w:tcMar>
              <w:top w:w="80" w:type="dxa"/>
              <w:left w:w="80" w:type="dxa"/>
              <w:bottom w:w="80" w:type="dxa"/>
              <w:right w:w="80" w:type="dxa"/>
            </w:tcMar>
            <w:vAlign w:val="center"/>
          </w:tcPr>
          <w:p w14:paraId="399B4C30">
            <w:pPr>
              <w:spacing w:before="0" w:after="0" w:line="240" w:lineRule="auto"/>
              <w:jc w:val="left"/>
              <w:rPr>
                <w:color w:val="auto"/>
              </w:rPr>
            </w:pPr>
            <w:r>
              <w:rPr>
                <w:rFonts w:ascii="Arial" w:hAnsi="Arial" w:eastAsia="Arial"/>
                <w:color w:val="auto"/>
                <w:sz w:val="15"/>
              </w:rPr>
              <w:t>8151</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1FCDFB55">
            <w:pPr>
              <w:spacing w:before="0" w:after="0" w:line="240" w:lineRule="auto"/>
              <w:jc w:val="left"/>
              <w:rPr>
                <w:color w:val="auto"/>
              </w:rPr>
            </w:pPr>
            <w:r>
              <w:rPr>
                <w:rFonts w:ascii="Arial" w:hAnsi="Arial" w:eastAsia="Arial"/>
                <w:color w:val="auto"/>
                <w:sz w:val="15"/>
              </w:rPr>
              <w:t>5.4 (4.8–6.1)</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62F4C799">
            <w:pPr>
              <w:spacing w:before="0" w:after="0" w:line="240" w:lineRule="auto"/>
              <w:jc w:val="left"/>
              <w:rPr>
                <w:color w:val="auto"/>
              </w:rPr>
            </w:pPr>
            <w:r>
              <w:rPr>
                <w:rFonts w:ascii="Arial" w:hAnsi="Arial" w:eastAsia="Arial"/>
                <w:color w:val="auto"/>
                <w:sz w:val="15"/>
              </w:rPr>
              <w:t>6.4 (6.0–7.0)</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0C0220DE">
            <w:pPr>
              <w:spacing w:before="0" w:after="0" w:line="240" w:lineRule="auto"/>
              <w:jc w:val="left"/>
              <w:rPr>
                <w:color w:val="auto"/>
              </w:rPr>
            </w:pPr>
            <w:r>
              <w:rPr>
                <w:rFonts w:ascii="Arial" w:hAnsi="Arial" w:eastAsia="Arial"/>
                <w:color w:val="auto"/>
                <w:sz w:val="15"/>
              </w:rPr>
              <w:t>-1.02 (-1.88 to -0.15)</w:t>
            </w:r>
          </w:p>
        </w:tc>
      </w:tr>
      <w:tr w14:paraId="006D737C">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Borders>
              <w:top w:val="nil"/>
              <w:left w:val="nil"/>
              <w:bottom w:val="nil"/>
              <w:right w:val="nil"/>
              <w:insideH w:val="nil"/>
              <w:insideV w:val="nil"/>
            </w:tcBorders>
            <w:tcMar>
              <w:top w:w="80" w:type="dxa"/>
              <w:left w:w="80" w:type="dxa"/>
              <w:bottom w:w="80" w:type="dxa"/>
              <w:right w:w="80" w:type="dxa"/>
            </w:tcMar>
            <w:vAlign w:val="center"/>
          </w:tcPr>
          <w:p w14:paraId="5310E5AE">
            <w:pPr>
              <w:spacing w:before="0" w:after="0" w:line="240" w:lineRule="auto"/>
              <w:jc w:val="left"/>
              <w:rPr>
                <w:color w:val="auto"/>
              </w:rPr>
            </w:pPr>
            <w:r>
              <w:rPr>
                <w:rFonts w:ascii="Arial" w:hAnsi="Arial" w:eastAsia="Arial"/>
                <w:color w:val="auto"/>
                <w:sz w:val="15"/>
              </w:rPr>
              <w:t>ADL disability</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37DBDB57">
            <w:pPr>
              <w:spacing w:before="0" w:after="0" w:line="240" w:lineRule="auto"/>
              <w:jc w:val="left"/>
              <w:rPr>
                <w:color w:val="auto"/>
              </w:rPr>
            </w:pPr>
            <w:r>
              <w:rPr>
                <w:rFonts w:ascii="Arial" w:hAnsi="Arial" w:eastAsia="Arial"/>
                <w:color w:val="auto"/>
                <w:sz w:val="15"/>
              </w:rPr>
              <w:t>Death</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9B187C2">
            <w:pPr>
              <w:spacing w:before="0" w:after="0" w:line="240" w:lineRule="auto"/>
              <w:jc w:val="left"/>
              <w:rPr>
                <w:color w:val="auto"/>
              </w:rPr>
            </w:pPr>
            <w:r>
              <w:rPr>
                <w:rFonts w:ascii="Arial" w:hAnsi="Arial" w:eastAsia="Arial"/>
                <w:color w:val="auto"/>
                <w:sz w:val="15"/>
              </w:rPr>
              <w:t>18082</w:t>
            </w:r>
          </w:p>
        </w:tc>
        <w:tc>
          <w:tcPr>
            <w:tcW w:w="1512" w:type="dxa"/>
            <w:tcBorders>
              <w:top w:val="nil"/>
              <w:left w:val="nil"/>
              <w:bottom w:val="nil"/>
              <w:right w:val="nil"/>
              <w:insideH w:val="nil"/>
              <w:insideV w:val="nil"/>
            </w:tcBorders>
            <w:tcMar>
              <w:top w:w="80" w:type="dxa"/>
              <w:left w:w="80" w:type="dxa"/>
              <w:bottom w:w="80" w:type="dxa"/>
              <w:right w:w="80" w:type="dxa"/>
            </w:tcMar>
            <w:vAlign w:val="center"/>
          </w:tcPr>
          <w:p w14:paraId="09104F90">
            <w:pPr>
              <w:spacing w:before="0" w:after="0" w:line="240" w:lineRule="auto"/>
              <w:jc w:val="left"/>
              <w:rPr>
                <w:color w:val="auto"/>
              </w:rPr>
            </w:pPr>
            <w:r>
              <w:rPr>
                <w:rFonts w:ascii="Arial" w:hAnsi="Arial" w:eastAsia="Arial"/>
                <w:color w:val="auto"/>
                <w:sz w:val="15"/>
              </w:rPr>
              <w:t>8151</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3A045BD3">
            <w:pPr>
              <w:spacing w:before="0" w:after="0" w:line="240" w:lineRule="auto"/>
              <w:jc w:val="left"/>
              <w:rPr>
                <w:color w:val="auto"/>
              </w:rPr>
            </w:pPr>
            <w:r>
              <w:rPr>
                <w:rFonts w:ascii="Arial" w:hAnsi="Arial" w:eastAsia="Arial"/>
                <w:color w:val="auto"/>
                <w:sz w:val="15"/>
              </w:rPr>
              <w:t>19.8 (18.8–20.9)</w:t>
            </w:r>
          </w:p>
        </w:tc>
        <w:tc>
          <w:tcPr>
            <w:tcW w:w="2232" w:type="dxa"/>
            <w:tcBorders>
              <w:top w:val="nil"/>
              <w:left w:val="nil"/>
              <w:bottom w:val="nil"/>
              <w:right w:val="nil"/>
              <w:insideH w:val="nil"/>
              <w:insideV w:val="nil"/>
            </w:tcBorders>
            <w:tcMar>
              <w:top w:w="80" w:type="dxa"/>
              <w:left w:w="80" w:type="dxa"/>
              <w:bottom w:w="80" w:type="dxa"/>
              <w:right w:w="80" w:type="dxa"/>
            </w:tcMar>
            <w:vAlign w:val="center"/>
          </w:tcPr>
          <w:p w14:paraId="4258F806">
            <w:pPr>
              <w:spacing w:before="0" w:after="0" w:line="240" w:lineRule="auto"/>
              <w:jc w:val="left"/>
              <w:rPr>
                <w:color w:val="auto"/>
              </w:rPr>
            </w:pPr>
            <w:r>
              <w:rPr>
                <w:rFonts w:ascii="Arial" w:hAnsi="Arial" w:eastAsia="Arial"/>
                <w:color w:val="auto"/>
                <w:sz w:val="15"/>
              </w:rPr>
              <w:t>16.1 (15.5–16.8)</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7F426E38">
            <w:pPr>
              <w:spacing w:before="0" w:after="0" w:line="240" w:lineRule="auto"/>
              <w:jc w:val="left"/>
              <w:rPr>
                <w:color w:val="auto"/>
              </w:rPr>
            </w:pPr>
            <w:r>
              <w:rPr>
                <w:rFonts w:ascii="Arial" w:hAnsi="Arial" w:eastAsia="Arial"/>
                <w:color w:val="auto"/>
                <w:sz w:val="15"/>
              </w:rPr>
              <w:t>+3.70 (+2.41 to +5.02)</w:t>
            </w:r>
          </w:p>
        </w:tc>
      </w:tr>
      <w:tr w14:paraId="084DF432">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7419FF97">
            <w:pPr>
              <w:spacing w:before="0" w:after="0" w:line="240" w:lineRule="auto"/>
              <w:jc w:val="left"/>
              <w:rPr>
                <w:color w:val="auto"/>
              </w:rPr>
            </w:pPr>
            <w:r>
              <w:rPr>
                <w:rFonts w:ascii="Arial" w:hAnsi="Arial" w:eastAsia="Arial"/>
                <w:color w:val="auto"/>
                <w:sz w:val="15"/>
              </w:rPr>
              <w:t>ADL disability</w:t>
            </w:r>
          </w:p>
        </w:tc>
        <w:tc>
          <w:tcPr>
            <w:tcW w:w="180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6C8B0E1E">
            <w:pPr>
              <w:spacing w:before="0" w:after="0" w:line="240" w:lineRule="auto"/>
              <w:jc w:val="left"/>
              <w:rPr>
                <w:color w:val="auto"/>
              </w:rPr>
            </w:pPr>
            <w:r>
              <w:rPr>
                <w:rFonts w:ascii="Arial" w:hAnsi="Arial" w:eastAsia="Arial"/>
                <w:color w:val="auto"/>
                <w:sz w:val="15"/>
              </w:rPr>
              <w:t>Any functional improvement</w:t>
            </w:r>
          </w:p>
        </w:tc>
        <w:tc>
          <w:tcPr>
            <w:tcW w:w="180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6F6C9718">
            <w:pPr>
              <w:spacing w:before="0" w:after="0" w:line="240" w:lineRule="auto"/>
              <w:jc w:val="left"/>
              <w:rPr>
                <w:color w:val="auto"/>
              </w:rPr>
            </w:pPr>
            <w:r>
              <w:rPr>
                <w:rFonts w:ascii="Arial" w:hAnsi="Arial" w:eastAsia="Arial"/>
                <w:color w:val="auto"/>
                <w:sz w:val="15"/>
              </w:rPr>
              <w:t>18082</w:t>
            </w:r>
          </w:p>
        </w:tc>
        <w:tc>
          <w:tcPr>
            <w:tcW w:w="1512"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7A13125A">
            <w:pPr>
              <w:spacing w:before="0" w:after="0" w:line="240" w:lineRule="auto"/>
              <w:jc w:val="left"/>
              <w:rPr>
                <w:color w:val="auto"/>
              </w:rPr>
            </w:pPr>
            <w:r>
              <w:rPr>
                <w:rFonts w:ascii="Arial" w:hAnsi="Arial" w:eastAsia="Arial"/>
                <w:color w:val="auto"/>
                <w:sz w:val="15"/>
              </w:rPr>
              <w:t>8151</w:t>
            </w:r>
          </w:p>
        </w:tc>
        <w:tc>
          <w:tcPr>
            <w:tcW w:w="2232"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779FA6E1">
            <w:pPr>
              <w:spacing w:before="0" w:after="0" w:line="240" w:lineRule="auto"/>
              <w:jc w:val="left"/>
              <w:rPr>
                <w:color w:val="auto"/>
              </w:rPr>
            </w:pPr>
            <w:r>
              <w:rPr>
                <w:rFonts w:ascii="Arial" w:hAnsi="Arial" w:eastAsia="Arial"/>
                <w:color w:val="auto"/>
                <w:sz w:val="15"/>
              </w:rPr>
              <w:t>23.0 (21.8–24.5)</w:t>
            </w:r>
          </w:p>
        </w:tc>
        <w:tc>
          <w:tcPr>
            <w:tcW w:w="2232"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4447E4E5">
            <w:pPr>
              <w:spacing w:before="0" w:after="0" w:line="240" w:lineRule="auto"/>
              <w:jc w:val="left"/>
              <w:rPr>
                <w:color w:val="auto"/>
              </w:rPr>
            </w:pPr>
            <w:r>
              <w:rPr>
                <w:rFonts w:ascii="Arial" w:hAnsi="Arial" w:eastAsia="Arial"/>
                <w:color w:val="auto"/>
                <w:sz w:val="15"/>
              </w:rPr>
              <w:t>27.7 (26.8–28.8)</w:t>
            </w:r>
          </w:p>
        </w:tc>
        <w:tc>
          <w:tcPr>
            <w:tcW w:w="288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6570106D">
            <w:pPr>
              <w:spacing w:before="0" w:after="0" w:line="240" w:lineRule="auto"/>
              <w:jc w:val="left"/>
              <w:rPr>
                <w:color w:val="auto"/>
              </w:rPr>
            </w:pPr>
            <w:r>
              <w:rPr>
                <w:rFonts w:ascii="Arial" w:hAnsi="Arial" w:eastAsia="Arial"/>
                <w:color w:val="auto"/>
                <w:sz w:val="15"/>
              </w:rPr>
              <w:t>-4.71 (-6.43 to -2.99)</w:t>
            </w:r>
          </w:p>
        </w:tc>
      </w:tr>
    </w:tbl>
    <w:p w14:paraId="5F301AA4">
      <w:pPr>
        <w:rPr>
          <w:color w:val="auto"/>
        </w:rPr>
      </w:pPr>
      <w:r>
        <w:rPr>
          <w:rFonts w:ascii="Times New Roman" w:hAnsi="Times New Roman" w:eastAsia="Times New Roman"/>
          <w:i w:val="0"/>
          <w:color w:val="auto"/>
          <w:sz w:val="18"/>
        </w:rPr>
        <w:t>Note. Recent-onset disability indicates independence at wave t−1 and disability at wave t; persistent disability indicates disability at both waves t−1 and t. Any functional improvement from baseline ADL disability combines transition to complete independence and transition to IADL limitation. Risk differences are comorbidity minus arthritis only. Probabilities for both exposure categories were standardized over the same complete-case model sample; sample counts therefore describe the model standardization population rather than observed exposure-specific counts. All estimates use 20,000 joint parameter draws from participant-clustered robust covariance.</w:t>
      </w:r>
    </w:p>
    <w:p w14:paraId="1980C08E">
      <w:pPr>
        <w:pStyle w:val="3"/>
        <w:rPr>
          <w:color w:val="auto"/>
        </w:rPr>
      </w:pPr>
      <w:r>
        <w:rPr>
          <w:rFonts w:ascii="Times New Roman" w:hAnsi="Times New Roman" w:eastAsia="Times New Roman"/>
          <w:i w:val="0"/>
          <w:color w:val="auto"/>
        </w:rPr>
        <w:t>Supplementary Table S4. Summary of prespecified sensitivity analyses</w:t>
      </w:r>
    </w:p>
    <w:p w14:paraId="1E1C90E3">
      <w:pPr>
        <w:rPr>
          <w:color w:val="auto"/>
        </w:rPr>
      </w:pPr>
      <w:r>
        <w:rPr>
          <w:rFonts w:ascii="Times New Roman" w:hAnsi="Times New Roman" w:eastAsia="Times New Roman"/>
          <w:i/>
          <w:color w:val="auto"/>
        </w:rPr>
        <w:t>Primary contrast: arthritis–diabetes comorbidity versus arthritis only.</w:t>
      </w:r>
    </w:p>
    <w:tbl>
      <w:tblPr>
        <w:tblStyle w:val="32"/>
        <w:tblW w:w="0" w:type="auto"/>
        <w:jc w:val="center"/>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Layout w:type="autofit"/>
        <w:tblCellMar>
          <w:top w:w="0" w:type="dxa"/>
          <w:left w:w="108" w:type="dxa"/>
          <w:bottom w:w="0" w:type="dxa"/>
          <w:right w:w="108" w:type="dxa"/>
        </w:tblCellMar>
      </w:tblPr>
      <w:tblGrid>
        <w:gridCol w:w="4031"/>
        <w:gridCol w:w="2880"/>
        <w:gridCol w:w="1800"/>
        <w:gridCol w:w="2880"/>
        <w:gridCol w:w="1800"/>
      </w:tblGrid>
      <w:tr w14:paraId="30FE104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blHeader/>
          <w:jc w:val="center"/>
        </w:trPr>
        <w:tc>
          <w:tcPr>
            <w:tcW w:w="4031"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23CE2E7B">
            <w:pPr>
              <w:spacing w:before="0" w:after="0" w:line="240" w:lineRule="auto"/>
              <w:jc w:val="left"/>
              <w:rPr>
                <w:color w:val="auto"/>
              </w:rPr>
            </w:pPr>
            <w:r>
              <w:rPr>
                <w:rFonts w:ascii="Arial" w:hAnsi="Arial" w:eastAsia="Arial"/>
                <w:b/>
                <w:color w:val="auto"/>
                <w:sz w:val="15"/>
              </w:rPr>
              <w:t>Analysis</w:t>
            </w:r>
          </w:p>
        </w:tc>
        <w:tc>
          <w:tcPr>
            <w:tcW w:w="288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6858B82D">
            <w:pPr>
              <w:spacing w:before="0" w:after="0" w:line="240" w:lineRule="auto"/>
              <w:jc w:val="left"/>
              <w:rPr>
                <w:color w:val="auto"/>
              </w:rPr>
            </w:pPr>
            <w:r>
              <w:rPr>
                <w:rFonts w:ascii="Arial" w:hAnsi="Arial" w:eastAsia="Arial"/>
                <w:b/>
                <w:color w:val="auto"/>
                <w:sz w:val="15"/>
              </w:rPr>
              <w:t>Disability-onset RD, percentage points (95% CI)</w:t>
            </w:r>
          </w:p>
        </w:tc>
        <w:tc>
          <w:tcPr>
            <w:tcW w:w="180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54CC02AF">
            <w:pPr>
              <w:spacing w:before="0" w:after="0" w:line="240" w:lineRule="auto"/>
              <w:jc w:val="left"/>
              <w:rPr>
                <w:color w:val="auto"/>
              </w:rPr>
            </w:pPr>
            <w:r>
              <w:rPr>
                <w:rFonts w:ascii="Arial" w:hAnsi="Arial" w:eastAsia="Arial"/>
                <w:b/>
                <w:color w:val="auto"/>
                <w:sz w:val="15"/>
              </w:rPr>
              <w:t>Onset person-waves</w:t>
            </w:r>
          </w:p>
        </w:tc>
        <w:tc>
          <w:tcPr>
            <w:tcW w:w="288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7A76FF0D">
            <w:pPr>
              <w:spacing w:before="0" w:after="0" w:line="240" w:lineRule="auto"/>
              <w:jc w:val="left"/>
              <w:rPr>
                <w:color w:val="auto"/>
              </w:rPr>
            </w:pPr>
            <w:r>
              <w:rPr>
                <w:rFonts w:ascii="Arial" w:hAnsi="Arial" w:eastAsia="Arial"/>
                <w:b/>
                <w:color w:val="auto"/>
                <w:sz w:val="15"/>
              </w:rPr>
              <w:t>Recovery RD, percentage points (95% CI)</w:t>
            </w:r>
          </w:p>
        </w:tc>
        <w:tc>
          <w:tcPr>
            <w:tcW w:w="1800" w:type="dxa"/>
            <w:tcBorders>
              <w:top w:val="single" w:color="000000" w:sz="10" w:space="0"/>
              <w:left w:val="nil"/>
              <w:bottom w:val="single" w:color="000000" w:sz="6" w:space="0"/>
              <w:right w:val="nil"/>
              <w:insideH w:val="nil"/>
              <w:insideV w:val="nil"/>
            </w:tcBorders>
            <w:tcMar>
              <w:top w:w="80" w:type="dxa"/>
              <w:left w:w="80" w:type="dxa"/>
              <w:bottom w:w="80" w:type="dxa"/>
              <w:right w:w="80" w:type="dxa"/>
            </w:tcMar>
            <w:vAlign w:val="center"/>
          </w:tcPr>
          <w:p w14:paraId="343FC1D2">
            <w:pPr>
              <w:spacing w:before="0" w:after="0" w:line="240" w:lineRule="auto"/>
              <w:jc w:val="left"/>
              <w:rPr>
                <w:color w:val="auto"/>
              </w:rPr>
            </w:pPr>
            <w:r>
              <w:rPr>
                <w:rFonts w:ascii="Arial" w:hAnsi="Arial" w:eastAsia="Arial"/>
                <w:b/>
                <w:color w:val="auto"/>
                <w:sz w:val="15"/>
              </w:rPr>
              <w:t>Recovery person-waves</w:t>
            </w:r>
          </w:p>
        </w:tc>
      </w:tr>
      <w:tr w14:paraId="2104AAAB">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4031" w:type="dxa"/>
            <w:tcBorders>
              <w:top w:val="nil"/>
              <w:left w:val="nil"/>
              <w:bottom w:val="nil"/>
              <w:right w:val="nil"/>
              <w:insideH w:val="nil"/>
              <w:insideV w:val="nil"/>
            </w:tcBorders>
            <w:tcMar>
              <w:top w:w="80" w:type="dxa"/>
              <w:left w:w="80" w:type="dxa"/>
              <w:bottom w:w="80" w:type="dxa"/>
              <w:right w:w="80" w:type="dxa"/>
            </w:tcMar>
            <w:vAlign w:val="center"/>
          </w:tcPr>
          <w:p w14:paraId="47BF1961">
            <w:pPr>
              <w:spacing w:before="0" w:after="0" w:line="240" w:lineRule="auto"/>
              <w:jc w:val="left"/>
              <w:rPr>
                <w:color w:val="auto"/>
              </w:rPr>
            </w:pPr>
            <w:r>
              <w:rPr>
                <w:rFonts w:ascii="Arial" w:hAnsi="Arial" w:eastAsia="Arial"/>
                <w:color w:val="auto"/>
                <w:sz w:val="15"/>
              </w:rPr>
              <w:t>Primary complete-case analysis</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72AD754F">
            <w:pPr>
              <w:spacing w:before="0" w:after="0" w:line="240" w:lineRule="auto"/>
              <w:jc w:val="left"/>
              <w:rPr>
                <w:color w:val="auto"/>
              </w:rPr>
            </w:pPr>
            <w:r>
              <w:rPr>
                <w:rFonts w:ascii="Arial" w:hAnsi="Arial" w:eastAsia="Arial"/>
                <w:color w:val="auto"/>
                <w:sz w:val="15"/>
              </w:rPr>
              <w:t>+1.30 (+0.41 to +2.22)</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DAD877A">
            <w:pPr>
              <w:spacing w:before="0" w:after="0" w:line="240" w:lineRule="auto"/>
              <w:jc w:val="left"/>
              <w:rPr>
                <w:color w:val="auto"/>
              </w:rPr>
            </w:pPr>
            <w:r>
              <w:rPr>
                <w:rFonts w:ascii="Arial" w:hAnsi="Arial" w:eastAsia="Arial"/>
                <w:color w:val="auto"/>
                <w:sz w:val="15"/>
              </w:rPr>
              <w:t>69075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15F38B54">
            <w:pPr>
              <w:spacing w:before="0" w:after="0" w:line="240" w:lineRule="auto"/>
              <w:jc w:val="left"/>
              <w:rPr>
                <w:color w:val="auto"/>
              </w:rPr>
            </w:pPr>
            <w:r>
              <w:rPr>
                <w:rFonts w:ascii="Arial" w:hAnsi="Arial" w:eastAsia="Arial"/>
                <w:color w:val="auto"/>
                <w:sz w:val="15"/>
              </w:rPr>
              <w:t>-3.42 (-4.72 to -2.10)</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CA30260">
            <w:pPr>
              <w:spacing w:before="0" w:after="0" w:line="240" w:lineRule="auto"/>
              <w:jc w:val="left"/>
              <w:rPr>
                <w:color w:val="auto"/>
              </w:rPr>
            </w:pPr>
            <w:r>
              <w:rPr>
                <w:rFonts w:ascii="Arial" w:hAnsi="Arial" w:eastAsia="Arial"/>
                <w:color w:val="auto"/>
                <w:sz w:val="15"/>
              </w:rPr>
              <w:t>23725</w:t>
            </w:r>
          </w:p>
        </w:tc>
      </w:tr>
      <w:tr w14:paraId="71BD331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4031" w:type="dxa"/>
            <w:tcBorders>
              <w:top w:val="nil"/>
              <w:left w:val="nil"/>
              <w:bottom w:val="nil"/>
              <w:right w:val="nil"/>
              <w:insideH w:val="nil"/>
              <w:insideV w:val="nil"/>
            </w:tcBorders>
            <w:tcMar>
              <w:top w:w="80" w:type="dxa"/>
              <w:left w:w="80" w:type="dxa"/>
              <w:bottom w:w="80" w:type="dxa"/>
              <w:right w:w="80" w:type="dxa"/>
            </w:tcMar>
            <w:vAlign w:val="center"/>
          </w:tcPr>
          <w:p w14:paraId="5FC93A5A">
            <w:pPr>
              <w:spacing w:before="0" w:after="0" w:line="240" w:lineRule="auto"/>
              <w:jc w:val="left"/>
              <w:rPr>
                <w:color w:val="auto"/>
              </w:rPr>
            </w:pPr>
            <w:r>
              <w:rPr>
                <w:rFonts w:ascii="Arial" w:hAnsi="Arial" w:eastAsia="Arial"/>
                <w:color w:val="auto"/>
                <w:sz w:val="15"/>
              </w:rPr>
              <w:t>No adjustment for other chronic-condition count</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5018684C">
            <w:pPr>
              <w:spacing w:before="0" w:after="0" w:line="240" w:lineRule="auto"/>
              <w:jc w:val="left"/>
              <w:rPr>
                <w:color w:val="auto"/>
              </w:rPr>
            </w:pPr>
            <w:r>
              <w:rPr>
                <w:rFonts w:ascii="Arial" w:hAnsi="Arial" w:eastAsia="Arial"/>
                <w:color w:val="auto"/>
                <w:sz w:val="15"/>
              </w:rPr>
              <w:t>+1.69 (+0.83 to +2.65)</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FAE35CC">
            <w:pPr>
              <w:spacing w:before="0" w:after="0" w:line="240" w:lineRule="auto"/>
              <w:jc w:val="left"/>
              <w:rPr>
                <w:color w:val="auto"/>
              </w:rPr>
            </w:pPr>
            <w:r>
              <w:rPr>
                <w:rFonts w:ascii="Arial" w:hAnsi="Arial" w:eastAsia="Arial"/>
                <w:color w:val="auto"/>
                <w:sz w:val="15"/>
              </w:rPr>
              <w:t>69075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71C438C0">
            <w:pPr>
              <w:spacing w:before="0" w:after="0" w:line="240" w:lineRule="auto"/>
              <w:jc w:val="left"/>
              <w:rPr>
                <w:color w:val="auto"/>
              </w:rPr>
            </w:pPr>
            <w:r>
              <w:rPr>
                <w:rFonts w:ascii="Arial" w:hAnsi="Arial" w:eastAsia="Arial"/>
                <w:color w:val="auto"/>
                <w:sz w:val="15"/>
              </w:rPr>
              <w:t>-4.26 (-5.67 to -2.96)</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0088177">
            <w:pPr>
              <w:spacing w:before="0" w:after="0" w:line="240" w:lineRule="auto"/>
              <w:jc w:val="left"/>
              <w:rPr>
                <w:color w:val="auto"/>
              </w:rPr>
            </w:pPr>
            <w:r>
              <w:rPr>
                <w:rFonts w:ascii="Arial" w:hAnsi="Arial" w:eastAsia="Arial"/>
                <w:color w:val="auto"/>
                <w:sz w:val="15"/>
              </w:rPr>
              <w:t>23725</w:t>
            </w:r>
          </w:p>
        </w:tc>
      </w:tr>
      <w:tr w14:paraId="6BC06F6F">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4031" w:type="dxa"/>
            <w:tcBorders>
              <w:top w:val="nil"/>
              <w:left w:val="nil"/>
              <w:bottom w:val="nil"/>
              <w:right w:val="nil"/>
              <w:insideH w:val="nil"/>
              <w:insideV w:val="nil"/>
            </w:tcBorders>
            <w:tcMar>
              <w:top w:w="80" w:type="dxa"/>
              <w:left w:w="80" w:type="dxa"/>
              <w:bottom w:w="80" w:type="dxa"/>
              <w:right w:w="80" w:type="dxa"/>
            </w:tcMar>
            <w:vAlign w:val="center"/>
          </w:tcPr>
          <w:p w14:paraId="233C66C3">
            <w:pPr>
              <w:spacing w:before="0" w:after="0" w:line="240" w:lineRule="auto"/>
              <w:jc w:val="left"/>
              <w:rPr>
                <w:color w:val="auto"/>
              </w:rPr>
            </w:pPr>
            <w:r>
              <w:rPr>
                <w:rFonts w:ascii="Arial" w:hAnsi="Arial" w:eastAsia="Arial"/>
                <w:color w:val="auto"/>
                <w:sz w:val="15"/>
              </w:rPr>
              <w:t>Exclude cognition score ≤6</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11376277">
            <w:pPr>
              <w:spacing w:before="0" w:after="0" w:line="240" w:lineRule="auto"/>
              <w:jc w:val="left"/>
              <w:rPr>
                <w:color w:val="auto"/>
              </w:rPr>
            </w:pPr>
            <w:r>
              <w:rPr>
                <w:rFonts w:ascii="Arial" w:hAnsi="Arial" w:eastAsia="Arial"/>
                <w:color w:val="auto"/>
                <w:sz w:val="15"/>
              </w:rPr>
              <w:t>+1.29 (+0.35 to +2.17)</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C800817">
            <w:pPr>
              <w:spacing w:before="0" w:after="0" w:line="240" w:lineRule="auto"/>
              <w:jc w:val="left"/>
              <w:rPr>
                <w:color w:val="auto"/>
              </w:rPr>
            </w:pPr>
            <w:r>
              <w:rPr>
                <w:rFonts w:ascii="Arial" w:hAnsi="Arial" w:eastAsia="Arial"/>
                <w:color w:val="auto"/>
                <w:sz w:val="15"/>
              </w:rPr>
              <w:t>68904</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6E780A91">
            <w:pPr>
              <w:spacing w:before="0" w:after="0" w:line="240" w:lineRule="auto"/>
              <w:jc w:val="left"/>
              <w:rPr>
                <w:color w:val="auto"/>
              </w:rPr>
            </w:pPr>
            <w:r>
              <w:rPr>
                <w:rFonts w:ascii="Arial" w:hAnsi="Arial" w:eastAsia="Arial"/>
                <w:color w:val="auto"/>
                <w:sz w:val="15"/>
              </w:rPr>
              <w:t>-3.48 (-4.85 to -2.03)</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8A355CF">
            <w:pPr>
              <w:spacing w:before="0" w:after="0" w:line="240" w:lineRule="auto"/>
              <w:jc w:val="left"/>
              <w:rPr>
                <w:color w:val="auto"/>
              </w:rPr>
            </w:pPr>
            <w:r>
              <w:rPr>
                <w:rFonts w:ascii="Arial" w:hAnsi="Arial" w:eastAsia="Arial"/>
                <w:color w:val="auto"/>
                <w:sz w:val="15"/>
              </w:rPr>
              <w:t>23034</w:t>
            </w:r>
          </w:p>
        </w:tc>
      </w:tr>
      <w:tr w14:paraId="3794A2C4">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4031" w:type="dxa"/>
            <w:tcBorders>
              <w:top w:val="nil"/>
              <w:left w:val="nil"/>
              <w:bottom w:val="nil"/>
              <w:right w:val="nil"/>
              <w:insideH w:val="nil"/>
              <w:insideV w:val="nil"/>
            </w:tcBorders>
            <w:tcMar>
              <w:top w:w="80" w:type="dxa"/>
              <w:left w:w="80" w:type="dxa"/>
              <w:bottom w:w="80" w:type="dxa"/>
              <w:right w:w="80" w:type="dxa"/>
            </w:tcMar>
            <w:vAlign w:val="center"/>
          </w:tcPr>
          <w:p w14:paraId="06395D30">
            <w:pPr>
              <w:spacing w:before="0" w:after="0" w:line="240" w:lineRule="auto"/>
              <w:jc w:val="left"/>
              <w:rPr>
                <w:color w:val="auto"/>
              </w:rPr>
            </w:pPr>
            <w:r>
              <w:rPr>
                <w:rFonts w:ascii="Arial" w:hAnsi="Arial" w:eastAsia="Arial"/>
                <w:color w:val="auto"/>
                <w:sz w:val="15"/>
              </w:rPr>
              <w:t>Raw code 7 ('does not do') treated as missing</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3C0B59BC">
            <w:pPr>
              <w:spacing w:before="0" w:after="0" w:line="240" w:lineRule="auto"/>
              <w:jc w:val="left"/>
              <w:rPr>
                <w:color w:val="auto"/>
              </w:rPr>
            </w:pPr>
            <w:r>
              <w:rPr>
                <w:rFonts w:ascii="Arial" w:hAnsi="Arial" w:eastAsia="Arial"/>
                <w:color w:val="auto"/>
                <w:sz w:val="15"/>
              </w:rPr>
              <w:t>+1.18 (+0.40 to +2.10)</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1A8F340">
            <w:pPr>
              <w:spacing w:before="0" w:after="0" w:line="240" w:lineRule="auto"/>
              <w:jc w:val="left"/>
              <w:rPr>
                <w:color w:val="auto"/>
              </w:rPr>
            </w:pPr>
            <w:r>
              <w:rPr>
                <w:rFonts w:ascii="Arial" w:hAnsi="Arial" w:eastAsia="Arial"/>
                <w:color w:val="auto"/>
                <w:sz w:val="15"/>
              </w:rPr>
              <w:t>60052</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7BD098B3">
            <w:pPr>
              <w:spacing w:before="0" w:after="0" w:line="240" w:lineRule="auto"/>
              <w:jc w:val="left"/>
              <w:rPr>
                <w:color w:val="auto"/>
              </w:rPr>
            </w:pPr>
            <w:r>
              <w:rPr>
                <w:rFonts w:ascii="Arial" w:hAnsi="Arial" w:eastAsia="Arial"/>
                <w:color w:val="auto"/>
                <w:sz w:val="15"/>
              </w:rPr>
              <w:t>-4.69 (-6.57 to -3.02)</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559B6EE">
            <w:pPr>
              <w:spacing w:before="0" w:after="0" w:line="240" w:lineRule="auto"/>
              <w:jc w:val="left"/>
              <w:rPr>
                <w:color w:val="auto"/>
              </w:rPr>
            </w:pPr>
            <w:r>
              <w:rPr>
                <w:rFonts w:ascii="Arial" w:hAnsi="Arial" w:eastAsia="Arial"/>
                <w:color w:val="auto"/>
                <w:sz w:val="15"/>
              </w:rPr>
              <w:t>14522</w:t>
            </w:r>
          </w:p>
        </w:tc>
      </w:tr>
      <w:tr w14:paraId="50969307">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4031" w:type="dxa"/>
            <w:tcBorders>
              <w:top w:val="nil"/>
              <w:left w:val="nil"/>
              <w:bottom w:val="nil"/>
              <w:right w:val="nil"/>
              <w:insideH w:val="nil"/>
              <w:insideV w:val="nil"/>
            </w:tcBorders>
            <w:tcMar>
              <w:top w:w="80" w:type="dxa"/>
              <w:left w:w="80" w:type="dxa"/>
              <w:bottom w:w="80" w:type="dxa"/>
              <w:right w:w="80" w:type="dxa"/>
            </w:tcMar>
            <w:vAlign w:val="center"/>
          </w:tcPr>
          <w:p w14:paraId="72D01DC8">
            <w:pPr>
              <w:spacing w:before="0" w:after="0" w:line="240" w:lineRule="auto"/>
              <w:jc w:val="left"/>
              <w:rPr>
                <w:color w:val="auto"/>
              </w:rPr>
            </w:pPr>
            <w:r>
              <w:rPr>
                <w:rFonts w:ascii="Arial" w:hAnsi="Arial" w:eastAsia="Arial"/>
                <w:color w:val="auto"/>
                <w:sz w:val="15"/>
              </w:rPr>
              <w:t>Raw code 7 treated as no difficulty</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228CDF83">
            <w:pPr>
              <w:spacing w:before="0" w:after="0" w:line="240" w:lineRule="auto"/>
              <w:jc w:val="left"/>
              <w:rPr>
                <w:color w:val="auto"/>
              </w:rPr>
            </w:pPr>
            <w:r>
              <w:rPr>
                <w:rFonts w:ascii="Arial" w:hAnsi="Arial" w:eastAsia="Arial"/>
                <w:color w:val="auto"/>
                <w:sz w:val="15"/>
              </w:rPr>
              <w:t>+1.38 (+0.52 to +2.16)</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3A2065F3">
            <w:pPr>
              <w:spacing w:before="0" w:after="0" w:line="240" w:lineRule="auto"/>
              <w:jc w:val="left"/>
              <w:rPr>
                <w:color w:val="auto"/>
              </w:rPr>
            </w:pPr>
            <w:r>
              <w:rPr>
                <w:rFonts w:ascii="Arial" w:hAnsi="Arial" w:eastAsia="Arial"/>
                <w:color w:val="auto"/>
                <w:sz w:val="15"/>
              </w:rPr>
              <w:t>69559</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7447657F">
            <w:pPr>
              <w:spacing w:before="0" w:after="0" w:line="240" w:lineRule="auto"/>
              <w:jc w:val="left"/>
              <w:rPr>
                <w:color w:val="auto"/>
              </w:rPr>
            </w:pPr>
            <w:r>
              <w:rPr>
                <w:rFonts w:ascii="Arial" w:hAnsi="Arial" w:eastAsia="Arial"/>
                <w:color w:val="auto"/>
                <w:sz w:val="15"/>
              </w:rPr>
              <w:t>-3.39 (-4.74 to -2.18)</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61CF12CE">
            <w:pPr>
              <w:spacing w:before="0" w:after="0" w:line="240" w:lineRule="auto"/>
              <w:jc w:val="left"/>
              <w:rPr>
                <w:color w:val="auto"/>
              </w:rPr>
            </w:pPr>
            <w:r>
              <w:rPr>
                <w:rFonts w:ascii="Arial" w:hAnsi="Arial" w:eastAsia="Arial"/>
                <w:color w:val="auto"/>
                <w:sz w:val="15"/>
              </w:rPr>
              <w:t>22838</w:t>
            </w:r>
          </w:p>
        </w:tc>
      </w:tr>
      <w:tr w14:paraId="474A4B02">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4031" w:type="dxa"/>
            <w:tcBorders>
              <w:top w:val="nil"/>
              <w:left w:val="nil"/>
              <w:bottom w:val="nil"/>
              <w:right w:val="nil"/>
              <w:insideH w:val="nil"/>
              <w:insideV w:val="nil"/>
            </w:tcBorders>
            <w:tcMar>
              <w:top w:w="80" w:type="dxa"/>
              <w:left w:w="80" w:type="dxa"/>
              <w:bottom w:w="80" w:type="dxa"/>
              <w:right w:w="80" w:type="dxa"/>
            </w:tcMar>
            <w:vAlign w:val="center"/>
          </w:tcPr>
          <w:p w14:paraId="444A42A8">
            <w:pPr>
              <w:spacing w:before="0" w:after="0" w:line="240" w:lineRule="auto"/>
              <w:jc w:val="left"/>
              <w:rPr>
                <w:color w:val="auto"/>
              </w:rPr>
            </w:pPr>
            <w:r>
              <w:rPr>
                <w:rFonts w:ascii="Arial" w:hAnsi="Arial" w:eastAsia="Arial"/>
                <w:color w:val="auto"/>
                <w:sz w:val="15"/>
              </w:rPr>
              <w:t>Inverse-probability weighting for non-death loss</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085E029C">
            <w:pPr>
              <w:spacing w:before="0" w:after="0" w:line="240" w:lineRule="auto"/>
              <w:jc w:val="left"/>
              <w:rPr>
                <w:color w:val="auto"/>
              </w:rPr>
            </w:pPr>
            <w:r>
              <w:rPr>
                <w:rFonts w:ascii="Arial" w:hAnsi="Arial" w:eastAsia="Arial"/>
                <w:color w:val="auto"/>
                <w:sz w:val="15"/>
              </w:rPr>
              <w:t>+1.83 (+0.87 to +2.83)</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7B07953">
            <w:pPr>
              <w:spacing w:before="0" w:after="0" w:line="240" w:lineRule="auto"/>
              <w:jc w:val="left"/>
              <w:rPr>
                <w:color w:val="auto"/>
              </w:rPr>
            </w:pPr>
            <w:r>
              <w:rPr>
                <w:rFonts w:ascii="Arial" w:hAnsi="Arial" w:eastAsia="Arial"/>
                <w:color w:val="auto"/>
                <w:sz w:val="15"/>
              </w:rPr>
              <w:t>65609</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026E6662">
            <w:pPr>
              <w:spacing w:before="0" w:after="0" w:line="240" w:lineRule="auto"/>
              <w:jc w:val="left"/>
              <w:rPr>
                <w:color w:val="auto"/>
              </w:rPr>
            </w:pPr>
            <w:r>
              <w:rPr>
                <w:rFonts w:ascii="Arial" w:hAnsi="Arial" w:eastAsia="Arial"/>
                <w:color w:val="auto"/>
                <w:sz w:val="15"/>
              </w:rPr>
              <w:t>-3.91 (-5.64 to -2.21)</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CA54025">
            <w:pPr>
              <w:spacing w:before="0" w:after="0" w:line="240" w:lineRule="auto"/>
              <w:jc w:val="left"/>
              <w:rPr>
                <w:color w:val="auto"/>
              </w:rPr>
            </w:pPr>
            <w:r>
              <w:rPr>
                <w:rFonts w:ascii="Arial" w:hAnsi="Arial" w:eastAsia="Arial"/>
                <w:color w:val="auto"/>
                <w:sz w:val="15"/>
              </w:rPr>
              <w:t>19745</w:t>
            </w:r>
          </w:p>
        </w:tc>
      </w:tr>
      <w:tr w14:paraId="5E261635">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4031" w:type="dxa"/>
            <w:tcBorders>
              <w:top w:val="nil"/>
              <w:left w:val="nil"/>
              <w:bottom w:val="nil"/>
              <w:right w:val="nil"/>
              <w:insideH w:val="nil"/>
              <w:insideV w:val="nil"/>
            </w:tcBorders>
            <w:tcMar>
              <w:top w:w="80" w:type="dxa"/>
              <w:left w:w="80" w:type="dxa"/>
              <w:bottom w:w="80" w:type="dxa"/>
              <w:right w:w="80" w:type="dxa"/>
            </w:tcMar>
            <w:vAlign w:val="center"/>
          </w:tcPr>
          <w:p w14:paraId="41303A7F">
            <w:pPr>
              <w:spacing w:before="0" w:after="0" w:line="240" w:lineRule="auto"/>
              <w:jc w:val="left"/>
              <w:rPr>
                <w:color w:val="auto"/>
              </w:rPr>
            </w:pPr>
            <w:r>
              <w:rPr>
                <w:rFonts w:ascii="Arial" w:hAnsi="Arial" w:eastAsia="Arial"/>
                <w:color w:val="auto"/>
                <w:sz w:val="15"/>
              </w:rPr>
              <w:t>Disease present only after confirmation in two adjacent waves</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2531631C">
            <w:pPr>
              <w:spacing w:before="0" w:after="0" w:line="240" w:lineRule="auto"/>
              <w:jc w:val="left"/>
              <w:rPr>
                <w:color w:val="auto"/>
              </w:rPr>
            </w:pPr>
            <w:r>
              <w:rPr>
                <w:rFonts w:ascii="Arial" w:hAnsi="Arial" w:eastAsia="Arial"/>
                <w:color w:val="auto"/>
                <w:sz w:val="15"/>
              </w:rPr>
              <w:t>+0.98 (+0.11 to +1.95)</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4F3F4C46">
            <w:pPr>
              <w:spacing w:before="0" w:after="0" w:line="240" w:lineRule="auto"/>
              <w:jc w:val="left"/>
              <w:rPr>
                <w:color w:val="auto"/>
              </w:rPr>
            </w:pPr>
            <w:r>
              <w:rPr>
                <w:rFonts w:ascii="Arial" w:hAnsi="Arial" w:eastAsia="Arial"/>
                <w:color w:val="auto"/>
                <w:sz w:val="15"/>
              </w:rPr>
              <w:t>64173</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57DAD618">
            <w:pPr>
              <w:spacing w:before="0" w:after="0" w:line="240" w:lineRule="auto"/>
              <w:jc w:val="left"/>
              <w:rPr>
                <w:color w:val="auto"/>
              </w:rPr>
            </w:pPr>
            <w:r>
              <w:rPr>
                <w:rFonts w:ascii="Arial" w:hAnsi="Arial" w:eastAsia="Arial"/>
                <w:color w:val="auto"/>
                <w:sz w:val="15"/>
              </w:rPr>
              <w:t>-3.47 (-5.06 to -2.10)</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01952C7">
            <w:pPr>
              <w:spacing w:before="0" w:after="0" w:line="240" w:lineRule="auto"/>
              <w:jc w:val="left"/>
              <w:rPr>
                <w:color w:val="auto"/>
              </w:rPr>
            </w:pPr>
            <w:r>
              <w:rPr>
                <w:rFonts w:ascii="Arial" w:hAnsi="Arial" w:eastAsia="Arial"/>
                <w:color w:val="auto"/>
                <w:sz w:val="15"/>
              </w:rPr>
              <w:t>21567</w:t>
            </w:r>
          </w:p>
        </w:tc>
      </w:tr>
      <w:tr w14:paraId="78AD6D57">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4031" w:type="dxa"/>
            <w:tcBorders>
              <w:top w:val="nil"/>
              <w:left w:val="nil"/>
              <w:bottom w:val="nil"/>
              <w:right w:val="nil"/>
              <w:insideH w:val="nil"/>
              <w:insideV w:val="nil"/>
            </w:tcBorders>
            <w:tcMar>
              <w:top w:w="80" w:type="dxa"/>
              <w:left w:w="80" w:type="dxa"/>
              <w:bottom w:w="80" w:type="dxa"/>
              <w:right w:w="80" w:type="dxa"/>
            </w:tcMar>
            <w:vAlign w:val="center"/>
          </w:tcPr>
          <w:p w14:paraId="3E6E1451">
            <w:pPr>
              <w:spacing w:before="0" w:after="0" w:line="240" w:lineRule="auto"/>
              <w:jc w:val="left"/>
              <w:rPr>
                <w:color w:val="auto"/>
              </w:rPr>
            </w:pPr>
            <w:r>
              <w:rPr>
                <w:rFonts w:ascii="Arial" w:hAnsi="Arial" w:eastAsia="Arial"/>
                <w:color w:val="auto"/>
                <w:sz w:val="15"/>
              </w:rPr>
              <w:t>Contemporaneous raw HRS Core disease responses</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71D7086C">
            <w:pPr>
              <w:spacing w:before="0" w:after="0" w:line="240" w:lineRule="auto"/>
              <w:jc w:val="left"/>
              <w:rPr>
                <w:color w:val="auto"/>
              </w:rPr>
            </w:pPr>
            <w:r>
              <w:rPr>
                <w:rFonts w:ascii="Arial" w:hAnsi="Arial" w:eastAsia="Arial"/>
                <w:color w:val="auto"/>
                <w:sz w:val="15"/>
              </w:rPr>
              <w:t>+1.47 (+0.57 to +2.35)</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23E8CF2E">
            <w:pPr>
              <w:spacing w:before="0" w:after="0" w:line="240" w:lineRule="auto"/>
              <w:jc w:val="left"/>
              <w:rPr>
                <w:color w:val="auto"/>
              </w:rPr>
            </w:pPr>
            <w:r>
              <w:rPr>
                <w:rFonts w:ascii="Arial" w:hAnsi="Arial" w:eastAsia="Arial"/>
                <w:color w:val="auto"/>
                <w:sz w:val="15"/>
              </w:rPr>
              <w:t>68895</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43B56FEA">
            <w:pPr>
              <w:spacing w:before="0" w:after="0" w:line="240" w:lineRule="auto"/>
              <w:jc w:val="left"/>
              <w:rPr>
                <w:color w:val="auto"/>
              </w:rPr>
            </w:pPr>
            <w:r>
              <w:rPr>
                <w:rFonts w:ascii="Arial" w:hAnsi="Arial" w:eastAsia="Arial"/>
                <w:color w:val="auto"/>
                <w:sz w:val="15"/>
              </w:rPr>
              <w:t>-3.10 (-4.33 to -1.86)</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0A80C28D">
            <w:pPr>
              <w:spacing w:before="0" w:after="0" w:line="240" w:lineRule="auto"/>
              <w:jc w:val="left"/>
              <w:rPr>
                <w:color w:val="auto"/>
              </w:rPr>
            </w:pPr>
            <w:r>
              <w:rPr>
                <w:rFonts w:ascii="Arial" w:hAnsi="Arial" w:eastAsia="Arial"/>
                <w:color w:val="auto"/>
                <w:sz w:val="15"/>
              </w:rPr>
              <w:t>23643</w:t>
            </w:r>
          </w:p>
        </w:tc>
      </w:tr>
      <w:tr w14:paraId="15F7C798">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4031" w:type="dxa"/>
            <w:tcBorders>
              <w:top w:val="nil"/>
              <w:left w:val="nil"/>
              <w:bottom w:val="nil"/>
              <w:right w:val="nil"/>
              <w:insideH w:val="nil"/>
              <w:insideV w:val="nil"/>
            </w:tcBorders>
            <w:tcMar>
              <w:top w:w="80" w:type="dxa"/>
              <w:left w:w="80" w:type="dxa"/>
              <w:bottom w:w="80" w:type="dxa"/>
              <w:right w:w="80" w:type="dxa"/>
            </w:tcMar>
            <w:vAlign w:val="center"/>
          </w:tcPr>
          <w:p w14:paraId="0505D41D">
            <w:pPr>
              <w:spacing w:before="0" w:after="0" w:line="240" w:lineRule="auto"/>
              <w:jc w:val="left"/>
              <w:rPr>
                <w:color w:val="auto"/>
              </w:rPr>
            </w:pPr>
            <w:r>
              <w:rPr>
                <w:rFonts w:ascii="Arial" w:hAnsi="Arial" w:eastAsia="Arial"/>
                <w:color w:val="auto"/>
                <w:sz w:val="15"/>
              </w:rPr>
              <w:t>Self interviews, cognition/CES-D omitted</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51C66753">
            <w:pPr>
              <w:spacing w:before="0" w:after="0" w:line="240" w:lineRule="auto"/>
              <w:jc w:val="left"/>
              <w:rPr>
                <w:color w:val="auto"/>
              </w:rPr>
            </w:pPr>
            <w:r>
              <w:rPr>
                <w:rFonts w:ascii="Arial" w:hAnsi="Arial" w:eastAsia="Arial"/>
                <w:color w:val="auto"/>
                <w:sz w:val="15"/>
              </w:rPr>
              <w:t>+2.06 (+1.12 to +3.00)</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710DD527">
            <w:pPr>
              <w:spacing w:before="0" w:after="0" w:line="240" w:lineRule="auto"/>
              <w:jc w:val="left"/>
              <w:rPr>
                <w:color w:val="auto"/>
              </w:rPr>
            </w:pPr>
            <w:r>
              <w:rPr>
                <w:rFonts w:ascii="Arial" w:hAnsi="Arial" w:eastAsia="Arial"/>
                <w:color w:val="auto"/>
                <w:sz w:val="15"/>
              </w:rPr>
              <w:t>70814</w:t>
            </w:r>
          </w:p>
        </w:tc>
        <w:tc>
          <w:tcPr>
            <w:tcW w:w="2880" w:type="dxa"/>
            <w:tcBorders>
              <w:top w:val="nil"/>
              <w:left w:val="nil"/>
              <w:bottom w:val="nil"/>
              <w:right w:val="nil"/>
              <w:insideH w:val="nil"/>
              <w:insideV w:val="nil"/>
            </w:tcBorders>
            <w:tcMar>
              <w:top w:w="80" w:type="dxa"/>
              <w:left w:w="80" w:type="dxa"/>
              <w:bottom w:w="80" w:type="dxa"/>
              <w:right w:w="80" w:type="dxa"/>
            </w:tcMar>
            <w:vAlign w:val="center"/>
          </w:tcPr>
          <w:p w14:paraId="70FBE5C0">
            <w:pPr>
              <w:spacing w:before="0" w:after="0" w:line="240" w:lineRule="auto"/>
              <w:jc w:val="left"/>
              <w:rPr>
                <w:color w:val="auto"/>
              </w:rPr>
            </w:pPr>
            <w:r>
              <w:rPr>
                <w:rFonts w:ascii="Arial" w:hAnsi="Arial" w:eastAsia="Arial"/>
                <w:color w:val="auto"/>
                <w:sz w:val="15"/>
              </w:rPr>
              <w:t>-3.64 (-4.94 to -2.34)</w:t>
            </w:r>
          </w:p>
        </w:tc>
        <w:tc>
          <w:tcPr>
            <w:tcW w:w="1800" w:type="dxa"/>
            <w:tcBorders>
              <w:top w:val="nil"/>
              <w:left w:val="nil"/>
              <w:bottom w:val="nil"/>
              <w:right w:val="nil"/>
              <w:insideH w:val="nil"/>
              <w:insideV w:val="nil"/>
            </w:tcBorders>
            <w:tcMar>
              <w:top w:w="80" w:type="dxa"/>
              <w:left w:w="80" w:type="dxa"/>
              <w:bottom w:w="80" w:type="dxa"/>
              <w:right w:w="80" w:type="dxa"/>
            </w:tcMar>
            <w:vAlign w:val="center"/>
          </w:tcPr>
          <w:p w14:paraId="5BF96182">
            <w:pPr>
              <w:spacing w:before="0" w:after="0" w:line="240" w:lineRule="auto"/>
              <w:jc w:val="left"/>
              <w:rPr>
                <w:color w:val="auto"/>
              </w:rPr>
            </w:pPr>
            <w:r>
              <w:rPr>
                <w:rFonts w:ascii="Arial" w:hAnsi="Arial" w:eastAsia="Arial"/>
                <w:color w:val="auto"/>
                <w:sz w:val="15"/>
              </w:rPr>
              <w:t>23999</w:t>
            </w:r>
          </w:p>
        </w:tc>
      </w:tr>
      <w:tr w14:paraId="272EF69F">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4031"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4D193395">
            <w:pPr>
              <w:spacing w:before="0" w:after="0" w:line="240" w:lineRule="auto"/>
              <w:jc w:val="left"/>
              <w:rPr>
                <w:color w:val="auto"/>
              </w:rPr>
            </w:pPr>
            <w:r>
              <w:rPr>
                <w:rFonts w:ascii="Arial" w:hAnsi="Arial" w:eastAsia="Arial"/>
                <w:color w:val="auto"/>
                <w:sz w:val="15"/>
              </w:rPr>
              <w:t>Self + proxy interviews, cognition/CES-D omitted; proxy adjusted</w:t>
            </w:r>
          </w:p>
        </w:tc>
        <w:tc>
          <w:tcPr>
            <w:tcW w:w="288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532473C9">
            <w:pPr>
              <w:spacing w:before="0" w:after="0" w:line="240" w:lineRule="auto"/>
              <w:jc w:val="left"/>
              <w:rPr>
                <w:color w:val="auto"/>
              </w:rPr>
            </w:pPr>
            <w:r>
              <w:rPr>
                <w:rFonts w:ascii="Arial" w:hAnsi="Arial" w:eastAsia="Arial"/>
                <w:color w:val="auto"/>
                <w:sz w:val="15"/>
              </w:rPr>
              <w:t>+2.29 (+1.37 to +3.21)</w:t>
            </w:r>
          </w:p>
        </w:tc>
        <w:tc>
          <w:tcPr>
            <w:tcW w:w="180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2010B60B">
            <w:pPr>
              <w:spacing w:before="0" w:after="0" w:line="240" w:lineRule="auto"/>
              <w:jc w:val="left"/>
              <w:rPr>
                <w:color w:val="auto"/>
              </w:rPr>
            </w:pPr>
            <w:r>
              <w:rPr>
                <w:rFonts w:ascii="Arial" w:hAnsi="Arial" w:eastAsia="Arial"/>
                <w:color w:val="auto"/>
                <w:sz w:val="15"/>
              </w:rPr>
              <w:t>73328</w:t>
            </w:r>
          </w:p>
        </w:tc>
        <w:tc>
          <w:tcPr>
            <w:tcW w:w="288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70A5CC42">
            <w:pPr>
              <w:spacing w:before="0" w:after="0" w:line="240" w:lineRule="auto"/>
              <w:jc w:val="left"/>
              <w:rPr>
                <w:color w:val="auto"/>
              </w:rPr>
            </w:pPr>
            <w:r>
              <w:rPr>
                <w:rFonts w:ascii="Arial" w:hAnsi="Arial" w:eastAsia="Arial"/>
                <w:color w:val="auto"/>
                <w:sz w:val="15"/>
              </w:rPr>
              <w:t>-3.02 (-4.09 to -1.90)</w:t>
            </w:r>
          </w:p>
        </w:tc>
        <w:tc>
          <w:tcPr>
            <w:tcW w:w="1800" w:type="dxa"/>
            <w:tcBorders>
              <w:top w:val="nil"/>
              <w:left w:val="nil"/>
              <w:bottom w:val="single" w:color="000000" w:sz="10" w:space="0"/>
              <w:right w:val="nil"/>
              <w:insideH w:val="nil"/>
              <w:insideV w:val="nil"/>
            </w:tcBorders>
            <w:tcMar>
              <w:top w:w="80" w:type="dxa"/>
              <w:left w:w="80" w:type="dxa"/>
              <w:bottom w:w="80" w:type="dxa"/>
              <w:right w:w="80" w:type="dxa"/>
            </w:tcMar>
            <w:vAlign w:val="center"/>
          </w:tcPr>
          <w:p w14:paraId="1AA09A3F">
            <w:pPr>
              <w:spacing w:before="0" w:after="0" w:line="240" w:lineRule="auto"/>
              <w:jc w:val="left"/>
              <w:rPr>
                <w:color w:val="auto"/>
              </w:rPr>
            </w:pPr>
            <w:r>
              <w:rPr>
                <w:rFonts w:ascii="Arial" w:hAnsi="Arial" w:eastAsia="Arial"/>
                <w:color w:val="auto"/>
                <w:sz w:val="15"/>
              </w:rPr>
              <w:t>29762</w:t>
            </w:r>
          </w:p>
        </w:tc>
      </w:tr>
    </w:tbl>
    <w:p w14:paraId="0165CAD8">
      <w:pPr>
        <w:rPr>
          <w:color w:val="auto"/>
        </w:rPr>
      </w:pPr>
      <w:r>
        <w:rPr>
          <w:rFonts w:ascii="Times New Roman" w:hAnsi="Times New Roman" w:eastAsia="Times New Roman"/>
          <w:i w:val="0"/>
          <w:color w:val="auto"/>
          <w:sz w:val="18"/>
        </w:rPr>
        <w:t>Note. The first eight rows summarize the prespecified disease-definition, covariate-specification, coding, and attrition analyses. The final two rows are proxy-compatible reduced-adjustment analyses; cognition and CES-D were omitted so that proxy interviews could be retained. Positive onset values indicate a higher probability of incident disability, and negative recovery values indicate a lower probability of return to complete independence.</w:t>
      </w:r>
    </w:p>
    <w:p w14:paraId="73A3AC90">
      <w:pPr>
        <w:pStyle w:val="3"/>
        <w:rPr>
          <w:color w:val="auto"/>
        </w:rPr>
      </w:pPr>
      <w:r>
        <w:rPr>
          <w:rFonts w:ascii="Times New Roman" w:hAnsi="Times New Roman" w:eastAsia="Times New Roman"/>
          <w:i w:val="0"/>
          <w:color w:val="auto"/>
        </w:rPr>
        <w:t>Supplementary methods</w:t>
      </w:r>
    </w:p>
    <w:p w14:paraId="28620993">
      <w:pPr>
        <w:rPr>
          <w:color w:val="auto"/>
        </w:rPr>
      </w:pPr>
      <w:r>
        <w:rPr>
          <w:rFonts w:ascii="Times New Roman" w:hAnsi="Times New Roman" w:eastAsia="Times New Roman"/>
          <w:i w:val="0"/>
          <w:color w:val="auto"/>
        </w:rPr>
        <w:t>Inverse-probability weighting used non-stabilized inverse probabilities of observed non-death follow-up, capped at 10. In the primary onset model, 65,609 observations had observed follow-up and 5,015 were lost; mean weight 1.076, 99th percentile 1.292, maximum 1.896. In the recovery model, 19,745 had observed follow-up and 2,573 were lost; mean weight 1.130, 99th percentile 1.585, maximum 3.335.</w:t>
      </w:r>
      <w:bookmarkStart w:id="0" w:name="_GoBack"/>
      <w:bookmarkEnd w:id="0"/>
    </w:p>
    <w:p w14:paraId="6A23AC61">
      <w:pPr>
        <w:pStyle w:val="3"/>
        <w:rPr>
          <w:color w:val="auto"/>
        </w:rPr>
      </w:pPr>
      <w:r>
        <w:rPr>
          <w:rFonts w:ascii="Times New Roman" w:hAnsi="Times New Roman" w:eastAsia="Times New Roman"/>
          <w:i w:val="0"/>
          <w:color w:val="auto"/>
        </w:rPr>
        <w:t>Legends for additional figure files</w:t>
      </w:r>
    </w:p>
    <w:p w14:paraId="47E568C9">
      <w:pPr>
        <w:rPr>
          <w:color w:val="auto"/>
        </w:rPr>
      </w:pPr>
      <w:r>
        <w:rPr>
          <w:rFonts w:ascii="Times New Roman" w:hAnsi="Times New Roman" w:eastAsia="Times New Roman"/>
          <w:i w:val="0"/>
          <w:color w:val="auto"/>
        </w:rPr>
        <w:t>Additional file 2: Supplementary Fig. S1. Adjusted 2-year probabilities of all next-wave functional states and death by baseline functional state and arthritis–diabetes status. Estimates were standardized from baseline-state-specific pooled multinomial models; error bars indicate 95% confidence intervals. ADL, activities of daily living; IADL, instrumental activities of daily living.</w:t>
      </w:r>
    </w:p>
    <w:p w14:paraId="08697739">
      <w:pPr>
        <w:rPr>
          <w:color w:val="auto"/>
        </w:rPr>
      </w:pPr>
      <w:r>
        <w:rPr>
          <w:rFonts w:ascii="Times New Roman" w:hAnsi="Times New Roman" w:eastAsia="Times New Roman"/>
          <w:i w:val="0"/>
          <w:color w:val="auto"/>
        </w:rPr>
        <w:t>Additional file 3: Supplementary Fig. S2. Adjusted 2-year probabilities of recovery after recent-onset disability, recovery after persistent disability, and any functional improvement from baseline ADL disability for the arthritis-only and comorbidity groups. Error bars indicate 95% confidence intervals. Recent-onset disability indicates independence at wave t−1 and disability at wave t; persistent disability indicates disability at both waves t−1 and t. Any functional improvement combines transition to complete independence or IADL limitation. ADL, activities of daily living; IADL, instrumental activities of daily living.</w:t>
      </w:r>
    </w:p>
    <w:sectPr>
      <w:footerReference r:id="rId5" w:type="default"/>
      <w:pgSz w:w="16838" w:h="11906" w:orient="landscape"/>
      <w:pgMar w:top="680" w:right="680" w:bottom="680" w:left="68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 w:name="ＭＳ 明朝">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4C357">
    <w:pPr>
      <w:pStyle w:val="24"/>
      <w:jc w:val="center"/>
    </w:pPr>
    <w:r>
      <w:rPr>
        <w:rFonts w:ascii="Times New Roman" w:hAnsi="Times New Roman"/>
        <w:sz w:val="18"/>
      </w:rPr>
      <w:t xml:space="preserve">Page </w:t>
    </w:r>
    <w:r>
      <w:rPr>
        <w:rFonts w:ascii="Times New Roman" w:hAnsi="Times New Roman"/>
        <w:sz w:val="18"/>
      </w:rPr>
      <w:fldChar w:fldCharType="begin"/>
    </w:r>
    <w:r>
      <w:rPr>
        <w:rFonts w:ascii="Times New Roman" w:hAnsi="Times New Roman"/>
        <w:sz w:val="18"/>
      </w:rPr>
      <w:instrText xml:space="preserve">PAGE</w:instrText>
    </w:r>
    <w:r>
      <w:rPr>
        <w:rFonts w:ascii="Times New Roman" w:hAnsi="Times New Roman"/>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D3004D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qFormat="1"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qFormat="1" w:unhideWhenUsed="0" w:uiPriority="66" w:semiHidden="0" w:name="Medium List 2 Accent 6"/>
    <w:lsdException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240" w:lineRule="auto"/>
    </w:pPr>
    <w:rPr>
      <w:rFonts w:ascii="Times New Roman" w:hAnsi="Times New Roman" w:eastAsia="Times New Roman" w:cstheme="minorBidi"/>
      <w:sz w:val="20"/>
      <w:szCs w:val="22"/>
      <w:lang w:val="en-US" w:eastAsia="en-US" w:bidi="ar-SA"/>
    </w:rPr>
  </w:style>
  <w:style w:type="paragraph" w:styleId="3">
    <w:name w:val="heading 1"/>
    <w:basedOn w:val="1"/>
    <w:next w:val="1"/>
    <w:link w:val="138"/>
    <w:qFormat/>
    <w:uiPriority w:val="9"/>
    <w:pPr>
      <w:keepNext/>
      <w:keepLines/>
      <w:spacing w:before="200" w:after="80" w:line="276" w:lineRule="auto"/>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80" w:line="276" w:lineRule="auto"/>
      <w:outlineLvl w:val="1"/>
    </w:pPr>
    <w:rPr>
      <w:rFonts w:asciiTheme="majorHAnsi" w:hAnsiTheme="majorHAnsi" w:eastAsiaTheme="majorEastAsia" w:cstheme="majorBidi"/>
      <w:b/>
      <w:bCs/>
      <w:color w:val="4F81BD" w:themeColor="accent1"/>
      <w:sz w:val="24"/>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keepNext/>
      <w:pBdr>
        <w:bottom w:val="single" w:color="4F81BD" w:themeColor="accent1" w:sz="8" w:space="4"/>
      </w:pBdr>
      <w:spacing w:before="0" w:after="80" w:line="276" w:lineRule="auto"/>
      <w:contextualSpacing/>
    </w:pPr>
    <w:rPr>
      <w:rFonts w:asciiTheme="majorHAnsi" w:hAnsiTheme="majorHAnsi" w:eastAsiaTheme="majorEastAsia" w:cstheme="majorBidi"/>
      <w:b/>
      <w:color w:val="17375E" w:themeColor="text2" w:themeShade="BF"/>
      <w:spacing w:val="5"/>
      <w:kern w:val="28"/>
      <w:sz w:val="3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1430</Words>
  <Characters>8984</Characters>
  <Lines>0</Lines>
  <Paragraphs>0</Paragraphs>
  <TotalTime>1</TotalTime>
  <ScaleCrop>false</ScaleCrop>
  <LinksUpToDate>false</LinksUpToDate>
  <CharactersWithSpaces>9814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黑火</cp:lastModifiedBy>
  <dcterms:modified xsi:type="dcterms:W3CDTF">2026-08-05T17:38:21Z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eyJoZGlkIjoiODk5YWEwN2YwMmEzMjIwYWVmZDdlMDRiYzI0YTZkNjYiLCJ1c2VySWQiOiIyNzc4MzgwNzQifQ==</vt:lpwstr>
  </property>
  <property fmtid="{D5CDD505-2E9C-101B-9397-08002B2CF9AE}" pid="3" name="KSOProductBuildVer">
    <vt:lpwstr>2052-12.1.0.26895</vt:lpwstr>
  </property>
  <property fmtid="{D5CDD505-2E9C-101B-9397-08002B2CF9AE}" pid="4" name="ICV">
    <vt:lpwstr>96751F85307C48D894EC23590DF3E778_12</vt:lpwstr>
  </property>
</Properties>
</file>