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980F" w14:textId="74550434" w:rsidR="00E3435D" w:rsidRDefault="00DB4EDE">
      <w:pPr>
        <w:rPr>
          <w:lang w:val="es-ES_tradnl"/>
        </w:rPr>
      </w:pPr>
      <w:proofErr w:type="spellStart"/>
      <w:r w:rsidRPr="00DB4EDE">
        <w:rPr>
          <w:lang w:val="es-ES_tradnl"/>
        </w:rPr>
        <w:t>Supplementary</w:t>
      </w:r>
      <w:proofErr w:type="spellEnd"/>
      <w:r w:rsidRPr="00DB4EDE">
        <w:rPr>
          <w:lang w:val="es-ES_tradnl"/>
        </w:rPr>
        <w:t xml:space="preserve"> data</w:t>
      </w:r>
    </w:p>
    <w:p w14:paraId="2BFE83F1" w14:textId="3BE0923F" w:rsidR="00DB4EDE" w:rsidRDefault="00AB12A6" w:rsidP="00AB12A6">
      <w:pPr>
        <w:jc w:val="center"/>
        <w:rPr>
          <w:lang w:val="es-ES_tradnl"/>
        </w:rPr>
      </w:pPr>
      <w:r>
        <w:rPr>
          <w:noProof/>
          <w:lang w:val="es-ES_tradnl"/>
        </w:rPr>
        <w:drawing>
          <wp:inline distT="0" distB="0" distL="0" distR="0" wp14:anchorId="31575A59" wp14:editId="75E9B75E">
            <wp:extent cx="4757897" cy="9371330"/>
            <wp:effectExtent l="0" t="0" r="0" b="0"/>
            <wp:docPr id="17335664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66444" name="Imagen 17335664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71" cy="938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DAF34" w14:textId="38F411B7" w:rsidR="00DB4EDE" w:rsidRDefault="00DB4EDE">
      <w:pPr>
        <w:rPr>
          <w:lang w:val="es-ES_tradnl"/>
        </w:rPr>
      </w:pPr>
    </w:p>
    <w:p w14:paraId="1F1F45EB" w14:textId="77777777" w:rsidR="00AB12A6" w:rsidRDefault="00AB12A6" w:rsidP="00D77A1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369658D" w14:textId="222C78B4" w:rsidR="00D77A1F" w:rsidRPr="00CF5797" w:rsidRDefault="00DB4EDE" w:rsidP="00D77A1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666A8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Figure </w:t>
      </w:r>
      <w:r>
        <w:rPr>
          <w:rFonts w:ascii="Arial" w:hAnsi="Arial" w:cs="Arial"/>
          <w:b/>
          <w:bCs/>
          <w:sz w:val="20"/>
          <w:szCs w:val="20"/>
          <w:lang w:val="en-US"/>
        </w:rPr>
        <w:t>S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1 </w:t>
      </w:r>
      <w:r w:rsidR="00D77A1F">
        <w:rPr>
          <w:rFonts w:ascii="Arial" w:hAnsi="Arial" w:cs="Arial"/>
          <w:b/>
          <w:bCs/>
          <w:sz w:val="20"/>
          <w:szCs w:val="20"/>
          <w:lang w:val="en-US"/>
        </w:rPr>
        <w:t>.</w:t>
      </w:r>
      <w:proofErr w:type="gramEnd"/>
      <w:r w:rsidR="00D77A1F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666A81">
        <w:rPr>
          <w:rFonts w:ascii="Arial" w:hAnsi="Arial" w:cs="Arial"/>
          <w:i/>
          <w:iCs/>
          <w:sz w:val="20"/>
          <w:szCs w:val="20"/>
          <w:lang w:val="en-US"/>
        </w:rPr>
        <w:t xml:space="preserve">Functional KEGG pathway analysis in first-gestation offspring (G1) ovaries following BP3 exposure. </w:t>
      </w:r>
      <w:r w:rsidRPr="00666A81">
        <w:rPr>
          <w:rFonts w:ascii="Arial" w:hAnsi="Arial" w:cs="Arial"/>
          <w:sz w:val="20"/>
          <w:szCs w:val="20"/>
          <w:lang w:val="en-US"/>
        </w:rPr>
        <w:t xml:space="preserve">Pathway maps illustrate the molecular impact of BP3 on structural integrity and signaling cascades. Red boxes indicate up-regulated proteins, while blue boxes indicate down-regulated </w:t>
      </w:r>
      <w:r w:rsidRPr="00CF5797">
        <w:rPr>
          <w:rFonts w:ascii="Arial" w:hAnsi="Arial" w:cs="Arial"/>
          <w:sz w:val="20"/>
          <w:szCs w:val="20"/>
          <w:lang w:val="en-US"/>
        </w:rPr>
        <w:t xml:space="preserve">proteins. a) </w:t>
      </w:r>
      <w:proofErr w:type="spellStart"/>
      <w:r w:rsidRPr="00CF5797">
        <w:rPr>
          <w:rFonts w:ascii="Arial" w:hAnsi="Arial" w:cs="Arial"/>
          <w:sz w:val="20"/>
          <w:szCs w:val="20"/>
          <w:lang w:val="en-US"/>
        </w:rPr>
        <w:t>Desmosomal</w:t>
      </w:r>
      <w:proofErr w:type="spellEnd"/>
      <w:r w:rsidRPr="00CF5797">
        <w:rPr>
          <w:rFonts w:ascii="Arial" w:hAnsi="Arial" w:cs="Arial"/>
          <w:sz w:val="20"/>
          <w:szCs w:val="20"/>
          <w:lang w:val="en-US"/>
        </w:rPr>
        <w:t xml:space="preserve"> cadherin pathway: showing the inhibition of core structural components, including </w:t>
      </w:r>
      <w:proofErr w:type="spellStart"/>
      <w:r w:rsidRPr="00CF5797">
        <w:rPr>
          <w:rFonts w:ascii="Arial" w:hAnsi="Arial" w:cs="Arial"/>
          <w:sz w:val="20"/>
          <w:szCs w:val="20"/>
          <w:lang w:val="en-US"/>
        </w:rPr>
        <w:t>Desmoplakin</w:t>
      </w:r>
      <w:proofErr w:type="spellEnd"/>
      <w:r w:rsidRPr="00CF5797">
        <w:rPr>
          <w:rFonts w:ascii="Arial" w:hAnsi="Arial" w:cs="Arial"/>
          <w:sz w:val="20"/>
          <w:szCs w:val="20"/>
          <w:lang w:val="en-US"/>
        </w:rPr>
        <w:t xml:space="preserve"> (DSP) and Intermediate Filaments (IF). b) Oxytocin signaling pathway: highlighting the targeted up-regulation of the </w:t>
      </w:r>
      <w:proofErr w:type="spellStart"/>
      <w:r w:rsidRPr="00CF5797">
        <w:rPr>
          <w:rFonts w:ascii="Arial" w:hAnsi="Arial" w:cs="Arial"/>
          <w:sz w:val="20"/>
          <w:szCs w:val="20"/>
          <w:lang w:val="en-US"/>
        </w:rPr>
        <w:t>Gq</w:t>
      </w:r>
      <w:proofErr w:type="spellEnd"/>
      <w:r w:rsidRPr="00CF5797">
        <w:rPr>
          <w:rFonts w:ascii="Arial" w:hAnsi="Arial" w:cs="Arial"/>
          <w:sz w:val="20"/>
          <w:szCs w:val="20"/>
          <w:lang w:val="en-US"/>
        </w:rPr>
        <w:t xml:space="preserve"> protein node, a key regulator of calcium signaling and follicular function. c) Estrogen signaling pathway: illustrating the activation of membrane-initiated signaling via </w:t>
      </w:r>
      <w:proofErr w:type="spellStart"/>
      <w:r w:rsidRPr="00CF5797">
        <w:rPr>
          <w:rFonts w:ascii="Arial" w:hAnsi="Arial" w:cs="Arial"/>
          <w:sz w:val="20"/>
          <w:szCs w:val="20"/>
          <w:lang w:val="en-US"/>
        </w:rPr>
        <w:t>Gq</w:t>
      </w:r>
      <w:proofErr w:type="spellEnd"/>
      <w:r w:rsidRPr="00CF5797">
        <w:rPr>
          <w:rFonts w:ascii="Arial" w:hAnsi="Arial" w:cs="Arial"/>
          <w:sz w:val="20"/>
          <w:szCs w:val="20"/>
          <w:lang w:val="en-US"/>
        </w:rPr>
        <w:t>, suggesting an adaptive response to endocrine disruption</w:t>
      </w:r>
      <w:r w:rsidR="00D77A1F" w:rsidRPr="00CF5797">
        <w:rPr>
          <w:rFonts w:ascii="Arial" w:hAnsi="Arial" w:cs="Arial"/>
          <w:sz w:val="20"/>
          <w:szCs w:val="20"/>
          <w:lang w:val="en-US"/>
        </w:rPr>
        <w:t>. Pathway maps were generated using</w:t>
      </w:r>
      <w:r w:rsidR="00D77A1F" w:rsidRPr="00CF5797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77A1F" w:rsidRPr="00CF5797">
        <w:rPr>
          <w:rFonts w:ascii="Arial" w:hAnsi="Arial" w:cs="Arial"/>
          <w:sz w:val="20"/>
          <w:szCs w:val="20"/>
          <w:lang w:val="en-US"/>
        </w:rPr>
        <w:t>KEGG pathway maps were generated using the KEGG Mapper–Color tool.</w:t>
      </w:r>
    </w:p>
    <w:p w14:paraId="6BEDDC12" w14:textId="7D6994E8" w:rsidR="00D77A1F" w:rsidRPr="00CF5797" w:rsidRDefault="00D77A1F" w:rsidP="00D77A1F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625BF46" w14:textId="77777777" w:rsidR="00D77A1F" w:rsidRDefault="00D77A1F" w:rsidP="00DB4EDE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3C81949" w14:textId="26CE872B" w:rsidR="00D77A1F" w:rsidRDefault="00D77A1F" w:rsidP="00DB4EDE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5C243FAE" wp14:editId="6711DE56">
            <wp:extent cx="6908800" cy="4653915"/>
            <wp:effectExtent l="0" t="0" r="0" b="0"/>
            <wp:docPr id="131365879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58796" name="Imagen 13136587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4305" w14:textId="0DC16A2B" w:rsidR="00367A8D" w:rsidRPr="00CF5797" w:rsidRDefault="00D77A1F" w:rsidP="00CF5797">
      <w:pPr>
        <w:spacing w:line="360" w:lineRule="auto"/>
        <w:jc w:val="both"/>
        <w:rPr>
          <w:lang w:val="en-US"/>
        </w:rPr>
      </w:pPr>
      <w:r w:rsidRPr="00666A81">
        <w:rPr>
          <w:rFonts w:ascii="Arial" w:hAnsi="Arial" w:cs="Arial"/>
          <w:b/>
          <w:bCs/>
          <w:sz w:val="22"/>
          <w:szCs w:val="22"/>
          <w:lang w:val="en-US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  <w:lang w:val="en-US"/>
        </w:rPr>
        <w:t>S2</w:t>
      </w:r>
      <w:r w:rsidRPr="00666A81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. </w:t>
      </w:r>
      <w:r w:rsidRPr="00666A81">
        <w:rPr>
          <w:rFonts w:ascii="Arial" w:hAnsi="Arial" w:cs="Arial"/>
          <w:i/>
          <w:iCs/>
          <w:sz w:val="20"/>
          <w:szCs w:val="20"/>
          <w:lang w:val="en-US"/>
        </w:rPr>
        <w:t>Functional KEGG pathway analysis in F1.P2</w:t>
      </w:r>
      <w:r w:rsidRPr="00666A81">
        <w:rPr>
          <w:rFonts w:ascii="Arial" w:hAnsi="Arial" w:cs="Arial"/>
          <w:sz w:val="22"/>
          <w:szCs w:val="22"/>
          <w:lang w:val="en-US"/>
        </w:rPr>
        <w:t xml:space="preserve"> </w:t>
      </w:r>
      <w:r w:rsidRPr="00666A81">
        <w:rPr>
          <w:rFonts w:ascii="Arial" w:hAnsi="Arial" w:cs="Arial"/>
          <w:i/>
          <w:iCs/>
          <w:sz w:val="20"/>
          <w:szCs w:val="20"/>
          <w:lang w:val="en-US"/>
        </w:rPr>
        <w:t>ovaries following BP3 exposure.</w:t>
      </w:r>
      <w:r w:rsidRPr="00666A81">
        <w:rPr>
          <w:rFonts w:ascii="Arial" w:hAnsi="Arial" w:cs="Arial"/>
          <w:sz w:val="20"/>
          <w:szCs w:val="20"/>
          <w:lang w:val="en-US"/>
        </w:rPr>
        <w:t xml:space="preserve"> Pathway maps illustrate the molecular impact of BP3 on bioenergetics, </w:t>
      </w:r>
      <w:proofErr w:type="spellStart"/>
      <w:r w:rsidRPr="00666A81">
        <w:rPr>
          <w:rFonts w:ascii="Arial" w:hAnsi="Arial" w:cs="Arial"/>
          <w:sz w:val="20"/>
          <w:szCs w:val="20"/>
          <w:lang w:val="en-US"/>
        </w:rPr>
        <w:t>proteostasis</w:t>
      </w:r>
      <w:proofErr w:type="spellEnd"/>
      <w:r w:rsidRPr="00666A81">
        <w:rPr>
          <w:rFonts w:ascii="Arial" w:hAnsi="Arial" w:cs="Arial"/>
          <w:sz w:val="20"/>
          <w:szCs w:val="20"/>
          <w:lang w:val="en-US"/>
        </w:rPr>
        <w:t xml:space="preserve">, and chromatin accessibility. Red boxes indicate up-regulated proteins, while blue boxes indicate down-regulated proteins. a) Oxidative phosphorylation: showing the targeted </w:t>
      </w:r>
      <w:proofErr w:type="gramStart"/>
      <w:r w:rsidRPr="00666A81">
        <w:rPr>
          <w:rFonts w:ascii="Arial" w:hAnsi="Arial" w:cs="Arial"/>
          <w:sz w:val="20"/>
          <w:szCs w:val="20"/>
          <w:lang w:val="en-US"/>
        </w:rPr>
        <w:t>down-regulation</w:t>
      </w:r>
      <w:proofErr w:type="gramEnd"/>
      <w:r w:rsidRPr="00666A81">
        <w:rPr>
          <w:rFonts w:ascii="Arial" w:hAnsi="Arial" w:cs="Arial"/>
          <w:sz w:val="20"/>
          <w:szCs w:val="20"/>
          <w:lang w:val="en-US"/>
        </w:rPr>
        <w:t xml:space="preserve"> of components in Complex III (7.1.1.8, including QCR2) and Complex V (7.1.2.2, including the Atp5f1a subunit). b) Fatty acid degradation: highlighting the inhibition of the </w:t>
      </w:r>
      <w:r w:rsidRPr="008824E0">
        <w:rPr>
          <w:rFonts w:ascii="Arial" w:hAnsi="Arial" w:cs="Arial"/>
          <w:sz w:val="20"/>
          <w:szCs w:val="20"/>
        </w:rPr>
        <w:t>β</w:t>
      </w:r>
      <w:r w:rsidRPr="00666A81">
        <w:rPr>
          <w:rFonts w:ascii="Arial" w:hAnsi="Arial" w:cs="Arial"/>
          <w:sz w:val="20"/>
          <w:szCs w:val="20"/>
          <w:lang w:val="en-US"/>
        </w:rPr>
        <w:t xml:space="preserve">-oxidation spiral, specifically </w:t>
      </w:r>
      <w:proofErr w:type="spellStart"/>
      <w:r w:rsidRPr="00666A81">
        <w:rPr>
          <w:rFonts w:ascii="Arial" w:hAnsi="Arial" w:cs="Arial"/>
          <w:sz w:val="20"/>
          <w:szCs w:val="20"/>
          <w:lang w:val="en-US"/>
        </w:rPr>
        <w:t>Acads</w:t>
      </w:r>
      <w:proofErr w:type="spellEnd"/>
      <w:r w:rsidRPr="00666A81">
        <w:rPr>
          <w:rFonts w:ascii="Arial" w:hAnsi="Arial" w:cs="Arial"/>
          <w:sz w:val="20"/>
          <w:szCs w:val="20"/>
          <w:lang w:val="en-US"/>
        </w:rPr>
        <w:t xml:space="preserve"> (1.3.8.1) and Eci1 (5.3.3.8). c) Proteasome pathway: illustrating the suppression of the 19S regulatory particle (RPN9, RPN12) and the PA28</w:t>
      </w:r>
      <w:r w:rsidRPr="008824E0">
        <w:rPr>
          <w:rFonts w:ascii="Arial" w:hAnsi="Arial" w:cs="Arial"/>
          <w:sz w:val="20"/>
          <w:szCs w:val="20"/>
        </w:rPr>
        <w:t>γ</w:t>
      </w:r>
      <w:r w:rsidRPr="00666A81">
        <w:rPr>
          <w:rFonts w:ascii="Arial" w:hAnsi="Arial" w:cs="Arial"/>
          <w:sz w:val="20"/>
          <w:szCs w:val="20"/>
          <w:lang w:val="en-US"/>
        </w:rPr>
        <w:t xml:space="preserve"> complex. d) ATP-dependent chromatin remodeling: detailing the expression imbalance within the SWI/SNF complex, characterized by the up-regulation of the catalytic unit BRG1 (Smarca4, A2/4 node) and the systemic loss of the coupling subunit BAF53/ACTL6.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CF5797">
        <w:rPr>
          <w:rFonts w:ascii="Arial" w:hAnsi="Arial" w:cs="Arial"/>
          <w:sz w:val="20"/>
          <w:szCs w:val="20"/>
          <w:lang w:val="en-US"/>
        </w:rPr>
        <w:t>Pathway maps were generated using</w:t>
      </w:r>
      <w:r w:rsidRPr="00CF5797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CF5797">
        <w:rPr>
          <w:rFonts w:ascii="Arial" w:hAnsi="Arial" w:cs="Arial"/>
          <w:sz w:val="20"/>
          <w:szCs w:val="20"/>
          <w:lang w:val="en-US"/>
        </w:rPr>
        <w:t>KEGG pathway maps were generated using the KEGG Mapper–Color tool.</w:t>
      </w:r>
    </w:p>
    <w:sectPr w:rsidR="00367A8D" w:rsidRPr="00CF5797" w:rsidSect="00367A8D">
      <w:pgSz w:w="11900" w:h="16840"/>
      <w:pgMar w:top="882" w:right="500" w:bottom="0" w:left="5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DE"/>
    <w:rsid w:val="000B3FB6"/>
    <w:rsid w:val="000F6531"/>
    <w:rsid w:val="00165A04"/>
    <w:rsid w:val="001D3CA7"/>
    <w:rsid w:val="001F1273"/>
    <w:rsid w:val="00367A8D"/>
    <w:rsid w:val="00435CC0"/>
    <w:rsid w:val="00437BD8"/>
    <w:rsid w:val="004A7A22"/>
    <w:rsid w:val="005C54B9"/>
    <w:rsid w:val="00640C56"/>
    <w:rsid w:val="00694A64"/>
    <w:rsid w:val="0076643F"/>
    <w:rsid w:val="007831CD"/>
    <w:rsid w:val="009F7CAA"/>
    <w:rsid w:val="00AB12A6"/>
    <w:rsid w:val="00B30704"/>
    <w:rsid w:val="00C20532"/>
    <w:rsid w:val="00C846BE"/>
    <w:rsid w:val="00CF5797"/>
    <w:rsid w:val="00D77A1F"/>
    <w:rsid w:val="00DB4EDE"/>
    <w:rsid w:val="00DC55EE"/>
    <w:rsid w:val="00E3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F6ED"/>
  <w15:chartTrackingRefBased/>
  <w15:docId w15:val="{4E1370A1-0F4D-7245-A5E2-0A9DC791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B4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4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4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4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4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4E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4E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4E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4E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4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4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4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4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4ED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4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4E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4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4E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4E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4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4E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4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4E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4E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4E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4ED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4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4ED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4EDE"/>
    <w:rPr>
      <w:b/>
      <w:bCs/>
      <w:smallCaps/>
      <w:color w:val="2F5496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D77A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7A1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7A1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7A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7A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Galliani</dc:creator>
  <cp:keywords/>
  <dc:description/>
  <cp:lastModifiedBy>Horacio Rodríguez</cp:lastModifiedBy>
  <cp:revision>3</cp:revision>
  <dcterms:created xsi:type="dcterms:W3CDTF">2026-06-17T17:54:00Z</dcterms:created>
  <dcterms:modified xsi:type="dcterms:W3CDTF">2026-08-05T15:49:00Z</dcterms:modified>
</cp:coreProperties>
</file>