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B9AE" w14:textId="77777777" w:rsidR="00894D90" w:rsidRPr="00C63079" w:rsidRDefault="00894D90" w:rsidP="00894D90">
      <w:pPr>
        <w:widowControl/>
        <w:jc w:val="left"/>
        <w:rPr>
          <w:rFonts w:cstheme="minorHAnsi"/>
          <w:b/>
          <w:bCs/>
          <w:color w:val="000000"/>
          <w:kern w:val="0"/>
          <w:sz w:val="20"/>
          <w:szCs w:val="20"/>
          <w:lang w:bidi="ar"/>
        </w:rPr>
      </w:pPr>
      <w:r w:rsidRPr="00C63079">
        <w:rPr>
          <w:rFonts w:cstheme="minorHAnsi"/>
          <w:b/>
          <w:bCs/>
          <w:color w:val="000000"/>
          <w:kern w:val="0"/>
          <w:sz w:val="20"/>
          <w:szCs w:val="20"/>
          <w:lang w:bidi="ar"/>
        </w:rPr>
        <w:t>Supplementary Materials</w:t>
      </w:r>
    </w:p>
    <w:p w14:paraId="27263EC0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01420CDE" w14:textId="77777777" w:rsidR="00894D90" w:rsidRPr="00C63079" w:rsidRDefault="00894D90" w:rsidP="00894D90">
      <w:pPr>
        <w:keepNext/>
        <w:spacing w:before="60" w:after="60"/>
        <w:rPr>
          <w:rFonts w:cstheme="minorHAnsi"/>
          <w:sz w:val="20"/>
          <w:szCs w:val="20"/>
        </w:rPr>
      </w:pPr>
      <w:r w:rsidRPr="00C63079">
        <w:rPr>
          <w:rFonts w:cstheme="minorHAnsi"/>
          <w:b/>
          <w:color w:val="000000"/>
          <w:sz w:val="20"/>
          <w:szCs w:val="20"/>
        </w:rPr>
        <w:t>Supplementary Table S1. IPOW Diagnostics and Weighted Sensitivity Results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91"/>
        <w:gridCol w:w="4115"/>
      </w:tblGrid>
      <w:tr w:rsidR="00894D90" w:rsidRPr="00C63079" w14:paraId="58EB9819" w14:textId="77777777" w:rsidTr="00A903C7">
        <w:trPr>
          <w:cantSplit/>
          <w:tblHeader/>
          <w:jc w:val="center"/>
        </w:trPr>
        <w:tc>
          <w:tcPr>
            <w:tcW w:w="4986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DF44E34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4986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0690B85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Result</w:t>
            </w:r>
          </w:p>
        </w:tc>
      </w:tr>
      <w:tr w:rsidR="00894D90" w:rsidRPr="00C63079" w14:paraId="374A8737" w14:textId="77777777" w:rsidTr="00A903C7">
        <w:trPr>
          <w:cantSplit/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136EC6B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Long-term observed / not observed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318BE55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146 / 71</w:t>
            </w:r>
          </w:p>
        </w:tc>
      </w:tr>
      <w:tr w:rsidR="00894D90" w:rsidRPr="00C63079" w14:paraId="4E2C2100" w14:textId="77777777" w:rsidTr="00A903C7">
        <w:trPr>
          <w:cantSplit/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13215A2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Truncated weight, minimum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974BAB9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0.611</w:t>
            </w:r>
          </w:p>
        </w:tc>
      </w:tr>
      <w:tr w:rsidR="00894D90" w:rsidRPr="00C63079" w14:paraId="40C669E3" w14:textId="77777777" w:rsidTr="00A903C7">
        <w:trPr>
          <w:cantSplit/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DFAD605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Truncated weight, median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AF12933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0.960</w:t>
            </w:r>
          </w:p>
        </w:tc>
      </w:tr>
      <w:tr w:rsidR="00894D90" w:rsidRPr="00C63079" w14:paraId="61A4B1DB" w14:textId="77777777" w:rsidTr="00A903C7">
        <w:trPr>
          <w:cantSplit/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6D8F3B9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Truncated weight, maximum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C0AB3E9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1.895</w:t>
            </w:r>
          </w:p>
        </w:tc>
      </w:tr>
      <w:tr w:rsidR="00894D90" w:rsidRPr="00C63079" w14:paraId="1C9EEFAE" w14:textId="77777777" w:rsidTr="00A903C7">
        <w:trPr>
          <w:cantSplit/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64811F4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Effective sample size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5E566A1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139.1</w:t>
            </w:r>
          </w:p>
        </w:tc>
      </w:tr>
      <w:tr w:rsidR="00894D90" w:rsidRPr="00C63079" w14:paraId="33F2F288" w14:textId="77777777" w:rsidTr="00A903C7">
        <w:trPr>
          <w:cantSplit/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85D9ABD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IPOW severe contracture: TEI vs DTI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A0604CC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OR 2.482 (1.074-5.736), P=0.034</w:t>
            </w:r>
          </w:p>
        </w:tc>
      </w:tr>
      <w:tr w:rsidR="00894D90" w:rsidRPr="00C63079" w14:paraId="441825A2" w14:textId="77777777" w:rsidTr="00A903C7">
        <w:trPr>
          <w:cantSplit/>
          <w:jc w:val="center"/>
        </w:trPr>
        <w:tc>
          <w:tcPr>
            <w:tcW w:w="4986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A4F1EE1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IPOW any contracture: TEI vs DTI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8605E8E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OR 0.921 (0.424-2.004), P=0.835</w:t>
            </w:r>
          </w:p>
        </w:tc>
      </w:tr>
    </w:tbl>
    <w:p w14:paraId="6D688C98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5EE68DC4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4DD97D6E" w14:textId="77777777" w:rsidR="00894D90" w:rsidRPr="00C63079" w:rsidRDefault="00894D90" w:rsidP="00894D90">
      <w:pPr>
        <w:keepNext/>
        <w:spacing w:before="60" w:after="60"/>
        <w:rPr>
          <w:rFonts w:cstheme="minorHAnsi"/>
          <w:sz w:val="20"/>
          <w:szCs w:val="20"/>
        </w:rPr>
      </w:pPr>
      <w:bookmarkStart w:id="0" w:name="OLE_LINK22"/>
      <w:r w:rsidRPr="00C63079">
        <w:rPr>
          <w:rFonts w:cstheme="minorHAnsi"/>
          <w:b/>
          <w:color w:val="000000"/>
          <w:sz w:val="20"/>
          <w:szCs w:val="20"/>
        </w:rPr>
        <w:t>Supplementary Table S2</w:t>
      </w:r>
      <w:bookmarkEnd w:id="0"/>
      <w:r w:rsidRPr="00C63079">
        <w:rPr>
          <w:rFonts w:cstheme="minorHAnsi"/>
          <w:b/>
          <w:color w:val="000000"/>
          <w:sz w:val="20"/>
          <w:szCs w:val="20"/>
        </w:rPr>
        <w:t>. Postoperative Infection Mechanism Model for Clinical Reconstruction Failure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89"/>
        <w:gridCol w:w="2039"/>
        <w:gridCol w:w="2068"/>
        <w:gridCol w:w="2010"/>
      </w:tblGrid>
      <w:tr w:rsidR="00894D90" w:rsidRPr="00C63079" w14:paraId="6A9C56F7" w14:textId="77777777" w:rsidTr="00A903C7">
        <w:trPr>
          <w:cantSplit/>
          <w:tblHeader/>
          <w:jc w:val="center"/>
        </w:trPr>
        <w:tc>
          <w:tcPr>
            <w:tcW w:w="2493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BADCE03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493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5C515E4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OR</w:t>
            </w:r>
          </w:p>
        </w:tc>
        <w:tc>
          <w:tcPr>
            <w:tcW w:w="2493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4E5ACA3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493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A1CB6C3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P value</w:t>
            </w:r>
          </w:p>
        </w:tc>
      </w:tr>
      <w:tr w:rsidR="00894D90" w:rsidRPr="00C63079" w14:paraId="0C185B49" w14:textId="77777777" w:rsidTr="00A903C7">
        <w:trPr>
          <w:cantSplit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AC132CD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2304F8">
              <w:rPr>
                <w:rFonts w:cstheme="minorHAnsi"/>
                <w:color w:val="000000"/>
                <w:sz w:val="20"/>
                <w:szCs w:val="20"/>
              </w:rPr>
              <w:t>Surgical method</w:t>
            </w:r>
            <w:r w:rsidRPr="00C63079">
              <w:rPr>
                <w:rFonts w:cstheme="minorHAnsi"/>
                <w:color w:val="000000"/>
                <w:sz w:val="20"/>
                <w:szCs w:val="20"/>
              </w:rPr>
              <w:t xml:space="preserve"> (TEI vs DTI)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0C6999F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2.532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E00369D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0.294-32.716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93BF44E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0.396</w:t>
            </w:r>
          </w:p>
        </w:tc>
      </w:tr>
      <w:tr w:rsidR="00894D90" w:rsidRPr="00C63079" w14:paraId="6857EDB5" w14:textId="77777777" w:rsidTr="00A903C7">
        <w:trPr>
          <w:cantSplit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D72B83E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Neoadjuvant chemotherapy (yes vs no)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512E941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1.403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18B4E6F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0.175-16.036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84CE0C6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0.748</w:t>
            </w:r>
          </w:p>
        </w:tc>
      </w:tr>
      <w:tr w:rsidR="00894D90" w:rsidRPr="00C63079" w14:paraId="2EB60C78" w14:textId="77777777" w:rsidTr="00A903C7">
        <w:trPr>
          <w:cantSplit/>
          <w:jc w:val="center"/>
        </w:trPr>
        <w:tc>
          <w:tcPr>
            <w:tcW w:w="2493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0473A88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Postoperative infection (yes vs no)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79D3DF6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608.161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65ED5F2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110.830-6960.580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F4254A4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&lt;0.001</w:t>
            </w:r>
          </w:p>
        </w:tc>
      </w:tr>
    </w:tbl>
    <w:p w14:paraId="190918DC" w14:textId="77777777" w:rsidR="00894D90" w:rsidRPr="00C63079" w:rsidRDefault="00894D90" w:rsidP="00894D90">
      <w:pPr>
        <w:keepNext/>
        <w:spacing w:before="60" w:after="60"/>
        <w:rPr>
          <w:rFonts w:cstheme="minorHAnsi"/>
          <w:b/>
          <w:color w:val="000000"/>
          <w:sz w:val="20"/>
          <w:szCs w:val="20"/>
        </w:rPr>
      </w:pPr>
      <w:bookmarkStart w:id="1" w:name="OLE_LINK29"/>
    </w:p>
    <w:p w14:paraId="0D0B6B6B" w14:textId="77777777" w:rsidR="00894D90" w:rsidRPr="00C63079" w:rsidRDefault="00894D90" w:rsidP="00894D90">
      <w:pPr>
        <w:keepNext/>
        <w:spacing w:before="60" w:after="60"/>
        <w:rPr>
          <w:rFonts w:cstheme="minorHAnsi"/>
          <w:sz w:val="20"/>
          <w:szCs w:val="20"/>
        </w:rPr>
      </w:pPr>
      <w:r w:rsidRPr="00C63079">
        <w:rPr>
          <w:rFonts w:cstheme="minorHAnsi"/>
          <w:b/>
          <w:color w:val="000000"/>
          <w:sz w:val="20"/>
          <w:szCs w:val="20"/>
        </w:rPr>
        <w:t>Supplementary Table S3</w:t>
      </w:r>
      <w:bookmarkEnd w:id="1"/>
      <w:r w:rsidRPr="00C63079">
        <w:rPr>
          <w:rFonts w:cstheme="minorHAnsi"/>
          <w:b/>
          <w:color w:val="000000"/>
          <w:sz w:val="20"/>
          <w:szCs w:val="20"/>
        </w:rPr>
        <w:t>. Exploratory Mechanism Model for Severe Capsular Contracture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04"/>
        <w:gridCol w:w="2006"/>
        <w:gridCol w:w="2088"/>
        <w:gridCol w:w="2008"/>
      </w:tblGrid>
      <w:tr w:rsidR="00894D90" w:rsidRPr="00C63079" w14:paraId="05F7D96D" w14:textId="77777777" w:rsidTr="00A903C7">
        <w:trPr>
          <w:cantSplit/>
          <w:tblHeader/>
          <w:jc w:val="center"/>
        </w:trPr>
        <w:tc>
          <w:tcPr>
            <w:tcW w:w="2493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A24A3E4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493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AB02843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OR</w:t>
            </w:r>
          </w:p>
        </w:tc>
        <w:tc>
          <w:tcPr>
            <w:tcW w:w="2493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305624B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493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0988374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P value</w:t>
            </w:r>
          </w:p>
        </w:tc>
      </w:tr>
      <w:tr w:rsidR="00894D90" w:rsidRPr="00C63079" w14:paraId="56AF1554" w14:textId="77777777" w:rsidTr="00A903C7">
        <w:trPr>
          <w:cantSplit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05CEDBD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2304F8">
              <w:rPr>
                <w:rFonts w:cstheme="minorHAnsi"/>
                <w:color w:val="000000"/>
                <w:sz w:val="20"/>
                <w:szCs w:val="20"/>
              </w:rPr>
              <w:t>Surgical method</w:t>
            </w:r>
            <w:r w:rsidRPr="00C63079">
              <w:rPr>
                <w:rFonts w:cstheme="minorHAnsi"/>
                <w:color w:val="000000"/>
                <w:sz w:val="20"/>
                <w:szCs w:val="20"/>
              </w:rPr>
              <w:t xml:space="preserve"> (TEI vs DTI)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819158B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2.274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55C63F0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0.946-5.524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472E459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0.066</w:t>
            </w:r>
          </w:p>
        </w:tc>
      </w:tr>
      <w:tr w:rsidR="00894D90" w:rsidRPr="00C63079" w14:paraId="69D4FB50" w14:textId="77777777" w:rsidTr="00A903C7">
        <w:trPr>
          <w:cantSplit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5D2200B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Neoadjuvant chemotherapy (yes vs no)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9240862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1.271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6626EE5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0.529-3.106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945121E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0.592</w:t>
            </w:r>
          </w:p>
        </w:tc>
      </w:tr>
      <w:tr w:rsidR="00894D90" w:rsidRPr="00C63079" w14:paraId="11113AA9" w14:textId="77777777" w:rsidTr="00A903C7">
        <w:trPr>
          <w:cantSplit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ABA13FD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Postoperative infection (yes vs no)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F9DA847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8.285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E4D7DB1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0.382-1285.414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DDBB73C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0.176</w:t>
            </w:r>
          </w:p>
        </w:tc>
      </w:tr>
      <w:tr w:rsidR="00894D90" w:rsidRPr="00C63079" w14:paraId="710B87D8" w14:textId="77777777" w:rsidTr="00A903C7">
        <w:trPr>
          <w:cantSplit/>
          <w:jc w:val="center"/>
        </w:trPr>
        <w:tc>
          <w:tcPr>
            <w:tcW w:w="2493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D043245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Breast mesh use (yes vs no)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50968D9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507EFE6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0.397-2.416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C8B24B2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0.940</w:t>
            </w:r>
          </w:p>
        </w:tc>
      </w:tr>
    </w:tbl>
    <w:p w14:paraId="626758BC" w14:textId="77777777" w:rsidR="00894D90" w:rsidRPr="00C63079" w:rsidRDefault="00894D90" w:rsidP="00894D90">
      <w:pPr>
        <w:spacing w:after="100"/>
        <w:rPr>
          <w:rFonts w:cstheme="minorHAnsi"/>
          <w:sz w:val="20"/>
          <w:szCs w:val="20"/>
        </w:rPr>
      </w:pPr>
      <w:r w:rsidRPr="00C63079">
        <w:rPr>
          <w:rFonts w:cstheme="minorHAnsi"/>
          <w:color w:val="000000"/>
          <w:sz w:val="20"/>
          <w:szCs w:val="20"/>
        </w:rPr>
        <w:t>Postoperative infection occurs after reconstruction selection and may overlap with the clinical definition of failure. Extremely large or unstable odds ratios should not be interpreted as precise causal effects.</w:t>
      </w:r>
    </w:p>
    <w:p w14:paraId="31C41A76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4B37E580" w14:textId="77777777" w:rsidR="00894D90" w:rsidRPr="00C63079" w:rsidRDefault="00894D90" w:rsidP="00894D90">
      <w:pPr>
        <w:keepNext/>
        <w:spacing w:before="60" w:after="60"/>
        <w:rPr>
          <w:rFonts w:cstheme="minorHAnsi"/>
          <w:sz w:val="20"/>
          <w:szCs w:val="20"/>
        </w:rPr>
      </w:pPr>
      <w:r w:rsidRPr="00C63079">
        <w:rPr>
          <w:rFonts w:cstheme="minorHAnsi"/>
          <w:b/>
          <w:color w:val="000000"/>
          <w:sz w:val="20"/>
          <w:szCs w:val="20"/>
        </w:rPr>
        <w:lastRenderedPageBreak/>
        <w:t>Supplementary Table S4. Comparison of Observed and Non-observed Long-term Patients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04"/>
        <w:gridCol w:w="1700"/>
        <w:gridCol w:w="1700"/>
        <w:gridCol w:w="1569"/>
        <w:gridCol w:w="1533"/>
      </w:tblGrid>
      <w:tr w:rsidR="00894D90" w:rsidRPr="00C63079" w14:paraId="6C162835" w14:textId="77777777" w:rsidTr="00A903C7">
        <w:trPr>
          <w:cantSplit/>
          <w:tblHeader/>
          <w:jc w:val="center"/>
        </w:trPr>
        <w:tc>
          <w:tcPr>
            <w:tcW w:w="1994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A6C4807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994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713F6ED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Not observed (n=71)</w:t>
            </w:r>
          </w:p>
        </w:tc>
        <w:tc>
          <w:tcPr>
            <w:tcW w:w="1994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3F4DFC2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Observed (n=146)</w:t>
            </w:r>
          </w:p>
        </w:tc>
        <w:tc>
          <w:tcPr>
            <w:tcW w:w="1994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438BA0A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994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F46040C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b/>
                <w:color w:val="000000"/>
                <w:sz w:val="20"/>
                <w:szCs w:val="20"/>
              </w:rPr>
              <w:t>SMD</w:t>
            </w:r>
          </w:p>
        </w:tc>
      </w:tr>
      <w:tr w:rsidR="00894D90" w:rsidRPr="00C63079" w14:paraId="6F5CA129" w14:textId="77777777" w:rsidTr="00A903C7">
        <w:trPr>
          <w:cantSplit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911702B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 xml:space="preserve">TEI </w:t>
            </w:r>
            <w:r w:rsidRPr="002304F8">
              <w:rPr>
                <w:rFonts w:cstheme="minorHAnsi"/>
                <w:color w:val="000000"/>
                <w:sz w:val="20"/>
                <w:szCs w:val="20"/>
              </w:rPr>
              <w:t>method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D08DF4A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57 (80.3%)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86AE02A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53 (36.3%)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72693A2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DFA88BD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0.997</w:t>
            </w:r>
          </w:p>
        </w:tc>
      </w:tr>
      <w:tr w:rsidR="00894D90" w:rsidRPr="00C63079" w14:paraId="32593A38" w14:textId="77777777" w:rsidTr="00A903C7">
        <w:trPr>
          <w:cantSplit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F9F8E51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Age, mean (SD), years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7238CF9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39.44 (7.30)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9E3F43C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40.26 (7.19)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91DA272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0EDEAE6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0.114</w:t>
            </w:r>
          </w:p>
        </w:tc>
      </w:tr>
      <w:tr w:rsidR="00894D90" w:rsidRPr="00C63079" w14:paraId="6E8B0935" w14:textId="77777777" w:rsidTr="00A903C7">
        <w:trPr>
          <w:cantSplit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41B46D2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BMI, mean (SD), kg/m²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5789CE9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24.09 (3.49)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F288072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23.86 (3.36)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FD45B2D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0BA84F1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0.066</w:t>
            </w:r>
          </w:p>
        </w:tc>
      </w:tr>
      <w:tr w:rsidR="00894D90" w:rsidRPr="00C63079" w14:paraId="2BDC027D" w14:textId="77777777" w:rsidTr="00A903C7">
        <w:trPr>
          <w:cantSplit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6ED3987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Right-sided surgery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5C4D2E0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43 (60.6%)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ADAA541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73 (50.0%)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1028C34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9C95559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0.238</w:t>
            </w:r>
          </w:p>
        </w:tc>
      </w:tr>
      <w:tr w:rsidR="00894D90" w:rsidRPr="00C63079" w14:paraId="023D5746" w14:textId="77777777" w:rsidTr="00A903C7">
        <w:trPr>
          <w:cantSplit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2583001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Neoadjuvant chemotherapy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C3671D9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36 (50.7%)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FBA89B7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75 (51.4%)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242234C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E50F113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0.013</w:t>
            </w:r>
          </w:p>
        </w:tc>
      </w:tr>
      <w:tr w:rsidR="00894D90" w:rsidRPr="00C63079" w14:paraId="67E8D1B8" w14:textId="77777777" w:rsidTr="00A903C7">
        <w:trPr>
          <w:cantSplit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649C52A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Endoscopic approach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71DA098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30 (42.3%)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6A6CADE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60 (41.1%)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7C1612A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0B98325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0.077</w:t>
            </w:r>
          </w:p>
        </w:tc>
      </w:tr>
      <w:tr w:rsidR="00894D90" w:rsidRPr="00C63079" w14:paraId="700C8B00" w14:textId="77777777" w:rsidTr="00A903C7">
        <w:trPr>
          <w:cantSplit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9C27149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Breast mesh use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380E2F8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20 (28.2%)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290420C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88 (60.3%)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342AD29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FF9DFD3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0.683</w:t>
            </w:r>
          </w:p>
        </w:tc>
      </w:tr>
      <w:tr w:rsidR="00894D90" w:rsidRPr="00C63079" w14:paraId="5E3FAEE4" w14:textId="77777777" w:rsidTr="00A903C7">
        <w:trPr>
          <w:cantSplit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C3D67AD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Clinical stage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ABF283F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I 2.8%; II 83.1%; III 14.1%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277CEE8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I 10.3%; II 71.9%; III 17.8%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94961D6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F3B3A7D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0.336</w:t>
            </w:r>
          </w:p>
        </w:tc>
      </w:tr>
      <w:tr w:rsidR="00894D90" w:rsidRPr="00C63079" w14:paraId="0672ED41" w14:textId="77777777" w:rsidTr="00A903C7">
        <w:trPr>
          <w:cantSplit/>
          <w:jc w:val="center"/>
        </w:trPr>
        <w:tc>
          <w:tcPr>
            <w:tcW w:w="1994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C2546BB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Molecular subtype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D174EF9" w14:textId="77777777" w:rsidR="00894D90" w:rsidRPr="00C63079" w:rsidRDefault="00894D90" w:rsidP="00A903C7">
            <w:pPr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HER2+ 38.0%; HR+/HER2- 57.7%; TN 4.2%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23D7489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HER2+ 30.8%; HR+/HER2- 61.0%; TN 8.2%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AAC6996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10" w:space="0" w:color="000000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35B73B7" w14:textId="77777777" w:rsidR="00894D90" w:rsidRPr="00C63079" w:rsidRDefault="00894D90" w:rsidP="00A903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3079">
              <w:rPr>
                <w:rFonts w:cstheme="minorHAnsi"/>
                <w:color w:val="000000"/>
                <w:sz w:val="20"/>
                <w:szCs w:val="20"/>
              </w:rPr>
              <w:t>0.207</w:t>
            </w:r>
          </w:p>
        </w:tc>
      </w:tr>
    </w:tbl>
    <w:p w14:paraId="02048BD1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0374830F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27D4776C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1CF631B6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2BDDC249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75733E53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612AE981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464CD8F2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0D2BA903" w14:textId="77777777" w:rsidR="00894D90" w:rsidRPr="00C63079" w:rsidRDefault="00894D90" w:rsidP="00894D90">
      <w:pPr>
        <w:widowControl/>
        <w:jc w:val="left"/>
        <w:rPr>
          <w:rFonts w:cstheme="minorHAnsi"/>
          <w:color w:val="000000"/>
          <w:kern w:val="0"/>
          <w:sz w:val="20"/>
          <w:szCs w:val="20"/>
          <w:lang w:bidi="ar"/>
        </w:rPr>
      </w:pPr>
    </w:p>
    <w:p w14:paraId="45F1181E" w14:textId="77777777" w:rsidR="00EB4A2D" w:rsidRDefault="00EB4A2D"/>
    <w:sectPr w:rsidR="00EB4A2D" w:rsidSect="00894D9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D90"/>
    <w:rsid w:val="001D3053"/>
    <w:rsid w:val="001E3A92"/>
    <w:rsid w:val="00217E67"/>
    <w:rsid w:val="002C7D54"/>
    <w:rsid w:val="0033371E"/>
    <w:rsid w:val="003F44FF"/>
    <w:rsid w:val="005C0D39"/>
    <w:rsid w:val="0070406C"/>
    <w:rsid w:val="00724754"/>
    <w:rsid w:val="007B36B1"/>
    <w:rsid w:val="00894D90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44784"/>
  <w15:chartTrackingRefBased/>
  <w15:docId w15:val="{59B2E3A5-B5AE-4084-916C-510F9A18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D90"/>
    <w:pPr>
      <w:widowControl w:val="0"/>
      <w:spacing w:after="0" w:line="240" w:lineRule="auto"/>
      <w:jc w:val="both"/>
    </w:pPr>
    <w:rPr>
      <w:rFonts w:eastAsia="SimSun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D9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D9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D90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D90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D90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D90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D90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D90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D90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D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D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D9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4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D90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4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D90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4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D90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4D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D9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D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D9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94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2026-08-24T07:18:00Z</dcterms:created>
  <dcterms:modified xsi:type="dcterms:W3CDTF">2026-08-24T07:18:00Z</dcterms:modified>
</cp:coreProperties>
</file>