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r="http://schemas.openxmlformats.org/officeDocument/2006/relationships" xmlns:w="http://schemas.openxmlformats.org/wordprocessingml/2006/main" xmlns:wp="http://schemas.openxmlformats.org/drawingml/2006/wordprocessingDrawing">
  <w:body>
    <w:p>
      <w:pPr>
        <w:pStyle w:val="Normal"/>
        <w:keepNext/>
        <w:keepLines/>
        <w:widowControl/>
        <w:spacing w:before="260" w:after="100" w:line="480" w:lineRule="auto"/>
        <w:jc w:val="center"/>
      </w:pPr>
      <w:r>
        <w:rPr>
          <w:rFonts w:ascii="Times New Roman" w:hAnsi="Times New Roman"/>
          <w:b/>
          <w:i w:val="0"/>
          <w:sz w:val="32"/>
        </w:rPr>
        <w:t>Additional file 1: Supplementary Tables S1–S10</w:t>
      </w:r>
    </w:p>
    <w:p>
      <w:pPr>
        <w:jc w:val="center"/>
      </w:pPr>
      <w:r>
        <w:rPr>
          <w:rFonts w:ascii="Times New Roman" w:hAnsi="Times New Roman"/>
          <w:b w:val="0"/>
          <w:i/>
        </w:rPr>
        <w:t>Adherence to 24-Hour Movement Guidelines and Flourishing Among U.S. Children and Adolescents With Current Asthma: A Cross-Sectional Analysis of the 2023–2024 National Survey of Children’s Health</w:t>
      </w:r>
    </w:p>
    <w:p>
      <w:pPr>
        <w:jc w:val="center"/>
      </w:pPr>
      <w:r>
        <w:rPr>
          <w:rFonts w:ascii="Times New Roman" w:hAnsi="Times New Roman"/>
          <w:b w:val="0"/>
          <w:i w:val="0"/>
        </w:rPr>
        <w:t>File format: Microsoft Word document (.docx)</w:t>
      </w:r>
    </w:p>
    <w:p>
      <w:pPr>
        <w:jc w:val="center"/>
      </w:pPr>
      <w:r>
        <w:rPr>
          <w:rFonts w:ascii="Times New Roman" w:hAnsi="Times New Roman"/>
          <w:b w:val="0"/>
          <w:i w:val="0"/>
        </w:rPr>
        <w:t>Description: Supplementary methods and results tables supporting the main manuscript.</w:t>
      </w:r>
    </w:p>
    <w:p>
      <w:pPr>
        <w:pStyle w:val="Normal"/>
        <w:keepNext w:val="0"/>
        <w:keepLines w:val="0"/>
        <w:widowControl/>
        <w:spacing w:before="0" w:after="120" w:line="480" w:lineRule="auto"/>
        <w:jc w:val="both"/>
      </w:pPr>
      <w:r>
        <w:rPr>
          <w:rFonts w:ascii="Times New Roman" w:hAnsi="Times New Roman" w:eastAsia="Times New Roman" w:cs="Times New Roman"/>
          <w:i w:val="0"/>
          <w:color w:val="000000"/>
          <w:sz w:val="24"/>
          <w:szCs w:val="22"/>
          <w:lang w:val="en-US" w:eastAsia="en-US" w:bidi="ar-SA"/>
        </w:rPr>
        <w:t>All supplementary tables were generated from the verified R output files used for the manuscript. They are provided to keep methods, results, and reported estimands synchronized. Unweighted counts (n) are complete-case numbers; all percentages and model-based estimates are survey-weighted.</w:t>
      </w:r>
    </w:p>
    <w:p>
      <w:pPr>
        <w:pStyle w:val="Normal"/>
        <w:keepNext/>
        <w:keepLines/>
        <w:widowControl/>
        <w:spacing w:before="120" w:after="80" w:line="480" w:lineRule="auto"/>
        <w:jc w:val="left"/>
      </w:pPr>
      <w:r>
        <w:rPr>
          <w:rFonts w:ascii="Times New Roman" w:hAnsi="Times New Roman" w:eastAsia="Times New Roman" w:cs="Times New Roman"/>
          <w:b/>
          <w:color w:val="000000"/>
          <w:sz w:val="19"/>
          <w:szCs w:val="22"/>
          <w:lang w:val="en-US" w:eastAsia="en-US" w:bidi="ar-SA"/>
        </w:rPr>
        <w:t>Supplementary Table S1. Operational definitions of exposure, outcome, and asthma variables.</w:t>
      </w:r>
    </w:p>
    <w:tbl>
      <w:tblPr>
        <w:tblStyle w:val="TableGrid"/>
        <w:tblW w:type="auto" w:w="0"/>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firstColumn="1" w:firstRow="1" w:lastColumn="0" w:lastRow="0" w:noHBand="0" w:noVBand="1" w:val="04A0"/>
      </w:tblPr>
      <w:tblGrid>
        <w:gridCol w:w="2232"/>
        <w:gridCol w:w="1944"/>
        <w:gridCol w:w="4031"/>
        <w:gridCol w:w="1512"/>
      </w:tblGrid>
      <w:tr>
        <w:trPr>
          <w:trHeight w:hRule="atLeast"/>
          <w:tblHeader/>
        </w:trPr>
        <w:tc>
          <w:tcPr>
            <w:tcW w:type="dxa" w:w="2232"/>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Arial" w:cs="Arial"/>
                <w:b/>
                <w:color w:val="000000"/>
                <w:sz w:val="15"/>
                <w:szCs w:val="22"/>
                <w:lang w:val="en-US" w:eastAsia="en-US" w:bidi="ar-SA"/>
              </w:rPr>
              <w:t>Construct</w:t>
            </w:r>
          </w:p>
        </w:tc>
        <w:tc>
          <w:tcPr>
            <w:tcW w:type="dxa" w:w="1944"/>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Arial" w:cs="Arial"/>
                <w:b/>
                <w:color w:val="000000"/>
                <w:sz w:val="15"/>
                <w:szCs w:val="22"/>
                <w:lang w:val="en-US" w:eastAsia="en-US" w:bidi="ar-SA"/>
              </w:rPr>
              <w:t>Source variable</w:t>
            </w:r>
          </w:p>
        </w:tc>
        <w:tc>
          <w:tcPr>
            <w:tcW w:type="dxa" w:w="4031"/>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Arial" w:cs="Arial"/>
                <w:b/>
                <w:color w:val="000000"/>
                <w:sz w:val="15"/>
                <w:szCs w:val="22"/>
                <w:lang w:val="en-US" w:eastAsia="en-US" w:bidi="ar-SA"/>
              </w:rPr>
              <w:t>Analysis definition</w:t>
            </w:r>
          </w:p>
        </w:tc>
        <w:tc>
          <w:tcPr>
            <w:tcW w:type="dxa" w:w="1512"/>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Arial" w:cs="Arial"/>
                <w:b/>
                <w:color w:val="000000"/>
                <w:sz w:val="15"/>
                <w:szCs w:val="22"/>
                <w:lang w:val="en-US" w:eastAsia="en-US" w:bidi="ar-SA"/>
              </w:rPr>
              <w:t>Codebook location</w:t>
            </w:r>
          </w:p>
        </w:tc>
      </w:tr>
      <w:tr>
        <w:trPr/>
        <w:tc>
          <w:tcPr>
            <w:tcW w:type="dxa" w:w="2232"/>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5"/>
                <w:szCs w:val="22"/>
                <w:lang w:val="en-US" w:eastAsia="en-US" w:bidi="ar-SA"/>
              </w:rPr>
              <w:t>Physical activity guideline</w:t>
            </w:r>
          </w:p>
        </w:tc>
        <w:tc>
          <w:tcPr>
            <w:tcW w:type="dxa" w:w="1944"/>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5"/>
                <w:szCs w:val="22"/>
                <w:lang w:val="en-US" w:eastAsia="en-US" w:bidi="ar-SA"/>
              </w:rPr>
              <w:t>PhysAct_2324</w:t>
            </w:r>
          </w:p>
        </w:tc>
        <w:tc>
          <w:tcPr>
            <w:tcW w:type="dxa" w:w="4031"/>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5"/>
                <w:szCs w:val="22"/>
                <w:lang w:val="en-US" w:eastAsia="en-US" w:bidi="ar-SA"/>
              </w:rPr>
              <w:t>Met only for every day with &gt;=60 minutes/day (code 4)</w:t>
            </w:r>
          </w:p>
        </w:tc>
        <w:tc>
          <w:tcPr>
            <w:tcW w:type="dxa" w:w="1512"/>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5"/>
                <w:szCs w:val="22"/>
                <w:lang w:val="en-US" w:eastAsia="en-US" w:bidi="ar-SA"/>
              </w:rPr>
              <w:t>Indicator 1.5, printed page 30</w:t>
            </w:r>
          </w:p>
        </w:tc>
      </w:tr>
      <w:tr>
        <w:trPr/>
        <w:tc>
          <w:tcPr>
            <w:tcW w:type="dxa" w:w="2232"/>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5"/>
                <w:szCs w:val="22"/>
                <w:lang w:val="en-US" w:eastAsia="en-US" w:bidi="ar-SA"/>
              </w:rPr>
              <w:t>Recreational screen-time guideline</w:t>
            </w:r>
          </w:p>
        </w:tc>
        <w:tc>
          <w:tcPr>
            <w:tcW w:type="dxa" w:w="1944"/>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5"/>
                <w:szCs w:val="22"/>
                <w:lang w:val="en-US" w:eastAsia="en-US" w:bidi="ar-SA"/>
              </w:rPr>
              <w:t>ScreenTime_2324</w:t>
            </w:r>
          </w:p>
        </w:tc>
        <w:tc>
          <w:tcPr>
            <w:tcW w:type="dxa" w:w="4031"/>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5"/>
                <w:szCs w:val="22"/>
                <w:lang w:val="en-US" w:eastAsia="en-US" w:bidi="ar-SA"/>
              </w:rPr>
              <w:t>Exact item: time on most weekdays watching programs, playing games, accessing the internet, or using social media, not including schoolwork; met for ≤2 hours/day (codes 1–3)</w:t>
            </w:r>
          </w:p>
        </w:tc>
        <w:tc>
          <w:tcPr>
            <w:tcW w:type="dxa" w:w="1512"/>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5"/>
                <w:szCs w:val="22"/>
                <w:lang w:val="en-US" w:eastAsia="en-US" w:bidi="ar-SA"/>
              </w:rPr>
              <w:t>Indicator 6.10, printed page 253</w:t>
            </w:r>
          </w:p>
        </w:tc>
      </w:tr>
      <w:tr>
        <w:trPr/>
        <w:tc>
          <w:tcPr>
            <w:tcW w:type="dxa" w:w="2232"/>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5"/>
                <w:szCs w:val="22"/>
                <w:lang w:val="en-US" w:eastAsia="en-US" w:bidi="ar-SA"/>
              </w:rPr>
              <w:t>Sleep guideline</w:t>
            </w:r>
          </w:p>
        </w:tc>
        <w:tc>
          <w:tcPr>
            <w:tcW w:type="dxa" w:w="1944"/>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5"/>
                <w:szCs w:val="22"/>
                <w:lang w:val="en-US" w:eastAsia="en-US" w:bidi="ar-SA"/>
              </w:rPr>
              <w:t>HrsSleep_2324</w:t>
            </w:r>
          </w:p>
        </w:tc>
        <w:tc>
          <w:tcPr>
            <w:tcW w:type="dxa" w:w="4031"/>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5"/>
                <w:szCs w:val="22"/>
                <w:lang w:val="en-US" w:eastAsia="en-US" w:bidi="ar-SA"/>
              </w:rPr>
              <w:t>Met CAHMI age-specific recommended sleep duration (code 1)</w:t>
            </w:r>
          </w:p>
        </w:tc>
        <w:tc>
          <w:tcPr>
            <w:tcW w:type="dxa" w:w="1512"/>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5"/>
                <w:szCs w:val="22"/>
                <w:lang w:val="en-US" w:eastAsia="en-US" w:bidi="ar-SA"/>
              </w:rPr>
              <w:t>Indicator 6.25, printed pages 276-277</w:t>
            </w:r>
          </w:p>
        </w:tc>
      </w:tr>
      <w:tr>
        <w:trPr/>
        <w:tc>
          <w:tcPr>
            <w:tcW w:type="dxa" w:w="2232"/>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5"/>
                <w:szCs w:val="22"/>
                <w:lang w:val="en-US" w:eastAsia="en-US" w:bidi="ar-SA"/>
              </w:rPr>
              <w:t>Guideline-count exposure</w:t>
            </w:r>
          </w:p>
        </w:tc>
        <w:tc>
          <w:tcPr>
            <w:tcW w:type="dxa" w:w="1944"/>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5"/>
                <w:szCs w:val="22"/>
                <w:lang w:val="en-US" w:eastAsia="en-US" w:bidi="ar-SA"/>
              </w:rPr>
              <w:t>Derived from three components</w:t>
            </w:r>
          </w:p>
        </w:tc>
        <w:tc>
          <w:tcPr>
            <w:tcW w:type="dxa" w:w="4031"/>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5"/>
                <w:szCs w:val="22"/>
                <w:lang w:val="en-US" w:eastAsia="en-US" w:bidi="ar-SA"/>
              </w:rPr>
              <w:t>Sum of three binary components; complete cases only; range 0-3</w:t>
            </w:r>
          </w:p>
        </w:tc>
        <w:tc>
          <w:tcPr>
            <w:tcW w:type="dxa" w:w="1512"/>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5"/>
                <w:szCs w:val="22"/>
                <w:lang w:val="en-US" w:eastAsia="en-US" w:bidi="ar-SA"/>
              </w:rPr>
              <w:t>Derived</w:t>
            </w:r>
          </w:p>
        </w:tc>
      </w:tr>
      <w:tr>
        <w:trPr/>
        <w:tc>
          <w:tcPr>
            <w:tcW w:type="dxa" w:w="2232"/>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5"/>
                <w:szCs w:val="22"/>
                <w:lang w:val="en-US" w:eastAsia="en-US" w:bidi="ar-SA"/>
              </w:rPr>
              <w:t>All-three exposure</w:t>
            </w:r>
          </w:p>
        </w:tc>
        <w:tc>
          <w:tcPr>
            <w:tcW w:type="dxa" w:w="1944"/>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5"/>
                <w:szCs w:val="22"/>
                <w:lang w:val="en-US" w:eastAsia="en-US" w:bidi="ar-SA"/>
              </w:rPr>
              <w:t>Derived from guideline count</w:t>
            </w:r>
          </w:p>
        </w:tc>
        <w:tc>
          <w:tcPr>
            <w:tcW w:type="dxa" w:w="4031"/>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5"/>
                <w:szCs w:val="22"/>
                <w:lang w:val="en-US" w:eastAsia="en-US" w:bidi="ar-SA"/>
              </w:rPr>
              <w:t>Score 3 vs scores 0-2</w:t>
            </w:r>
          </w:p>
        </w:tc>
        <w:tc>
          <w:tcPr>
            <w:tcW w:type="dxa" w:w="1512"/>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5"/>
                <w:szCs w:val="22"/>
                <w:lang w:val="en-US" w:eastAsia="en-US" w:bidi="ar-SA"/>
              </w:rPr>
              <w:t>Derived</w:t>
            </w:r>
          </w:p>
        </w:tc>
      </w:tr>
      <w:tr>
        <w:trPr/>
        <w:tc>
          <w:tcPr>
            <w:tcW w:type="dxa" w:w="2232"/>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5"/>
                <w:szCs w:val="22"/>
                <w:lang w:val="en-US" w:eastAsia="en-US" w:bidi="ar-SA"/>
              </w:rPr>
              <w:t>Current asthma</w:t>
            </w:r>
          </w:p>
        </w:tc>
        <w:tc>
          <w:tcPr>
            <w:tcW w:type="dxa" w:w="1944"/>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5"/>
                <w:szCs w:val="22"/>
                <w:lang w:val="en-US" w:eastAsia="en-US" w:bidi="ar-SA"/>
              </w:rPr>
              <w:t>asthma_2324</w:t>
            </w:r>
          </w:p>
        </w:tc>
        <w:tc>
          <w:tcPr>
            <w:tcW w:type="dxa" w:w="4031"/>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5"/>
                <w:szCs w:val="22"/>
                <w:lang w:val="en-US" w:eastAsia="en-US" w:bidi="ar-SA"/>
              </w:rPr>
              <w:t>Ever told the child had asthma (K2Q40A=1) and currently still has asthma (K2Q40B=1), yielding code 3</w:t>
            </w:r>
          </w:p>
        </w:tc>
        <w:tc>
          <w:tcPr>
            <w:tcW w:type="dxa" w:w="1512"/>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5"/>
                <w:szCs w:val="22"/>
                <w:lang w:val="en-US" w:eastAsia="en-US" w:bidi="ar-SA"/>
              </w:rPr>
              <w:t>Asthma indicator, printed page 38</w:t>
            </w:r>
          </w:p>
        </w:tc>
      </w:tr>
      <w:tr>
        <w:trPr/>
        <w:tc>
          <w:tcPr>
            <w:tcW w:type="dxa" w:w="2232"/>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5"/>
                <w:szCs w:val="22"/>
                <w:lang w:val="en-US" w:eastAsia="en-US" w:bidi="ar-SA"/>
              </w:rPr>
              <w:t>Multimorbidity</w:t>
            </w:r>
          </w:p>
        </w:tc>
        <w:tc>
          <w:tcPr>
            <w:tcW w:type="dxa" w:w="1944"/>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5"/>
                <w:szCs w:val="22"/>
                <w:lang w:val="en-US" w:eastAsia="en-US" w:bidi="ar-SA"/>
              </w:rPr>
              <w:t>Cond2more_2324</w:t>
            </w:r>
          </w:p>
        </w:tc>
        <w:tc>
          <w:tcPr>
            <w:tcW w:type="dxa" w:w="4031"/>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5"/>
                <w:szCs w:val="22"/>
                <w:lang w:val="en-US" w:eastAsia="en-US" w:bidi="ar-SA"/>
              </w:rPr>
              <w:t>Asthma only vs asthma plus at least 1 other condition from the official 24-condition list</w:t>
            </w:r>
          </w:p>
        </w:tc>
        <w:tc>
          <w:tcPr>
            <w:tcW w:type="dxa" w:w="1512"/>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5"/>
                <w:szCs w:val="22"/>
                <w:lang w:val="en-US" w:eastAsia="en-US" w:bidi="ar-SA"/>
              </w:rPr>
              <w:t>Indicator 1.9, printed pages 44–45</w:t>
            </w:r>
          </w:p>
        </w:tc>
      </w:tr>
      <w:tr>
        <w:trPr/>
        <w:tc>
          <w:tcPr>
            <w:tcW w:type="dxa" w:w="2232"/>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5"/>
                <w:szCs w:val="22"/>
                <w:lang w:val="en-US" w:eastAsia="en-US" w:bidi="ar-SA"/>
              </w:rPr>
              <w:t>Primary outcome: flourishing</w:t>
            </w:r>
          </w:p>
        </w:tc>
        <w:tc>
          <w:tcPr>
            <w:tcW w:type="dxa" w:w="1944"/>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5"/>
                <w:szCs w:val="22"/>
                <w:lang w:val="en-US" w:eastAsia="en-US" w:bidi="ar-SA"/>
              </w:rPr>
              <w:t>flrish6to17_2324</w:t>
            </w:r>
          </w:p>
        </w:tc>
        <w:tc>
          <w:tcPr>
            <w:tcW w:type="dxa" w:w="4031"/>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5"/>
                <w:szCs w:val="22"/>
                <w:lang w:val="en-US" w:eastAsia="en-US" w:bidi="ar-SA"/>
              </w:rPr>
              <w:t>Meets all three flourishing items (code 3) vs meets 0-2</w:t>
            </w:r>
          </w:p>
        </w:tc>
        <w:tc>
          <w:tcPr>
            <w:tcW w:type="dxa" w:w="1512"/>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5"/>
                <w:szCs w:val="22"/>
                <w:lang w:val="en-US" w:eastAsia="en-US" w:bidi="ar-SA"/>
              </w:rPr>
              <w:t>Indicator 2.4, printed pages 70-72</w:t>
            </w:r>
          </w:p>
        </w:tc>
      </w:tr>
      <w:tr>
        <w:trPr/>
        <w:tc>
          <w:tcPr>
            <w:tcW w:type="dxa" w:w="2232"/>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5"/>
                <w:szCs w:val="22"/>
                <w:lang w:val="en-US" w:eastAsia="en-US" w:bidi="ar-SA"/>
              </w:rPr>
              <w:t>Flourishing item: curiosity</w:t>
            </w:r>
          </w:p>
        </w:tc>
        <w:tc>
          <w:tcPr>
            <w:tcW w:type="dxa" w:w="1944"/>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5"/>
                <w:szCs w:val="22"/>
                <w:lang w:val="en-US" w:eastAsia="en-US" w:bidi="ar-SA"/>
              </w:rPr>
              <w:t>curious6to17_2324</w:t>
            </w:r>
          </w:p>
        </w:tc>
        <w:tc>
          <w:tcPr>
            <w:tcW w:type="dxa" w:w="4031"/>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5"/>
                <w:szCs w:val="22"/>
                <w:lang w:val="en-US" w:eastAsia="en-US" w:bidi="ar-SA"/>
              </w:rPr>
              <w:t>Always/usually (codes 1-2) vs sometimes/never (codes 3-4)</w:t>
            </w:r>
          </w:p>
        </w:tc>
        <w:tc>
          <w:tcPr>
            <w:tcW w:type="dxa" w:w="1512"/>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5"/>
                <w:szCs w:val="22"/>
                <w:lang w:val="en-US" w:eastAsia="en-US" w:bidi="ar-SA"/>
              </w:rPr>
              <w:t>Indicator 2.4, printed pages 70-72</w:t>
            </w:r>
          </w:p>
        </w:tc>
      </w:tr>
      <w:tr>
        <w:trPr/>
        <w:tc>
          <w:tcPr>
            <w:tcW w:type="dxa" w:w="2232"/>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5"/>
                <w:szCs w:val="22"/>
                <w:lang w:val="en-US" w:eastAsia="en-US" w:bidi="ar-SA"/>
              </w:rPr>
              <w:t>Flourishing item: task completion</w:t>
            </w:r>
          </w:p>
        </w:tc>
        <w:tc>
          <w:tcPr>
            <w:tcW w:type="dxa" w:w="1944"/>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5"/>
                <w:szCs w:val="22"/>
                <w:lang w:val="en-US" w:eastAsia="en-US" w:bidi="ar-SA"/>
              </w:rPr>
              <w:t>finishes_2324</w:t>
            </w:r>
          </w:p>
        </w:tc>
        <w:tc>
          <w:tcPr>
            <w:tcW w:type="dxa" w:w="4031"/>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5"/>
                <w:szCs w:val="22"/>
                <w:lang w:val="en-US" w:eastAsia="en-US" w:bidi="ar-SA"/>
              </w:rPr>
              <w:t>Always/usually (codes 1-2) vs sometimes/never (codes 3-4)</w:t>
            </w:r>
          </w:p>
        </w:tc>
        <w:tc>
          <w:tcPr>
            <w:tcW w:type="dxa" w:w="1512"/>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5"/>
                <w:szCs w:val="22"/>
                <w:lang w:val="en-US" w:eastAsia="en-US" w:bidi="ar-SA"/>
              </w:rPr>
              <w:t>Indicator 2.4, printed pages 70-72</w:t>
            </w:r>
          </w:p>
        </w:tc>
      </w:tr>
      <w:tr>
        <w:trPr/>
        <w:tc>
          <w:tcPr>
            <w:tcW w:type="dxa" w:w="2232"/>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5"/>
                <w:szCs w:val="22"/>
                <w:lang w:val="en-US" w:eastAsia="en-US" w:bidi="ar-SA"/>
              </w:rPr>
              <w:t>Flourishing item: resilience</w:t>
            </w:r>
          </w:p>
        </w:tc>
        <w:tc>
          <w:tcPr>
            <w:tcW w:type="dxa" w:w="1944"/>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5"/>
                <w:szCs w:val="22"/>
                <w:lang w:val="en-US" w:eastAsia="en-US" w:bidi="ar-SA"/>
              </w:rPr>
              <w:t>resil6to17_2324</w:t>
            </w:r>
          </w:p>
        </w:tc>
        <w:tc>
          <w:tcPr>
            <w:tcW w:type="dxa" w:w="4031"/>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5"/>
                <w:szCs w:val="22"/>
                <w:lang w:val="en-US" w:eastAsia="en-US" w:bidi="ar-SA"/>
              </w:rPr>
              <w:t>Always/usually (codes 1-2) vs sometimes/never (codes 3-4)</w:t>
            </w:r>
          </w:p>
        </w:tc>
        <w:tc>
          <w:tcPr>
            <w:tcW w:type="dxa" w:w="1512"/>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5"/>
                <w:szCs w:val="22"/>
                <w:lang w:val="en-US" w:eastAsia="en-US" w:bidi="ar-SA"/>
              </w:rPr>
              <w:t>Indicator 2.4, printed pages 70-72</w:t>
            </w:r>
          </w:p>
        </w:tc>
      </w:tr>
    </w:tbl>
    <w:p>
      <w:pPr>
        <w:pStyle w:val="Normal"/>
        <w:keepNext w:val="0"/>
        <w:keepLines w:val="0"/>
        <w:widowControl/>
        <w:spacing w:before="0" w:after="120" w:line="480" w:lineRule="auto"/>
        <w:jc w:val="left"/>
      </w:pPr>
      <w:r>
        <w:rPr>
          <w:rFonts w:ascii="Times New Roman" w:hAnsi="Times New Roman" w:eastAsia="Times New Roman" w:cs="Times New Roman"/>
          <w:i/>
          <w:color w:val="000000"/>
          <w:sz w:val="17"/>
          <w:szCs w:val="22"/>
          <w:lang w:val="en-US" w:eastAsia="en-US" w:bidi="ar-SA"/>
        </w:rPr>
        <w:t>The exact screen-time item asked: “On most weekdays, about how much time does this child usually spend in front of a TV, computer, cellphone or other electronic device watching programs, playing games, accessing the internet or using social media, not including schoolwork?” Codes 1–3 (less than 1, 1, or 2 hours/day) were classified as meeting the screen-time guideline. The CAHMI sleep indicator was used as provided; it represents an age-specific minimum and was not independently reconstructed from both lower and upper Canadian age-band duration cutoffs. The multimorbidity indicator counted 24 listed conditions: allergies, autoimmune disease, asthma, blood disorders, cerebral palsy, cystic fibrosis, type 2 diabetes, Down syndrome, seizure disorder, heart condition, frequent or severe headache or migraine, Tourette syndrome, anxiety, depression, behavior or conduct problems, developmental delay, intellectual disability, speech disorder, learning disability, autism, ADHD, hearing problems, and vision problems. Within the current-asthma population, “asthma only” denotes no additional listed condition.</w:t>
      </w:r>
    </w:p>
    <w:p>
      <w:pPr>
        <w:pStyle w:val="Normal"/>
        <w:spacing w:line="480" w:lineRule="auto"/>
      </w:pPr>
      <w:r>
        <w:rPr>
          <w:rFonts w:ascii="Times New Roman" w:hAnsi="Times New Roman" w:eastAsia="Times New Roman"/>
          <w:sz w:val="21"/>
          <w:szCs w:val="22"/>
          <w:lang w:val="en-US" w:eastAsia="en-US" w:bidi="ar-SA"/>
        </w:rPr>
        <w:br w:type="page"/>
      </w:r>
    </w:p>
    <w:p>
      <w:pPr>
        <w:pStyle w:val="Normal"/>
        <w:keepNext/>
        <w:keepLines/>
        <w:widowControl/>
        <w:spacing w:before="120" w:after="80" w:line="480" w:lineRule="auto"/>
        <w:jc w:val="left"/>
      </w:pPr>
      <w:r>
        <w:rPr>
          <w:rFonts w:ascii="Times New Roman" w:hAnsi="Times New Roman" w:eastAsia="Times New Roman" w:cs="Times New Roman"/>
          <w:b/>
          <w:color w:val="000000"/>
          <w:sz w:val="19"/>
          <w:szCs w:val="22"/>
          <w:lang w:val="en-US" w:eastAsia="en-US" w:bidi="ar-SA"/>
        </w:rPr>
        <w:t>Supplementary Table S2. Missingness among age- and current-asthma-eligible children.</w:t>
      </w:r>
    </w:p>
    <w:tbl>
      <w:tblPr>
        <w:tblStyle w:val="TableGrid"/>
        <w:tblW w:type="auto" w:w="0"/>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firstColumn="1" w:firstRow="1" w:lastColumn="0" w:lastRow="0" w:noHBand="0" w:noVBand="1" w:val="04A0"/>
      </w:tblPr>
      <w:tblGrid>
        <w:gridCol w:w="4464"/>
        <w:gridCol w:w="1440"/>
        <w:gridCol w:w="1440"/>
        <w:gridCol w:w="1440"/>
      </w:tblGrid>
      <w:tr>
        <w:trPr>
          <w:trHeight w:hRule="atLeast"/>
          <w:tblHeader/>
        </w:trPr>
        <w:tc>
          <w:tcPr>
            <w:tcW w:type="dxa" w:w="4464"/>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Arial" w:cs="Arial"/>
                <w:b/>
                <w:color w:val="000000"/>
                <w:sz w:val="16"/>
                <w:szCs w:val="22"/>
                <w:lang w:val="en-US" w:eastAsia="en-US" w:bidi="ar-SA"/>
              </w:rPr>
              <w:t>Variable</w:t>
            </w:r>
          </w:p>
        </w:tc>
        <w:tc>
          <w:tcPr>
            <w:tcW w:type="dxa" w:w="1440"/>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Arial" w:cs="Arial"/>
                <w:b/>
                <w:color w:val="000000"/>
                <w:sz w:val="16"/>
                <w:szCs w:val="22"/>
                <w:lang w:val="en-US" w:eastAsia="en-US" w:bidi="ar-SA"/>
              </w:rPr>
              <w:t>Missing n</w:t>
            </w:r>
          </w:p>
        </w:tc>
        <w:tc>
          <w:tcPr>
            <w:tcW w:type="dxa" w:w="1440"/>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Arial" w:cs="Arial"/>
                <w:b/>
                <w:color w:val="000000"/>
                <w:sz w:val="16"/>
                <w:szCs w:val="22"/>
                <w:lang w:val="en-US" w:eastAsia="en-US" w:bidi="ar-SA"/>
              </w:rPr>
              <w:t>Eligible n</w:t>
            </w:r>
          </w:p>
        </w:tc>
        <w:tc>
          <w:tcPr>
            <w:tcW w:type="dxa" w:w="1440"/>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Arial" w:cs="Arial"/>
                <w:b/>
                <w:color w:val="000000"/>
                <w:sz w:val="16"/>
                <w:szCs w:val="22"/>
                <w:lang w:val="en-US" w:eastAsia="en-US" w:bidi="ar-SA"/>
              </w:rPr>
              <w:t>Missing %</w:t>
            </w:r>
          </w:p>
        </w:tc>
      </w:tr>
      <w:tr>
        <w:trPr/>
        <w:tc>
          <w:tcPr>
            <w:tcW w:type="dxa" w:w="4464"/>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6"/>
                <w:szCs w:val="22"/>
                <w:lang w:val="en-US" w:eastAsia="en-US" w:bidi="ar-SA"/>
              </w:rPr>
              <w:t>Physical activity guideline</w:t>
            </w:r>
          </w:p>
        </w:tc>
        <w:tc>
          <w:tcPr>
            <w:tcW w:type="dxa" w:w="144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83</w:t>
            </w:r>
          </w:p>
        </w:tc>
        <w:tc>
          <w:tcPr>
            <w:tcW w:type="dxa" w:w="144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6085</w:t>
            </w:r>
          </w:p>
        </w:tc>
        <w:tc>
          <w:tcPr>
            <w:tcW w:type="dxa" w:w="144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1.36%</w:t>
            </w:r>
          </w:p>
        </w:tc>
      </w:tr>
      <w:tr>
        <w:trPr/>
        <w:tc>
          <w:tcPr>
            <w:tcW w:type="dxa" w:w="4464"/>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6"/>
                <w:szCs w:val="22"/>
                <w:lang w:val="en-US" w:eastAsia="en-US" w:bidi="ar-SA"/>
              </w:rPr>
              <w:t>Screen-time guideline</w:t>
            </w:r>
          </w:p>
        </w:tc>
        <w:tc>
          <w:tcPr>
            <w:tcW w:type="dxa" w:w="144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94</w:t>
            </w:r>
          </w:p>
        </w:tc>
        <w:tc>
          <w:tcPr>
            <w:tcW w:type="dxa" w:w="144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6085</w:t>
            </w:r>
          </w:p>
        </w:tc>
        <w:tc>
          <w:tcPr>
            <w:tcW w:type="dxa" w:w="144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1.54%</w:t>
            </w:r>
          </w:p>
        </w:tc>
      </w:tr>
      <w:tr>
        <w:trPr/>
        <w:tc>
          <w:tcPr>
            <w:tcW w:type="dxa" w:w="4464"/>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6"/>
                <w:szCs w:val="22"/>
                <w:lang w:val="en-US" w:eastAsia="en-US" w:bidi="ar-SA"/>
              </w:rPr>
              <w:t>Sleep guideline</w:t>
            </w:r>
          </w:p>
        </w:tc>
        <w:tc>
          <w:tcPr>
            <w:tcW w:type="dxa" w:w="144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88</w:t>
            </w:r>
          </w:p>
        </w:tc>
        <w:tc>
          <w:tcPr>
            <w:tcW w:type="dxa" w:w="144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6085</w:t>
            </w:r>
          </w:p>
        </w:tc>
        <w:tc>
          <w:tcPr>
            <w:tcW w:type="dxa" w:w="144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1.45%</w:t>
            </w:r>
          </w:p>
        </w:tc>
      </w:tr>
      <w:tr>
        <w:trPr/>
        <w:tc>
          <w:tcPr>
            <w:tcW w:type="dxa" w:w="4464"/>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6"/>
                <w:szCs w:val="22"/>
                <w:lang w:val="en-US" w:eastAsia="en-US" w:bidi="ar-SA"/>
              </w:rPr>
              <w:t>Complete 0-3 movement score</w:t>
            </w:r>
          </w:p>
        </w:tc>
        <w:tc>
          <w:tcPr>
            <w:tcW w:type="dxa" w:w="144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147</w:t>
            </w:r>
          </w:p>
        </w:tc>
        <w:tc>
          <w:tcPr>
            <w:tcW w:type="dxa" w:w="144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6085</w:t>
            </w:r>
          </w:p>
        </w:tc>
        <w:tc>
          <w:tcPr>
            <w:tcW w:type="dxa" w:w="144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2.42%</w:t>
            </w:r>
          </w:p>
        </w:tc>
      </w:tr>
      <w:tr>
        <w:trPr/>
        <w:tc>
          <w:tcPr>
            <w:tcW w:type="dxa" w:w="4464"/>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6"/>
                <w:szCs w:val="22"/>
                <w:lang w:val="en-US" w:eastAsia="en-US" w:bidi="ar-SA"/>
              </w:rPr>
              <w:t>Meeting all three flourishing items</w:t>
            </w:r>
          </w:p>
        </w:tc>
        <w:tc>
          <w:tcPr>
            <w:tcW w:type="dxa" w:w="144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54</w:t>
            </w:r>
          </w:p>
        </w:tc>
        <w:tc>
          <w:tcPr>
            <w:tcW w:type="dxa" w:w="144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6085</w:t>
            </w:r>
          </w:p>
        </w:tc>
        <w:tc>
          <w:tcPr>
            <w:tcW w:type="dxa" w:w="144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0.89%</w:t>
            </w:r>
          </w:p>
        </w:tc>
      </w:tr>
      <w:tr>
        <w:trPr/>
        <w:tc>
          <w:tcPr>
            <w:tcW w:type="dxa" w:w="4464"/>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6"/>
                <w:szCs w:val="22"/>
                <w:lang w:val="en-US" w:eastAsia="en-US" w:bidi="ar-SA"/>
              </w:rPr>
              <w:t>Age group</w:t>
            </w:r>
          </w:p>
        </w:tc>
        <w:tc>
          <w:tcPr>
            <w:tcW w:type="dxa" w:w="144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0</w:t>
            </w:r>
          </w:p>
        </w:tc>
        <w:tc>
          <w:tcPr>
            <w:tcW w:type="dxa" w:w="144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6085</w:t>
            </w:r>
          </w:p>
        </w:tc>
        <w:tc>
          <w:tcPr>
            <w:tcW w:type="dxa" w:w="144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0.00%</w:t>
            </w:r>
          </w:p>
        </w:tc>
      </w:tr>
      <w:tr>
        <w:trPr/>
        <w:tc>
          <w:tcPr>
            <w:tcW w:type="dxa" w:w="4464"/>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6"/>
                <w:szCs w:val="22"/>
                <w:lang w:val="en-US" w:eastAsia="en-US" w:bidi="ar-SA"/>
              </w:rPr>
              <w:t>Sex</w:t>
            </w:r>
          </w:p>
        </w:tc>
        <w:tc>
          <w:tcPr>
            <w:tcW w:type="dxa" w:w="144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0</w:t>
            </w:r>
          </w:p>
        </w:tc>
        <w:tc>
          <w:tcPr>
            <w:tcW w:type="dxa" w:w="144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6085</w:t>
            </w:r>
          </w:p>
        </w:tc>
        <w:tc>
          <w:tcPr>
            <w:tcW w:type="dxa" w:w="144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0.00%</w:t>
            </w:r>
          </w:p>
        </w:tc>
      </w:tr>
      <w:tr>
        <w:trPr/>
        <w:tc>
          <w:tcPr>
            <w:tcW w:type="dxa" w:w="4464"/>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6"/>
                <w:szCs w:val="22"/>
                <w:lang w:val="en-US" w:eastAsia="en-US" w:bidi="ar-SA"/>
              </w:rPr>
              <w:t>Race/ethnicity</w:t>
            </w:r>
          </w:p>
        </w:tc>
        <w:tc>
          <w:tcPr>
            <w:tcW w:type="dxa" w:w="144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0</w:t>
            </w:r>
          </w:p>
        </w:tc>
        <w:tc>
          <w:tcPr>
            <w:tcW w:type="dxa" w:w="144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6085</w:t>
            </w:r>
          </w:p>
        </w:tc>
        <w:tc>
          <w:tcPr>
            <w:tcW w:type="dxa" w:w="144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0.00%</w:t>
            </w:r>
          </w:p>
        </w:tc>
      </w:tr>
      <w:tr>
        <w:trPr/>
        <w:tc>
          <w:tcPr>
            <w:tcW w:type="dxa" w:w="4464"/>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6"/>
                <w:szCs w:val="22"/>
                <w:lang w:val="en-US" w:eastAsia="en-US" w:bidi="ar-SA"/>
              </w:rPr>
              <w:t>Adult education</w:t>
            </w:r>
          </w:p>
        </w:tc>
        <w:tc>
          <w:tcPr>
            <w:tcW w:type="dxa" w:w="144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0</w:t>
            </w:r>
          </w:p>
        </w:tc>
        <w:tc>
          <w:tcPr>
            <w:tcW w:type="dxa" w:w="144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6085</w:t>
            </w:r>
          </w:p>
        </w:tc>
        <w:tc>
          <w:tcPr>
            <w:tcW w:type="dxa" w:w="144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0.00%</w:t>
            </w:r>
          </w:p>
        </w:tc>
      </w:tr>
      <w:tr>
        <w:trPr/>
        <w:tc>
          <w:tcPr>
            <w:tcW w:type="dxa" w:w="4464"/>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6"/>
                <w:szCs w:val="22"/>
                <w:lang w:val="en-US" w:eastAsia="en-US" w:bidi="ar-SA"/>
              </w:rPr>
              <w:t>Insurance</w:t>
            </w:r>
          </w:p>
        </w:tc>
        <w:tc>
          <w:tcPr>
            <w:tcW w:type="dxa" w:w="144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44</w:t>
            </w:r>
          </w:p>
        </w:tc>
        <w:tc>
          <w:tcPr>
            <w:tcW w:type="dxa" w:w="144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6085</w:t>
            </w:r>
          </w:p>
        </w:tc>
        <w:tc>
          <w:tcPr>
            <w:tcW w:type="dxa" w:w="144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0.72%</w:t>
            </w:r>
          </w:p>
        </w:tc>
      </w:tr>
      <w:tr>
        <w:trPr/>
        <w:tc>
          <w:tcPr>
            <w:tcW w:type="dxa" w:w="4464"/>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6"/>
                <w:szCs w:val="22"/>
                <w:lang w:val="en-US" w:eastAsia="en-US" w:bidi="ar-SA"/>
              </w:rPr>
              <w:t>Preterm birth</w:t>
            </w:r>
          </w:p>
        </w:tc>
        <w:tc>
          <w:tcPr>
            <w:tcW w:type="dxa" w:w="144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84</w:t>
            </w:r>
          </w:p>
        </w:tc>
        <w:tc>
          <w:tcPr>
            <w:tcW w:type="dxa" w:w="144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6085</w:t>
            </w:r>
          </w:p>
        </w:tc>
        <w:tc>
          <w:tcPr>
            <w:tcW w:type="dxa" w:w="144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1.38%</w:t>
            </w:r>
          </w:p>
        </w:tc>
      </w:tr>
      <w:tr>
        <w:trPr/>
        <w:tc>
          <w:tcPr>
            <w:tcW w:type="dxa" w:w="4464"/>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6"/>
                <w:szCs w:val="22"/>
                <w:lang w:val="en-US" w:eastAsia="en-US" w:bidi="ar-SA"/>
              </w:rPr>
              <w:t>Low birth weight</w:t>
            </w:r>
          </w:p>
        </w:tc>
        <w:tc>
          <w:tcPr>
            <w:tcW w:type="dxa" w:w="144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236</w:t>
            </w:r>
          </w:p>
        </w:tc>
        <w:tc>
          <w:tcPr>
            <w:tcW w:type="dxa" w:w="144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6085</w:t>
            </w:r>
          </w:p>
        </w:tc>
        <w:tc>
          <w:tcPr>
            <w:tcW w:type="dxa" w:w="144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3.88%</w:t>
            </w:r>
          </w:p>
        </w:tc>
      </w:tr>
      <w:tr>
        <w:trPr/>
        <w:tc>
          <w:tcPr>
            <w:tcW w:type="dxa" w:w="4464"/>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6"/>
                <w:szCs w:val="22"/>
                <w:lang w:val="en-US" w:eastAsia="en-US" w:bidi="ar-SA"/>
              </w:rPr>
              <w:t>Asthma severity</w:t>
            </w:r>
          </w:p>
        </w:tc>
        <w:tc>
          <w:tcPr>
            <w:tcW w:type="dxa" w:w="144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9</w:t>
            </w:r>
          </w:p>
        </w:tc>
        <w:tc>
          <w:tcPr>
            <w:tcW w:type="dxa" w:w="144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6085</w:t>
            </w:r>
          </w:p>
        </w:tc>
        <w:tc>
          <w:tcPr>
            <w:tcW w:type="dxa" w:w="144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0.15%</w:t>
            </w:r>
          </w:p>
        </w:tc>
      </w:tr>
      <w:tr>
        <w:trPr/>
        <w:tc>
          <w:tcPr>
            <w:tcW w:type="dxa" w:w="4464"/>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6"/>
                <w:szCs w:val="22"/>
                <w:lang w:val="en-US" w:eastAsia="en-US" w:bidi="ar-SA"/>
              </w:rPr>
              <w:t>BMI category</w:t>
            </w:r>
          </w:p>
        </w:tc>
        <w:tc>
          <w:tcPr>
            <w:tcW w:type="dxa" w:w="144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273</w:t>
            </w:r>
          </w:p>
        </w:tc>
        <w:tc>
          <w:tcPr>
            <w:tcW w:type="dxa" w:w="144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6085</w:t>
            </w:r>
          </w:p>
        </w:tc>
        <w:tc>
          <w:tcPr>
            <w:tcW w:type="dxa" w:w="144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4.49%</w:t>
            </w:r>
          </w:p>
        </w:tc>
      </w:tr>
      <w:tr>
        <w:trPr/>
        <w:tc>
          <w:tcPr>
            <w:tcW w:type="dxa" w:w="4464"/>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6"/>
                <w:szCs w:val="22"/>
                <w:lang w:val="en-US" w:eastAsia="en-US" w:bidi="ar-SA"/>
              </w:rPr>
              <w:t>Multimorbidity</w:t>
            </w:r>
          </w:p>
        </w:tc>
        <w:tc>
          <w:tcPr>
            <w:tcW w:type="dxa" w:w="144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0</w:t>
            </w:r>
          </w:p>
        </w:tc>
        <w:tc>
          <w:tcPr>
            <w:tcW w:type="dxa" w:w="144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6085</w:t>
            </w:r>
          </w:p>
        </w:tc>
        <w:tc>
          <w:tcPr>
            <w:tcW w:type="dxa" w:w="144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0.00%</w:t>
            </w:r>
          </w:p>
        </w:tc>
      </w:tr>
    </w:tbl>
    <w:p>
      <w:pPr>
        <w:pStyle w:val="Normal"/>
        <w:spacing w:line="480" w:lineRule="auto"/>
      </w:pPr>
      <w:r>
        <w:rPr>
          <w:rFonts w:ascii="Times New Roman" w:hAnsi="Times New Roman" w:eastAsia="Times New Roman"/>
          <w:sz w:val="21"/>
          <w:szCs w:val="22"/>
          <w:lang w:val="en-US" w:eastAsia="en-US" w:bidi="ar-SA"/>
        </w:rPr>
        <w:br w:type="page"/>
      </w:r>
    </w:p>
    <w:p>
      <w:pPr>
        <w:pStyle w:val="Normal"/>
        <w:keepNext/>
        <w:keepLines/>
        <w:widowControl/>
        <w:spacing w:before="120" w:after="80" w:line="480" w:lineRule="auto"/>
        <w:jc w:val="left"/>
      </w:pPr>
      <w:r>
        <w:rPr>
          <w:rFonts w:ascii="Times New Roman" w:hAnsi="Times New Roman" w:eastAsia="Times New Roman" w:cs="Times New Roman"/>
          <w:b/>
          <w:color w:val="000000"/>
          <w:sz w:val="19"/>
          <w:szCs w:val="22"/>
          <w:lang w:val="en-US" w:eastAsia="en-US" w:bidi="ar-SA"/>
        </w:rPr>
        <w:t>Supplementary Table S3A. Distribution of guideline-count and exact adherence patterns.</w:t>
      </w:r>
    </w:p>
    <w:tbl>
      <w:tblPr>
        <w:tblStyle w:val="TableGrid"/>
        <w:tblW w:type="auto" w:w="0"/>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firstColumn="1" w:firstRow="1" w:lastColumn="0" w:lastRow="0" w:noHBand="0" w:noVBand="1" w:val="04A0"/>
      </w:tblPr>
      <w:tblGrid>
        <w:gridCol w:w="2592"/>
        <w:gridCol w:w="3888"/>
        <w:gridCol w:w="1440"/>
        <w:gridCol w:w="1655"/>
      </w:tblGrid>
      <w:tr>
        <w:trPr>
          <w:trHeight w:hRule="atLeast"/>
          <w:tblHeader/>
        </w:trPr>
        <w:tc>
          <w:tcPr>
            <w:tcW w:type="dxa" w:w="2592"/>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Arial" w:cs="Arial"/>
                <w:b/>
                <w:color w:val="000000"/>
                <w:sz w:val="16"/>
                <w:szCs w:val="22"/>
                <w:lang w:val="en-US" w:eastAsia="en-US" w:bidi="ar-SA"/>
              </w:rPr>
              <w:t>Distribution</w:t>
            </w:r>
          </w:p>
        </w:tc>
        <w:tc>
          <w:tcPr>
            <w:tcW w:type="dxa" w:w="3888"/>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Arial" w:cs="Arial"/>
                <w:b/>
                <w:color w:val="000000"/>
                <w:sz w:val="16"/>
                <w:szCs w:val="22"/>
                <w:lang w:val="en-US" w:eastAsia="en-US" w:bidi="ar-SA"/>
              </w:rPr>
              <w:t>Level</w:t>
            </w:r>
          </w:p>
        </w:tc>
        <w:tc>
          <w:tcPr>
            <w:tcW w:type="dxa" w:w="1440"/>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Arial" w:cs="Arial"/>
                <w:b/>
                <w:color w:val="000000"/>
                <w:sz w:val="16"/>
                <w:szCs w:val="22"/>
                <w:lang w:val="en-US" w:eastAsia="en-US" w:bidi="ar-SA"/>
              </w:rPr>
              <w:t>Unweighted n</w:t>
            </w:r>
          </w:p>
        </w:tc>
        <w:tc>
          <w:tcPr>
            <w:tcW w:type="dxa" w:w="1655"/>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Arial" w:cs="Arial"/>
                <w:b/>
                <w:color w:val="000000"/>
                <w:sz w:val="16"/>
                <w:szCs w:val="22"/>
                <w:lang w:val="en-US" w:eastAsia="en-US" w:bidi="ar-SA"/>
              </w:rPr>
              <w:t>Weighted % (SE)</w:t>
            </w:r>
          </w:p>
        </w:tc>
      </w:tr>
      <w:tr>
        <w:trPr/>
        <w:tc>
          <w:tcPr>
            <w:tcW w:type="dxa" w:w="2592"/>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6"/>
                <w:szCs w:val="22"/>
                <w:lang w:val="en-US" w:eastAsia="en-US" w:bidi="ar-SA"/>
              </w:rPr>
              <w:t>Number of guidelines met</w:t>
            </w:r>
          </w:p>
        </w:tc>
        <w:tc>
          <w:tcPr>
            <w:tcW w:type="dxa" w:w="3888"/>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0</w:t>
            </w:r>
          </w:p>
        </w:tc>
        <w:tc>
          <w:tcPr>
            <w:tcW w:type="dxa" w:w="144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1184</w:t>
            </w:r>
          </w:p>
        </w:tc>
        <w:tc>
          <w:tcPr>
            <w:tcW w:type="dxa" w:w="1655"/>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23.1 (1.2)</w:t>
            </w:r>
          </w:p>
        </w:tc>
      </w:tr>
      <w:tr>
        <w:trPr/>
        <w:tc>
          <w:tcPr>
            <w:tcW w:type="dxa" w:w="2592"/>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6"/>
                <w:szCs w:val="22"/>
                <w:lang w:val="en-US" w:eastAsia="en-US" w:bidi="ar-SA"/>
              </w:rPr>
              <w:t>Number of guidelines met</w:t>
            </w:r>
          </w:p>
        </w:tc>
        <w:tc>
          <w:tcPr>
            <w:tcW w:type="dxa" w:w="3888"/>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1</w:t>
            </w:r>
          </w:p>
        </w:tc>
        <w:tc>
          <w:tcPr>
            <w:tcW w:type="dxa" w:w="144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2554</w:t>
            </w:r>
          </w:p>
        </w:tc>
        <w:tc>
          <w:tcPr>
            <w:tcW w:type="dxa" w:w="1655"/>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42.2 (1.3)</w:t>
            </w:r>
          </w:p>
        </w:tc>
      </w:tr>
      <w:tr>
        <w:trPr/>
        <w:tc>
          <w:tcPr>
            <w:tcW w:type="dxa" w:w="2592"/>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6"/>
                <w:szCs w:val="22"/>
                <w:lang w:val="en-US" w:eastAsia="en-US" w:bidi="ar-SA"/>
              </w:rPr>
              <w:t>Number of guidelines met</w:t>
            </w:r>
          </w:p>
        </w:tc>
        <w:tc>
          <w:tcPr>
            <w:tcW w:type="dxa" w:w="3888"/>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2</w:t>
            </w:r>
          </w:p>
        </w:tc>
        <w:tc>
          <w:tcPr>
            <w:tcW w:type="dxa" w:w="144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1767</w:t>
            </w:r>
          </w:p>
        </w:tc>
        <w:tc>
          <w:tcPr>
            <w:tcW w:type="dxa" w:w="1655"/>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28.6 (1.1)</w:t>
            </w:r>
          </w:p>
        </w:tc>
      </w:tr>
      <w:tr>
        <w:trPr/>
        <w:tc>
          <w:tcPr>
            <w:tcW w:type="dxa" w:w="2592"/>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6"/>
                <w:szCs w:val="22"/>
                <w:lang w:val="en-US" w:eastAsia="en-US" w:bidi="ar-SA"/>
              </w:rPr>
              <w:t>Number of guidelines met</w:t>
            </w:r>
          </w:p>
        </w:tc>
        <w:tc>
          <w:tcPr>
            <w:tcW w:type="dxa" w:w="3888"/>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3</w:t>
            </w:r>
          </w:p>
        </w:tc>
        <w:tc>
          <w:tcPr>
            <w:tcW w:type="dxa" w:w="144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433</w:t>
            </w:r>
          </w:p>
        </w:tc>
        <w:tc>
          <w:tcPr>
            <w:tcW w:type="dxa" w:w="1655"/>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6.1 (0.5)</w:t>
            </w:r>
          </w:p>
        </w:tc>
      </w:tr>
      <w:tr>
        <w:trPr/>
        <w:tc>
          <w:tcPr>
            <w:tcW w:type="dxa" w:w="2592"/>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6"/>
                <w:szCs w:val="22"/>
                <w:lang w:val="en-US" w:eastAsia="en-US" w:bidi="ar-SA"/>
              </w:rPr>
              <w:t>Exact guideline combination</w:t>
            </w:r>
          </w:p>
        </w:tc>
        <w:tc>
          <w:tcPr>
            <w:tcW w:type="dxa" w:w="3888"/>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None</w:t>
            </w:r>
          </w:p>
        </w:tc>
        <w:tc>
          <w:tcPr>
            <w:tcW w:type="dxa" w:w="144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1184</w:t>
            </w:r>
          </w:p>
        </w:tc>
        <w:tc>
          <w:tcPr>
            <w:tcW w:type="dxa" w:w="1655"/>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23.1 (1.2)</w:t>
            </w:r>
          </w:p>
        </w:tc>
      </w:tr>
      <w:tr>
        <w:trPr/>
        <w:tc>
          <w:tcPr>
            <w:tcW w:type="dxa" w:w="2592"/>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6"/>
                <w:szCs w:val="22"/>
                <w:lang w:val="en-US" w:eastAsia="en-US" w:bidi="ar-SA"/>
              </w:rPr>
              <w:t>Exact guideline combination</w:t>
            </w:r>
          </w:p>
        </w:tc>
        <w:tc>
          <w:tcPr>
            <w:tcW w:type="dxa" w:w="3888"/>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Physical activity only</w:t>
            </w:r>
          </w:p>
        </w:tc>
        <w:tc>
          <w:tcPr>
            <w:tcW w:type="dxa" w:w="144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178</w:t>
            </w:r>
          </w:p>
        </w:tc>
        <w:tc>
          <w:tcPr>
            <w:tcW w:type="dxa" w:w="1655"/>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3.6 (0.5)</w:t>
            </w:r>
          </w:p>
        </w:tc>
      </w:tr>
      <w:tr>
        <w:trPr/>
        <w:tc>
          <w:tcPr>
            <w:tcW w:type="dxa" w:w="2592"/>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6"/>
                <w:szCs w:val="22"/>
                <w:lang w:val="en-US" w:eastAsia="en-US" w:bidi="ar-SA"/>
              </w:rPr>
              <w:t>Exact guideline combination</w:t>
            </w:r>
          </w:p>
        </w:tc>
        <w:tc>
          <w:tcPr>
            <w:tcW w:type="dxa" w:w="3888"/>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Screen only</w:t>
            </w:r>
          </w:p>
        </w:tc>
        <w:tc>
          <w:tcPr>
            <w:tcW w:type="dxa" w:w="144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630</w:t>
            </w:r>
          </w:p>
        </w:tc>
        <w:tc>
          <w:tcPr>
            <w:tcW w:type="dxa" w:w="1655"/>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12.3 (1.0)</w:t>
            </w:r>
          </w:p>
        </w:tc>
      </w:tr>
      <w:tr>
        <w:trPr/>
        <w:tc>
          <w:tcPr>
            <w:tcW w:type="dxa" w:w="2592"/>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6"/>
                <w:szCs w:val="22"/>
                <w:lang w:val="en-US" w:eastAsia="en-US" w:bidi="ar-SA"/>
              </w:rPr>
              <w:t>Exact guideline combination</w:t>
            </w:r>
          </w:p>
        </w:tc>
        <w:tc>
          <w:tcPr>
            <w:tcW w:type="dxa" w:w="3888"/>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Sleep only</w:t>
            </w:r>
          </w:p>
        </w:tc>
        <w:tc>
          <w:tcPr>
            <w:tcW w:type="dxa" w:w="144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1746</w:t>
            </w:r>
          </w:p>
        </w:tc>
        <w:tc>
          <w:tcPr>
            <w:tcW w:type="dxa" w:w="1655"/>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26.2 (1.0)</w:t>
            </w:r>
          </w:p>
        </w:tc>
      </w:tr>
      <w:tr>
        <w:trPr/>
        <w:tc>
          <w:tcPr>
            <w:tcW w:type="dxa" w:w="2592"/>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6"/>
                <w:szCs w:val="22"/>
                <w:lang w:val="en-US" w:eastAsia="en-US" w:bidi="ar-SA"/>
              </w:rPr>
              <w:t>Exact guideline combination</w:t>
            </w:r>
          </w:p>
        </w:tc>
        <w:tc>
          <w:tcPr>
            <w:tcW w:type="dxa" w:w="3888"/>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Physical activity + screen</w:t>
            </w:r>
          </w:p>
        </w:tc>
        <w:tc>
          <w:tcPr>
            <w:tcW w:type="dxa" w:w="144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191</w:t>
            </w:r>
          </w:p>
        </w:tc>
        <w:tc>
          <w:tcPr>
            <w:tcW w:type="dxa" w:w="1655"/>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3.7 (0.5)</w:t>
            </w:r>
          </w:p>
        </w:tc>
      </w:tr>
      <w:tr>
        <w:trPr/>
        <w:tc>
          <w:tcPr>
            <w:tcW w:type="dxa" w:w="2592"/>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6"/>
                <w:szCs w:val="22"/>
                <w:lang w:val="en-US" w:eastAsia="en-US" w:bidi="ar-SA"/>
              </w:rPr>
              <w:t>Exact guideline combination</w:t>
            </w:r>
          </w:p>
        </w:tc>
        <w:tc>
          <w:tcPr>
            <w:tcW w:type="dxa" w:w="3888"/>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Physical activity + sleep</w:t>
            </w:r>
          </w:p>
        </w:tc>
        <w:tc>
          <w:tcPr>
            <w:tcW w:type="dxa" w:w="144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271</w:t>
            </w:r>
          </w:p>
        </w:tc>
        <w:tc>
          <w:tcPr>
            <w:tcW w:type="dxa" w:w="1655"/>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5.0 (0.5)</w:t>
            </w:r>
          </w:p>
        </w:tc>
      </w:tr>
      <w:tr>
        <w:trPr/>
        <w:tc>
          <w:tcPr>
            <w:tcW w:type="dxa" w:w="2592"/>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6"/>
                <w:szCs w:val="22"/>
                <w:lang w:val="en-US" w:eastAsia="en-US" w:bidi="ar-SA"/>
              </w:rPr>
              <w:t>Exact guideline combination</w:t>
            </w:r>
          </w:p>
        </w:tc>
        <w:tc>
          <w:tcPr>
            <w:tcW w:type="dxa" w:w="3888"/>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Screen + sleep</w:t>
            </w:r>
          </w:p>
        </w:tc>
        <w:tc>
          <w:tcPr>
            <w:tcW w:type="dxa" w:w="144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1305</w:t>
            </w:r>
          </w:p>
        </w:tc>
        <w:tc>
          <w:tcPr>
            <w:tcW w:type="dxa" w:w="1655"/>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19.9 (0.9)</w:t>
            </w:r>
          </w:p>
        </w:tc>
      </w:tr>
      <w:tr>
        <w:trPr/>
        <w:tc>
          <w:tcPr>
            <w:tcW w:type="dxa" w:w="2592"/>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6"/>
                <w:szCs w:val="22"/>
                <w:lang w:val="en-US" w:eastAsia="en-US" w:bidi="ar-SA"/>
              </w:rPr>
              <w:t>Exact guideline combination</w:t>
            </w:r>
          </w:p>
        </w:tc>
        <w:tc>
          <w:tcPr>
            <w:tcW w:type="dxa" w:w="3888"/>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All three</w:t>
            </w:r>
          </w:p>
        </w:tc>
        <w:tc>
          <w:tcPr>
            <w:tcW w:type="dxa" w:w="144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433</w:t>
            </w:r>
          </w:p>
        </w:tc>
        <w:tc>
          <w:tcPr>
            <w:tcW w:type="dxa" w:w="1655"/>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6.1 (0.5)</w:t>
            </w:r>
          </w:p>
        </w:tc>
      </w:tr>
    </w:tbl>
    <w:p>
      <w:pPr>
        <w:pStyle w:val="Normal"/>
        <w:keepNext/>
        <w:keepLines/>
        <w:widowControl/>
        <w:spacing w:before="120" w:after="80" w:line="480" w:lineRule="auto"/>
        <w:jc w:val="left"/>
      </w:pPr>
      <w:r>
        <w:rPr>
          <w:rFonts w:ascii="Times New Roman" w:hAnsi="Times New Roman" w:eastAsia="Times New Roman" w:cs="Times New Roman"/>
          <w:b/>
          <w:color w:val="000000"/>
          <w:sz w:val="19"/>
          <w:szCs w:val="22"/>
          <w:lang w:val="en-US" w:eastAsia="en-US" w:bidi="ar-SA"/>
        </w:rPr>
        <w:t>Supplementary Table S3B. Survey-weighted prevalence of meeting all three flourishing items.</w:t>
      </w:r>
    </w:p>
    <w:tbl>
      <w:tblPr>
        <w:tblStyle w:val="TableGrid"/>
        <w:tblW w:type="auto" w:w="0"/>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firstColumn="1" w:firstRow="1" w:lastColumn="0" w:lastRow="0" w:noHBand="0" w:noVBand="1" w:val="04A0"/>
      </w:tblPr>
      <w:tblGrid>
        <w:gridCol w:w="3600"/>
        <w:gridCol w:w="1440"/>
        <w:gridCol w:w="1440"/>
        <w:gridCol w:w="1944"/>
      </w:tblGrid>
      <w:tr>
        <w:trPr>
          <w:trHeight w:hRule="atLeast"/>
          <w:tblHeader/>
        </w:trPr>
        <w:tc>
          <w:tcPr>
            <w:tcW w:type="dxa" w:w="3600"/>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Arial" w:cs="Arial"/>
                <w:b/>
                <w:color w:val="000000"/>
                <w:sz w:val="16"/>
                <w:szCs w:val="22"/>
                <w:lang w:val="en-US" w:eastAsia="en-US" w:bidi="ar-SA"/>
              </w:rPr>
              <w:t>Movement-score group</w:t>
            </w:r>
          </w:p>
        </w:tc>
        <w:tc>
          <w:tcPr>
            <w:tcW w:type="dxa" w:w="1440"/>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Arial" w:cs="Arial"/>
                <w:b/>
                <w:color w:val="000000"/>
                <w:sz w:val="16"/>
                <w:szCs w:val="22"/>
                <w:lang w:val="en-US" w:eastAsia="en-US" w:bidi="ar-SA"/>
              </w:rPr>
              <w:t>Unweighted n</w:t>
            </w:r>
          </w:p>
        </w:tc>
        <w:tc>
          <w:tcPr>
            <w:tcW w:type="dxa" w:w="1440"/>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Arial" w:cs="Arial"/>
                <w:b/>
                <w:color w:val="000000"/>
                <w:sz w:val="16"/>
                <w:szCs w:val="22"/>
                <w:lang w:val="en-US" w:eastAsia="en-US" w:bidi="ar-SA"/>
              </w:rPr>
              <w:t>Flourishing n</w:t>
            </w:r>
          </w:p>
        </w:tc>
        <w:tc>
          <w:tcPr>
            <w:tcW w:type="dxa" w:w="1944"/>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Arial" w:cs="Arial"/>
                <w:b/>
                <w:color w:val="000000"/>
                <w:sz w:val="16"/>
                <w:szCs w:val="22"/>
                <w:lang w:val="en-US" w:eastAsia="en-US" w:bidi="ar-SA"/>
              </w:rPr>
              <w:t>Weighted % (SE)</w:t>
            </w:r>
          </w:p>
        </w:tc>
      </w:tr>
      <w:tr>
        <w:trPr/>
        <w:tc>
          <w:tcPr>
            <w:tcW w:type="dxa" w:w="3600"/>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6"/>
                <w:szCs w:val="22"/>
                <w:lang w:val="en-US" w:eastAsia="en-US" w:bidi="ar-SA"/>
              </w:rPr>
              <w:t>Overall</w:t>
            </w:r>
          </w:p>
        </w:tc>
        <w:tc>
          <w:tcPr>
            <w:tcW w:type="dxa" w:w="144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5936</w:t>
            </w:r>
          </w:p>
        </w:tc>
        <w:tc>
          <w:tcPr>
            <w:tcW w:type="dxa" w:w="144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3092</w:t>
            </w:r>
          </w:p>
        </w:tc>
        <w:tc>
          <w:tcPr>
            <w:tcW w:type="dxa" w:w="1944"/>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50.2 (1.3)</w:t>
            </w:r>
          </w:p>
        </w:tc>
      </w:tr>
      <w:tr>
        <w:trPr/>
        <w:tc>
          <w:tcPr>
            <w:tcW w:type="dxa" w:w="3600"/>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6"/>
                <w:szCs w:val="22"/>
                <w:lang w:val="en-US" w:eastAsia="en-US" w:bidi="ar-SA"/>
              </w:rPr>
              <w:t>0</w:t>
            </w:r>
          </w:p>
        </w:tc>
        <w:tc>
          <w:tcPr>
            <w:tcW w:type="dxa" w:w="144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1183</w:t>
            </w:r>
          </w:p>
        </w:tc>
        <w:tc>
          <w:tcPr>
            <w:tcW w:type="dxa" w:w="144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469</w:t>
            </w:r>
          </w:p>
        </w:tc>
        <w:tc>
          <w:tcPr>
            <w:tcW w:type="dxa" w:w="1944"/>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40.1 (3.1)</w:t>
            </w:r>
          </w:p>
        </w:tc>
      </w:tr>
      <w:tr>
        <w:trPr/>
        <w:tc>
          <w:tcPr>
            <w:tcW w:type="dxa" w:w="3600"/>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6"/>
                <w:szCs w:val="22"/>
                <w:lang w:val="en-US" w:eastAsia="en-US" w:bidi="ar-SA"/>
              </w:rPr>
              <w:t>1</w:t>
            </w:r>
          </w:p>
        </w:tc>
        <w:tc>
          <w:tcPr>
            <w:tcW w:type="dxa" w:w="144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2554</w:t>
            </w:r>
          </w:p>
        </w:tc>
        <w:tc>
          <w:tcPr>
            <w:tcW w:type="dxa" w:w="144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1266</w:t>
            </w:r>
          </w:p>
        </w:tc>
        <w:tc>
          <w:tcPr>
            <w:tcW w:type="dxa" w:w="1944"/>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48.1 (1.9)</w:t>
            </w:r>
          </w:p>
        </w:tc>
      </w:tr>
      <w:tr>
        <w:trPr/>
        <w:tc>
          <w:tcPr>
            <w:tcW w:type="dxa" w:w="3600"/>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6"/>
                <w:szCs w:val="22"/>
                <w:lang w:val="en-US" w:eastAsia="en-US" w:bidi="ar-SA"/>
              </w:rPr>
              <w:t>2</w:t>
            </w:r>
          </w:p>
        </w:tc>
        <w:tc>
          <w:tcPr>
            <w:tcW w:type="dxa" w:w="144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1767</w:t>
            </w:r>
          </w:p>
        </w:tc>
        <w:tc>
          <w:tcPr>
            <w:tcW w:type="dxa" w:w="144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1071</w:t>
            </w:r>
          </w:p>
        </w:tc>
        <w:tc>
          <w:tcPr>
            <w:tcW w:type="dxa" w:w="1944"/>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57.9 (2.1)</w:t>
            </w:r>
          </w:p>
        </w:tc>
      </w:tr>
      <w:tr>
        <w:trPr/>
        <w:tc>
          <w:tcPr>
            <w:tcW w:type="dxa" w:w="3600"/>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6"/>
                <w:szCs w:val="22"/>
                <w:lang w:val="en-US" w:eastAsia="en-US" w:bidi="ar-SA"/>
              </w:rPr>
              <w:t>3</w:t>
            </w:r>
          </w:p>
        </w:tc>
        <w:tc>
          <w:tcPr>
            <w:tcW w:type="dxa" w:w="144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432</w:t>
            </w:r>
          </w:p>
        </w:tc>
        <w:tc>
          <w:tcPr>
            <w:tcW w:type="dxa" w:w="144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286</w:t>
            </w:r>
          </w:p>
        </w:tc>
        <w:tc>
          <w:tcPr>
            <w:tcW w:type="dxa" w:w="1944"/>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65.9 (3.8)</w:t>
            </w:r>
          </w:p>
        </w:tc>
      </w:tr>
    </w:tbl>
    <w:p>
      <w:pPr>
        <w:pStyle w:val="Normal"/>
        <w:spacing w:line="480" w:lineRule="auto"/>
      </w:pPr>
      <w:r>
        <w:rPr>
          <w:rFonts w:ascii="Times New Roman" w:hAnsi="Times New Roman" w:eastAsia="Times New Roman"/>
          <w:sz w:val="21"/>
          <w:szCs w:val="22"/>
          <w:lang w:val="en-US" w:eastAsia="en-US" w:bidi="ar-SA"/>
        </w:rPr>
        <w:br w:type="page"/>
      </w:r>
    </w:p>
    <w:p>
      <w:pPr>
        <w:pStyle w:val="Normal"/>
        <w:keepNext/>
        <w:keepLines/>
        <w:widowControl/>
        <w:spacing w:before="120" w:after="80" w:line="480" w:lineRule="auto"/>
        <w:jc w:val="left"/>
      </w:pPr>
      <w:r>
        <w:rPr>
          <w:rFonts w:ascii="Times New Roman" w:hAnsi="Times New Roman" w:eastAsia="Times New Roman" w:cs="Times New Roman"/>
          <w:b/>
          <w:color w:val="000000"/>
          <w:sz w:val="19"/>
          <w:szCs w:val="22"/>
          <w:lang w:val="en-US" w:eastAsia="en-US" w:bidi="ar-SA"/>
        </w:rPr>
        <w:t>Supplementary Table S4. Survey-year-specific estimates and formal year interaction.</w:t>
      </w:r>
    </w:p>
    <w:tbl>
      <w:tblPr>
        <w:tblStyle w:val="TableGrid"/>
        <w:tblW w:type="auto" w:w="0"/>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firstColumn="1" w:firstRow="1" w:lastColumn="0" w:lastRow="0" w:noHBand="0" w:noVBand="1" w:val="04A0"/>
      </w:tblPr>
      <w:tblGrid>
        <w:gridCol w:w="3168"/>
        <w:gridCol w:w="1728"/>
        <w:gridCol w:w="2520"/>
        <w:gridCol w:w="1152"/>
        <w:gridCol w:w="1152"/>
      </w:tblGrid>
      <w:tr>
        <w:trPr>
          <w:trHeight w:hRule="atLeast"/>
          <w:tblHeader/>
        </w:trPr>
        <w:tc>
          <w:tcPr>
            <w:tcW w:type="dxa" w:w="3168"/>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Arial" w:cs="Arial"/>
                <w:b/>
                <w:color w:val="000000"/>
                <w:sz w:val="16"/>
                <w:szCs w:val="22"/>
                <w:lang w:val="en-US" w:eastAsia="en-US" w:bidi="ar-SA"/>
              </w:rPr>
              <w:t>Period</w:t>
            </w:r>
          </w:p>
        </w:tc>
        <w:tc>
          <w:tcPr>
            <w:tcW w:type="dxa" w:w="1728"/>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Arial" w:cs="Arial"/>
                <w:b/>
                <w:color w:val="000000"/>
                <w:sz w:val="16"/>
                <w:szCs w:val="22"/>
                <w:lang w:val="en-US" w:eastAsia="en-US" w:bidi="ar-SA"/>
              </w:rPr>
              <w:t>Measure</w:t>
            </w:r>
          </w:p>
        </w:tc>
        <w:tc>
          <w:tcPr>
            <w:tcW w:type="dxa" w:w="2520"/>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Arial" w:cs="Arial"/>
                <w:b/>
                <w:color w:val="000000"/>
                <w:sz w:val="16"/>
                <w:szCs w:val="22"/>
                <w:lang w:val="en-US" w:eastAsia="en-US" w:bidi="ar-SA"/>
              </w:rPr>
              <w:t>Estimate (95% CI)</w:t>
            </w:r>
          </w:p>
        </w:tc>
        <w:tc>
          <w:tcPr>
            <w:tcW w:type="dxa" w:w="1152"/>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Arial" w:cs="Arial"/>
                <w:b/>
                <w:color w:val="000000"/>
                <w:sz w:val="16"/>
                <w:szCs w:val="22"/>
                <w:lang w:val="en-US" w:eastAsia="en-US" w:bidi="ar-SA"/>
              </w:rPr>
              <w:t>P value</w:t>
            </w:r>
          </w:p>
        </w:tc>
        <w:tc>
          <w:tcPr>
            <w:tcW w:type="dxa" w:w="1152"/>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Arial" w:cs="Arial"/>
                <w:b/>
                <w:color w:val="000000"/>
                <w:sz w:val="16"/>
                <w:szCs w:val="22"/>
                <w:lang w:val="en-US" w:eastAsia="en-US" w:bidi="ar-SA"/>
              </w:rPr>
              <w:t>n</w:t>
            </w:r>
          </w:p>
        </w:tc>
      </w:tr>
      <w:tr>
        <w:trPr/>
        <w:tc>
          <w:tcPr>
            <w:tcW w:type="dxa" w:w="3168"/>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6"/>
                <w:szCs w:val="22"/>
                <w:lang w:val="en-US" w:eastAsia="en-US" w:bidi="ar-SA"/>
              </w:rPr>
              <w:t>2023</w:t>
            </w:r>
          </w:p>
        </w:tc>
        <w:tc>
          <w:tcPr>
            <w:tcW w:type="dxa" w:w="1728"/>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OR</w:t>
            </w:r>
          </w:p>
        </w:tc>
        <w:tc>
          <w:tcPr>
            <w:tcW w:type="dxa" w:w="252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1.31 (1.09–1.57)</w:t>
            </w:r>
          </w:p>
        </w:tc>
        <w:tc>
          <w:tcPr>
            <w:tcW w:type="dxa" w:w="1152"/>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.004</w:t>
            </w:r>
          </w:p>
        </w:tc>
        <w:tc>
          <w:tcPr>
            <w:tcW w:type="dxa" w:w="1152"/>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2575</w:t>
            </w:r>
          </w:p>
        </w:tc>
      </w:tr>
      <w:tr>
        <w:trPr/>
        <w:tc>
          <w:tcPr>
            <w:tcW w:type="dxa" w:w="3168"/>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6"/>
                <w:szCs w:val="22"/>
                <w:lang w:val="en-US" w:eastAsia="en-US" w:bidi="ar-SA"/>
              </w:rPr>
              <w:t>2024</w:t>
            </w:r>
          </w:p>
        </w:tc>
        <w:tc>
          <w:tcPr>
            <w:tcW w:type="dxa" w:w="1728"/>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OR</w:t>
            </w:r>
          </w:p>
        </w:tc>
        <w:tc>
          <w:tcPr>
            <w:tcW w:type="dxa" w:w="252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1.61 (1.37–1.88)</w:t>
            </w:r>
          </w:p>
        </w:tc>
        <w:tc>
          <w:tcPr>
            <w:tcW w:type="dxa" w:w="1152"/>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&lt;.001</w:t>
            </w:r>
          </w:p>
        </w:tc>
        <w:tc>
          <w:tcPr>
            <w:tcW w:type="dxa" w:w="1152"/>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3072</w:t>
            </w:r>
          </w:p>
        </w:tc>
      </w:tr>
      <w:tr>
        <w:trPr/>
        <w:tc>
          <w:tcPr>
            <w:tcW w:type="dxa" w:w="3168"/>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6"/>
                <w:szCs w:val="22"/>
                <w:lang w:val="en-US" w:eastAsia="en-US" w:bidi="ar-SA"/>
              </w:rPr>
              <w:t>Survey year × guideline-count interaction</w:t>
            </w:r>
          </w:p>
        </w:tc>
        <w:tc>
          <w:tcPr>
            <w:tcW w:type="dxa" w:w="1728"/>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Interaction OR</w:t>
            </w:r>
          </w:p>
        </w:tc>
        <w:tc>
          <w:tcPr>
            <w:tcW w:type="dxa" w:w="252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1.20 (0.95–1.52)</w:t>
            </w:r>
          </w:p>
        </w:tc>
        <w:tc>
          <w:tcPr>
            <w:tcW w:type="dxa" w:w="1152"/>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.134</w:t>
            </w:r>
          </w:p>
        </w:tc>
        <w:tc>
          <w:tcPr>
            <w:tcW w:type="dxa" w:w="1152"/>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5647</w:t>
            </w:r>
          </w:p>
        </w:tc>
      </w:tr>
    </w:tbl>
    <w:p>
      <w:pPr>
        <w:pStyle w:val="Normal"/>
        <w:keepNext/>
        <w:keepLines/>
        <w:widowControl/>
        <w:spacing w:before="120" w:after="80" w:line="480" w:lineRule="auto"/>
        <w:jc w:val="left"/>
      </w:pPr>
      <w:r>
        <w:rPr>
          <w:rFonts w:ascii="Times New Roman" w:hAnsi="Times New Roman" w:eastAsia="Times New Roman" w:cs="Times New Roman"/>
          <w:b/>
          <w:color w:val="000000"/>
          <w:sz w:val="19"/>
          <w:szCs w:val="22"/>
          <w:lang w:val="en-US" w:eastAsia="en-US" w:bidi="ar-SA"/>
        </w:rPr>
        <w:t>Supplementary Table S5. Subgroup-specific associations and interaction tests.</w:t>
      </w:r>
    </w:p>
    <w:tbl>
      <w:tblPr>
        <w:tblStyle w:val="TableGrid"/>
        <w:tblW w:type="auto" w:w="0"/>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firstColumn="1" w:firstRow="1" w:lastColumn="0" w:lastRow="0" w:noHBand="0" w:noVBand="1" w:val="04A0"/>
      </w:tblPr>
      <w:tblGrid>
        <w:gridCol w:w="1584"/>
        <w:gridCol w:w="1800"/>
        <w:gridCol w:w="2088"/>
        <w:gridCol w:w="1007"/>
        <w:gridCol w:w="1224"/>
        <w:gridCol w:w="1224"/>
        <w:gridCol w:w="1007"/>
      </w:tblGrid>
      <w:tr>
        <w:trPr>
          <w:trHeight w:hRule="atLeast"/>
          <w:tblHeader/>
        </w:trPr>
        <w:tc>
          <w:tcPr>
            <w:tcW w:type="dxa" w:w="1584"/>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Arial" w:cs="Arial"/>
                <w:b/>
                <w:color w:val="000000"/>
                <w:sz w:val="15"/>
                <w:szCs w:val="22"/>
                <w:lang w:val="en-US" w:eastAsia="en-US" w:bidi="ar-SA"/>
              </w:rPr>
              <w:t>Subgroup</w:t>
            </w:r>
          </w:p>
        </w:tc>
        <w:tc>
          <w:tcPr>
            <w:tcW w:type="dxa" w:w="1800"/>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Arial" w:cs="Arial"/>
                <w:b/>
                <w:color w:val="000000"/>
                <w:sz w:val="15"/>
                <w:szCs w:val="22"/>
                <w:lang w:val="en-US" w:eastAsia="en-US" w:bidi="ar-SA"/>
              </w:rPr>
              <w:t>Level</w:t>
            </w:r>
          </w:p>
        </w:tc>
        <w:tc>
          <w:tcPr>
            <w:tcW w:type="dxa" w:w="2088"/>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Arial" w:cs="Arial"/>
                <w:b/>
                <w:color w:val="000000"/>
                <w:sz w:val="15"/>
                <w:szCs w:val="22"/>
                <w:lang w:val="en-US" w:eastAsia="en-US" w:bidi="ar-SA"/>
              </w:rPr>
              <w:t>aOR (95% CI)</w:t>
            </w:r>
          </w:p>
        </w:tc>
        <w:tc>
          <w:tcPr>
            <w:tcW w:type="dxa" w:w="1007"/>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Arial" w:cs="Arial"/>
                <w:b/>
                <w:color w:val="000000"/>
                <w:sz w:val="15"/>
                <w:szCs w:val="22"/>
                <w:lang w:val="en-US" w:eastAsia="en-US" w:bidi="ar-SA"/>
              </w:rPr>
              <w:t>P value</w:t>
            </w:r>
          </w:p>
        </w:tc>
        <w:tc>
          <w:tcPr>
            <w:tcW w:type="dxa" w:w="1224"/>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Arial" w:cs="Arial"/>
                <w:b/>
                <w:color w:val="000000"/>
                <w:sz w:val="15"/>
                <w:szCs w:val="22"/>
                <w:lang w:val="en-US" w:eastAsia="en-US" w:bidi="ar-SA"/>
              </w:rPr>
              <w:t>Interaction P</w:t>
            </w:r>
          </w:p>
        </w:tc>
        <w:tc>
          <w:tcPr>
            <w:tcW w:type="dxa" w:w="1224"/>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Arial" w:cs="Arial"/>
                <w:b/>
                <w:color w:val="000000"/>
                <w:sz w:val="15"/>
                <w:szCs w:val="22"/>
                <w:lang w:val="en-US" w:eastAsia="en-US" w:bidi="ar-SA"/>
              </w:rPr>
              <w:t>Interaction q</w:t>
            </w:r>
          </w:p>
        </w:tc>
        <w:tc>
          <w:tcPr>
            <w:tcW w:type="dxa" w:w="1007"/>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Arial" w:cs="Arial"/>
                <w:b/>
                <w:color w:val="000000"/>
                <w:sz w:val="15"/>
                <w:szCs w:val="22"/>
                <w:lang w:val="en-US" w:eastAsia="en-US" w:bidi="ar-SA"/>
              </w:rPr>
              <w:t>n</w:t>
            </w:r>
          </w:p>
        </w:tc>
      </w:tr>
      <w:tr>
        <w:trPr/>
        <w:tc>
          <w:tcPr>
            <w:tcW w:type="dxa" w:w="1584"/>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5"/>
                <w:szCs w:val="22"/>
                <w:lang w:val="en-US" w:eastAsia="en-US" w:bidi="ar-SA"/>
              </w:rPr>
              <w:t>Age group</w:t>
            </w:r>
          </w:p>
        </w:tc>
        <w:tc>
          <w:tcPr>
            <w:tcW w:type="dxa" w:w="180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5"/>
                <w:szCs w:val="22"/>
                <w:lang w:val="en-US" w:eastAsia="en-US" w:bidi="ar-SA"/>
              </w:rPr>
              <w:t>6-11 years</w:t>
            </w:r>
          </w:p>
        </w:tc>
        <w:tc>
          <w:tcPr>
            <w:tcW w:type="dxa" w:w="2088"/>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5"/>
                <w:szCs w:val="22"/>
                <w:lang w:val="en-US" w:eastAsia="en-US" w:bidi="ar-SA"/>
              </w:rPr>
              <w:t>1.42 (1.18–1.71)</w:t>
            </w:r>
          </w:p>
        </w:tc>
        <w:tc>
          <w:tcPr>
            <w:tcW w:type="dxa" w:w="1007"/>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5"/>
                <w:szCs w:val="22"/>
                <w:lang w:val="en-US" w:eastAsia="en-US" w:bidi="ar-SA"/>
              </w:rPr>
              <w:t>&lt;.001</w:t>
            </w:r>
          </w:p>
        </w:tc>
        <w:tc>
          <w:tcPr>
            <w:tcW w:type="dxa" w:w="1224"/>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5"/>
                <w:szCs w:val="22"/>
                <w:lang w:val="en-US" w:eastAsia="en-US" w:bidi="ar-SA"/>
              </w:rPr>
              <w:t>.434</w:t>
            </w:r>
          </w:p>
        </w:tc>
        <w:tc>
          <w:tcPr>
            <w:tcW w:type="dxa" w:w="1224"/>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5"/>
                <w:szCs w:val="22"/>
                <w:lang w:val="en-US" w:eastAsia="en-US" w:bidi="ar-SA"/>
              </w:rPr>
              <w:t>.690</w:t>
            </w:r>
          </w:p>
        </w:tc>
        <w:tc>
          <w:tcPr>
            <w:tcW w:type="dxa" w:w="1007"/>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5"/>
                <w:szCs w:val="22"/>
                <w:lang w:val="en-US" w:eastAsia="en-US" w:bidi="ar-SA"/>
              </w:rPr>
              <w:t>2237</w:t>
            </w:r>
          </w:p>
        </w:tc>
      </w:tr>
      <w:tr>
        <w:trPr/>
        <w:tc>
          <w:tcPr>
            <w:tcW w:type="dxa" w:w="1584"/>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5"/>
                <w:szCs w:val="22"/>
                <w:lang w:val="en-US" w:eastAsia="en-US" w:bidi="ar-SA"/>
              </w:rPr>
              <w:t>Age group</w:t>
            </w:r>
          </w:p>
        </w:tc>
        <w:tc>
          <w:tcPr>
            <w:tcW w:type="dxa" w:w="180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5"/>
                <w:szCs w:val="22"/>
                <w:lang w:val="en-US" w:eastAsia="en-US" w:bidi="ar-SA"/>
              </w:rPr>
              <w:t>12-17 years</w:t>
            </w:r>
          </w:p>
        </w:tc>
        <w:tc>
          <w:tcPr>
            <w:tcW w:type="dxa" w:w="2088"/>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5"/>
                <w:szCs w:val="22"/>
                <w:lang w:val="en-US" w:eastAsia="en-US" w:bidi="ar-SA"/>
              </w:rPr>
              <w:t>1.50 (1.27–1.78)</w:t>
            </w:r>
          </w:p>
        </w:tc>
        <w:tc>
          <w:tcPr>
            <w:tcW w:type="dxa" w:w="1007"/>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5"/>
                <w:szCs w:val="22"/>
                <w:lang w:val="en-US" w:eastAsia="en-US" w:bidi="ar-SA"/>
              </w:rPr>
              <w:t>&lt;.001</w:t>
            </w:r>
          </w:p>
        </w:tc>
        <w:tc>
          <w:tcPr>
            <w:tcW w:type="dxa" w:w="1224"/>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5"/>
                <w:szCs w:val="22"/>
                <w:lang w:val="en-US" w:eastAsia="en-US" w:bidi="ar-SA"/>
              </w:rPr>
              <w:t>.434</w:t>
            </w:r>
          </w:p>
        </w:tc>
        <w:tc>
          <w:tcPr>
            <w:tcW w:type="dxa" w:w="1224"/>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5"/>
                <w:szCs w:val="22"/>
                <w:lang w:val="en-US" w:eastAsia="en-US" w:bidi="ar-SA"/>
              </w:rPr>
              <w:t>.690</w:t>
            </w:r>
          </w:p>
        </w:tc>
        <w:tc>
          <w:tcPr>
            <w:tcW w:type="dxa" w:w="1007"/>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5"/>
                <w:szCs w:val="22"/>
                <w:lang w:val="en-US" w:eastAsia="en-US" w:bidi="ar-SA"/>
              </w:rPr>
              <w:t>3410</w:t>
            </w:r>
          </w:p>
        </w:tc>
      </w:tr>
      <w:tr>
        <w:trPr/>
        <w:tc>
          <w:tcPr>
            <w:tcW w:type="dxa" w:w="1584"/>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5"/>
                <w:szCs w:val="22"/>
                <w:lang w:val="en-US" w:eastAsia="en-US" w:bidi="ar-SA"/>
              </w:rPr>
              <w:t>Sex</w:t>
            </w:r>
          </w:p>
        </w:tc>
        <w:tc>
          <w:tcPr>
            <w:tcW w:type="dxa" w:w="180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5"/>
                <w:szCs w:val="22"/>
                <w:lang w:val="en-US" w:eastAsia="en-US" w:bidi="ar-SA"/>
              </w:rPr>
              <w:t>Male</w:t>
            </w:r>
          </w:p>
        </w:tc>
        <w:tc>
          <w:tcPr>
            <w:tcW w:type="dxa" w:w="2088"/>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5"/>
                <w:szCs w:val="22"/>
                <w:lang w:val="en-US" w:eastAsia="en-US" w:bidi="ar-SA"/>
              </w:rPr>
              <w:t>1.52 (1.31–1.76)</w:t>
            </w:r>
          </w:p>
        </w:tc>
        <w:tc>
          <w:tcPr>
            <w:tcW w:type="dxa" w:w="1007"/>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5"/>
                <w:szCs w:val="22"/>
                <w:lang w:val="en-US" w:eastAsia="en-US" w:bidi="ar-SA"/>
              </w:rPr>
              <w:t>&lt;.001</w:t>
            </w:r>
          </w:p>
        </w:tc>
        <w:tc>
          <w:tcPr>
            <w:tcW w:type="dxa" w:w="1224"/>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5"/>
                <w:szCs w:val="22"/>
                <w:lang w:val="en-US" w:eastAsia="en-US" w:bidi="ar-SA"/>
              </w:rPr>
              <w:t>.589</w:t>
            </w:r>
          </w:p>
        </w:tc>
        <w:tc>
          <w:tcPr>
            <w:tcW w:type="dxa" w:w="1224"/>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5"/>
                <w:szCs w:val="22"/>
                <w:lang w:val="en-US" w:eastAsia="en-US" w:bidi="ar-SA"/>
              </w:rPr>
              <w:t>.690</w:t>
            </w:r>
          </w:p>
        </w:tc>
        <w:tc>
          <w:tcPr>
            <w:tcW w:type="dxa" w:w="1007"/>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5"/>
                <w:szCs w:val="22"/>
                <w:lang w:val="en-US" w:eastAsia="en-US" w:bidi="ar-SA"/>
              </w:rPr>
              <w:t>3139</w:t>
            </w:r>
          </w:p>
        </w:tc>
      </w:tr>
      <w:tr>
        <w:trPr/>
        <w:tc>
          <w:tcPr>
            <w:tcW w:type="dxa" w:w="1584"/>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5"/>
                <w:szCs w:val="22"/>
                <w:lang w:val="en-US" w:eastAsia="en-US" w:bidi="ar-SA"/>
              </w:rPr>
              <w:t>Sex</w:t>
            </w:r>
          </w:p>
        </w:tc>
        <w:tc>
          <w:tcPr>
            <w:tcW w:type="dxa" w:w="180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5"/>
                <w:szCs w:val="22"/>
                <w:lang w:val="en-US" w:eastAsia="en-US" w:bidi="ar-SA"/>
              </w:rPr>
              <w:t>Female</w:t>
            </w:r>
          </w:p>
        </w:tc>
        <w:tc>
          <w:tcPr>
            <w:tcW w:type="dxa" w:w="2088"/>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5"/>
                <w:szCs w:val="22"/>
                <w:lang w:val="en-US" w:eastAsia="en-US" w:bidi="ar-SA"/>
              </w:rPr>
              <w:t>1.33 (1.09–1.62)</w:t>
            </w:r>
          </w:p>
        </w:tc>
        <w:tc>
          <w:tcPr>
            <w:tcW w:type="dxa" w:w="1007"/>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5"/>
                <w:szCs w:val="22"/>
                <w:lang w:val="en-US" w:eastAsia="en-US" w:bidi="ar-SA"/>
              </w:rPr>
              <w:t>.005</w:t>
            </w:r>
          </w:p>
        </w:tc>
        <w:tc>
          <w:tcPr>
            <w:tcW w:type="dxa" w:w="1224"/>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5"/>
                <w:szCs w:val="22"/>
                <w:lang w:val="en-US" w:eastAsia="en-US" w:bidi="ar-SA"/>
              </w:rPr>
              <w:t>.589</w:t>
            </w:r>
          </w:p>
        </w:tc>
        <w:tc>
          <w:tcPr>
            <w:tcW w:type="dxa" w:w="1224"/>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5"/>
                <w:szCs w:val="22"/>
                <w:lang w:val="en-US" w:eastAsia="en-US" w:bidi="ar-SA"/>
              </w:rPr>
              <w:t>.690</w:t>
            </w:r>
          </w:p>
        </w:tc>
        <w:tc>
          <w:tcPr>
            <w:tcW w:type="dxa" w:w="1007"/>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5"/>
                <w:szCs w:val="22"/>
                <w:lang w:val="en-US" w:eastAsia="en-US" w:bidi="ar-SA"/>
              </w:rPr>
              <w:t>2508</w:t>
            </w:r>
          </w:p>
        </w:tc>
      </w:tr>
      <w:tr>
        <w:trPr/>
        <w:tc>
          <w:tcPr>
            <w:tcW w:type="dxa" w:w="1584"/>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5"/>
                <w:szCs w:val="22"/>
                <w:lang w:val="en-US" w:eastAsia="en-US" w:bidi="ar-SA"/>
              </w:rPr>
              <w:t>Asthma severity</w:t>
            </w:r>
          </w:p>
        </w:tc>
        <w:tc>
          <w:tcPr>
            <w:tcW w:type="dxa" w:w="180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5"/>
                <w:szCs w:val="22"/>
                <w:lang w:val="en-US" w:eastAsia="en-US" w:bidi="ar-SA"/>
              </w:rPr>
              <w:t>Mild</w:t>
            </w:r>
          </w:p>
        </w:tc>
        <w:tc>
          <w:tcPr>
            <w:tcW w:type="dxa" w:w="2088"/>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5"/>
                <w:szCs w:val="22"/>
                <w:lang w:val="en-US" w:eastAsia="en-US" w:bidi="ar-SA"/>
              </w:rPr>
              <w:t>1.41 (1.21–1.64)</w:t>
            </w:r>
          </w:p>
        </w:tc>
        <w:tc>
          <w:tcPr>
            <w:tcW w:type="dxa" w:w="1007"/>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5"/>
                <w:szCs w:val="22"/>
                <w:lang w:val="en-US" w:eastAsia="en-US" w:bidi="ar-SA"/>
              </w:rPr>
              <w:t>&lt;.001</w:t>
            </w:r>
          </w:p>
        </w:tc>
        <w:tc>
          <w:tcPr>
            <w:tcW w:type="dxa" w:w="1224"/>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5"/>
                <w:szCs w:val="22"/>
                <w:lang w:val="en-US" w:eastAsia="en-US" w:bidi="ar-SA"/>
              </w:rPr>
              <w:t>.690</w:t>
            </w:r>
          </w:p>
        </w:tc>
        <w:tc>
          <w:tcPr>
            <w:tcW w:type="dxa" w:w="1224"/>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5"/>
                <w:szCs w:val="22"/>
                <w:lang w:val="en-US" w:eastAsia="en-US" w:bidi="ar-SA"/>
              </w:rPr>
              <w:t>.690</w:t>
            </w:r>
          </w:p>
        </w:tc>
        <w:tc>
          <w:tcPr>
            <w:tcW w:type="dxa" w:w="1007"/>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5"/>
                <w:szCs w:val="22"/>
                <w:lang w:val="en-US" w:eastAsia="en-US" w:bidi="ar-SA"/>
              </w:rPr>
              <w:t>4083</w:t>
            </w:r>
          </w:p>
        </w:tc>
      </w:tr>
      <w:tr>
        <w:trPr/>
        <w:tc>
          <w:tcPr>
            <w:tcW w:type="dxa" w:w="1584"/>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5"/>
                <w:szCs w:val="22"/>
                <w:lang w:val="en-US" w:eastAsia="en-US" w:bidi="ar-SA"/>
              </w:rPr>
              <w:t>Asthma severity</w:t>
            </w:r>
          </w:p>
        </w:tc>
        <w:tc>
          <w:tcPr>
            <w:tcW w:type="dxa" w:w="180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5"/>
                <w:szCs w:val="22"/>
                <w:lang w:val="en-US" w:eastAsia="en-US" w:bidi="ar-SA"/>
              </w:rPr>
              <w:t>Moderate/severe</w:t>
            </w:r>
          </w:p>
        </w:tc>
        <w:tc>
          <w:tcPr>
            <w:tcW w:type="dxa" w:w="2088"/>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5"/>
                <w:szCs w:val="22"/>
                <w:lang w:val="en-US" w:eastAsia="en-US" w:bidi="ar-SA"/>
              </w:rPr>
              <w:t>1.59 (1.29–1.96)</w:t>
            </w:r>
          </w:p>
        </w:tc>
        <w:tc>
          <w:tcPr>
            <w:tcW w:type="dxa" w:w="1007"/>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5"/>
                <w:szCs w:val="22"/>
                <w:lang w:val="en-US" w:eastAsia="en-US" w:bidi="ar-SA"/>
              </w:rPr>
              <w:t>&lt;.001</w:t>
            </w:r>
          </w:p>
        </w:tc>
        <w:tc>
          <w:tcPr>
            <w:tcW w:type="dxa" w:w="1224"/>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5"/>
                <w:szCs w:val="22"/>
                <w:lang w:val="en-US" w:eastAsia="en-US" w:bidi="ar-SA"/>
              </w:rPr>
              <w:t>.690</w:t>
            </w:r>
          </w:p>
        </w:tc>
        <w:tc>
          <w:tcPr>
            <w:tcW w:type="dxa" w:w="1224"/>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5"/>
                <w:szCs w:val="22"/>
                <w:lang w:val="en-US" w:eastAsia="en-US" w:bidi="ar-SA"/>
              </w:rPr>
              <w:t>.690</w:t>
            </w:r>
          </w:p>
        </w:tc>
        <w:tc>
          <w:tcPr>
            <w:tcW w:type="dxa" w:w="1007"/>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5"/>
                <w:szCs w:val="22"/>
                <w:lang w:val="en-US" w:eastAsia="en-US" w:bidi="ar-SA"/>
              </w:rPr>
              <w:t>1564</w:t>
            </w:r>
          </w:p>
        </w:tc>
      </w:tr>
    </w:tbl>
    <w:p>
      <w:pPr>
        <w:pStyle w:val="Normal"/>
        <w:spacing w:line="480" w:lineRule="auto"/>
      </w:pPr>
      <w:r>
        <w:rPr>
          <w:rFonts w:ascii="Times New Roman" w:hAnsi="Times New Roman" w:eastAsia="Times New Roman"/>
          <w:sz w:val="21"/>
          <w:szCs w:val="22"/>
          <w:lang w:val="en-US" w:eastAsia="en-US" w:bidi="ar-SA"/>
        </w:rPr>
        <w:br w:type="page"/>
      </w:r>
    </w:p>
    <w:p>
      <w:pPr>
        <w:pStyle w:val="Normal"/>
        <w:keepNext/>
        <w:keepLines/>
        <w:widowControl/>
        <w:spacing w:before="120" w:after="80" w:line="480" w:lineRule="auto"/>
        <w:jc w:val="left"/>
      </w:pPr>
      <w:r>
        <w:rPr>
          <w:rFonts w:ascii="Times New Roman" w:hAnsi="Times New Roman" w:eastAsia="Times New Roman" w:cs="Times New Roman"/>
          <w:b/>
          <w:color w:val="000000"/>
          <w:sz w:val="19"/>
          <w:szCs w:val="22"/>
          <w:lang w:val="en-US" w:eastAsia="en-US" w:bidi="ar-SA"/>
        </w:rPr>
        <w:t>Supplementary Table S6. Sensitivity analyses, including age modeled continuously.</w:t>
      </w:r>
    </w:p>
    <w:tbl>
      <w:tblPr>
        <w:tblStyle w:val="TableGrid"/>
        <w:tblW w:type="auto" w:w="0"/>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firstColumn="1" w:firstRow="1" w:lastColumn="0" w:lastRow="0" w:noHBand="0" w:noVBand="1" w:val="04A0"/>
      </w:tblPr>
      <w:tblGrid>
        <w:gridCol w:w="4031"/>
        <w:gridCol w:w="1152"/>
        <w:gridCol w:w="2376"/>
        <w:gridCol w:w="1080"/>
        <w:gridCol w:w="1080"/>
      </w:tblGrid>
      <w:tr>
        <w:trPr>
          <w:trHeight w:hRule="atLeast"/>
          <w:tblHeader/>
        </w:trPr>
        <w:tc>
          <w:tcPr>
            <w:tcW w:type="dxa" w:w="4031"/>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Arial" w:cs="Arial"/>
                <w:b/>
                <w:color w:val="000000"/>
                <w:sz w:val="16"/>
                <w:szCs w:val="22"/>
                <w:lang w:val="en-US" w:eastAsia="en-US" w:bidi="ar-SA"/>
              </w:rPr>
              <w:t>Model</w:t>
            </w:r>
          </w:p>
        </w:tc>
        <w:tc>
          <w:tcPr>
            <w:tcW w:type="dxa" w:w="1152"/>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Arial" w:cs="Arial"/>
                <w:b/>
                <w:color w:val="000000"/>
                <w:sz w:val="16"/>
                <w:szCs w:val="22"/>
                <w:lang w:val="en-US" w:eastAsia="en-US" w:bidi="ar-SA"/>
              </w:rPr>
              <w:t>Measure</w:t>
            </w:r>
          </w:p>
        </w:tc>
        <w:tc>
          <w:tcPr>
            <w:tcW w:type="dxa" w:w="2376"/>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Arial" w:cs="Arial"/>
                <w:b/>
                <w:color w:val="000000"/>
                <w:sz w:val="16"/>
                <w:szCs w:val="22"/>
                <w:lang w:val="en-US" w:eastAsia="en-US" w:bidi="ar-SA"/>
              </w:rPr>
              <w:t>Estimate (95% CI)</w:t>
            </w:r>
          </w:p>
        </w:tc>
        <w:tc>
          <w:tcPr>
            <w:tcW w:type="dxa" w:w="1080"/>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Arial" w:cs="Arial"/>
                <w:b/>
                <w:color w:val="000000"/>
                <w:sz w:val="16"/>
                <w:szCs w:val="22"/>
                <w:lang w:val="en-US" w:eastAsia="en-US" w:bidi="ar-SA"/>
              </w:rPr>
              <w:t>P value</w:t>
            </w:r>
          </w:p>
        </w:tc>
        <w:tc>
          <w:tcPr>
            <w:tcW w:type="dxa" w:w="1080"/>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Arial" w:cs="Arial"/>
                <w:b/>
                <w:color w:val="000000"/>
                <w:sz w:val="16"/>
                <w:szCs w:val="22"/>
                <w:lang w:val="en-US" w:eastAsia="en-US" w:bidi="ar-SA"/>
              </w:rPr>
              <w:t>n</w:t>
            </w:r>
          </w:p>
        </w:tc>
      </w:tr>
      <w:tr>
        <w:trPr/>
        <w:tc>
          <w:tcPr>
            <w:tcW w:type="dxa" w:w="4031"/>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6"/>
                <w:szCs w:val="22"/>
                <w:lang w:val="en-US" w:eastAsia="en-US" w:bidi="ar-SA"/>
              </w:rPr>
              <w:t>Demographic adjustment</w:t>
            </w:r>
          </w:p>
        </w:tc>
        <w:tc>
          <w:tcPr>
            <w:tcW w:type="dxa" w:w="1152"/>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OR</w:t>
            </w:r>
          </w:p>
        </w:tc>
        <w:tc>
          <w:tcPr>
            <w:tcW w:type="dxa" w:w="2376"/>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1.43 (1.26–1.62)</w:t>
            </w:r>
          </w:p>
        </w:tc>
        <w:tc>
          <w:tcPr>
            <w:tcW w:type="dxa" w:w="108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&lt;.001</w:t>
            </w:r>
          </w:p>
        </w:tc>
        <w:tc>
          <w:tcPr>
            <w:tcW w:type="dxa" w:w="108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5936</w:t>
            </w:r>
          </w:p>
        </w:tc>
      </w:tr>
      <w:tr>
        <w:trPr/>
        <w:tc>
          <w:tcPr>
            <w:tcW w:type="dxa" w:w="4031"/>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6"/>
                <w:szCs w:val="22"/>
                <w:lang w:val="en-US" w:eastAsia="en-US" w:bidi="ar-SA"/>
              </w:rPr>
              <w:t>Primary adjustment</w:t>
            </w:r>
          </w:p>
        </w:tc>
        <w:tc>
          <w:tcPr>
            <w:tcW w:type="dxa" w:w="1152"/>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OR</w:t>
            </w:r>
          </w:p>
        </w:tc>
        <w:tc>
          <w:tcPr>
            <w:tcW w:type="dxa" w:w="2376"/>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1.44 (1.27–1.64)</w:t>
            </w:r>
          </w:p>
        </w:tc>
        <w:tc>
          <w:tcPr>
            <w:tcW w:type="dxa" w:w="108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&lt;.001</w:t>
            </w:r>
          </w:p>
        </w:tc>
        <w:tc>
          <w:tcPr>
            <w:tcW w:type="dxa" w:w="108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5647</w:t>
            </w:r>
          </w:p>
        </w:tc>
      </w:tr>
      <w:tr>
        <w:trPr/>
        <w:tc>
          <w:tcPr>
            <w:tcW w:type="dxa" w:w="4031"/>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6"/>
                <w:szCs w:val="22"/>
                <w:lang w:val="en-US" w:eastAsia="en-US" w:bidi="ar-SA"/>
              </w:rPr>
              <w:t>Age modeled continuously (years)</w:t>
            </w:r>
          </w:p>
        </w:tc>
        <w:tc>
          <w:tcPr>
            <w:tcW w:type="dxa" w:w="1152"/>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OR</w:t>
            </w:r>
          </w:p>
        </w:tc>
        <w:tc>
          <w:tcPr>
            <w:tcW w:type="dxa" w:w="2376"/>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1.45 (1.28–1.65)</w:t>
            </w:r>
          </w:p>
        </w:tc>
        <w:tc>
          <w:tcPr>
            <w:tcW w:type="dxa" w:w="108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&lt;.001</w:t>
            </w:r>
          </w:p>
        </w:tc>
        <w:tc>
          <w:tcPr>
            <w:tcW w:type="dxa" w:w="108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5647</w:t>
            </w:r>
          </w:p>
        </w:tc>
      </w:tr>
      <w:tr>
        <w:trPr/>
        <w:tc>
          <w:tcPr>
            <w:tcW w:type="dxa" w:w="4031"/>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6"/>
                <w:szCs w:val="22"/>
                <w:lang w:val="en-US" w:eastAsia="en-US" w:bidi="ar-SA"/>
              </w:rPr>
              <w:t>Extended adjustment: BMI and multimorbidity</w:t>
            </w:r>
          </w:p>
        </w:tc>
        <w:tc>
          <w:tcPr>
            <w:tcW w:type="dxa" w:w="1152"/>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OR</w:t>
            </w:r>
          </w:p>
        </w:tc>
        <w:tc>
          <w:tcPr>
            <w:tcW w:type="dxa" w:w="2376"/>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1.42 (1.24–1.62)</w:t>
            </w:r>
          </w:p>
        </w:tc>
        <w:tc>
          <w:tcPr>
            <w:tcW w:type="dxa" w:w="108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&lt;.001</w:t>
            </w:r>
          </w:p>
        </w:tc>
        <w:tc>
          <w:tcPr>
            <w:tcW w:type="dxa" w:w="108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5458</w:t>
            </w:r>
          </w:p>
        </w:tc>
      </w:tr>
      <w:tr>
        <w:trPr/>
        <w:tc>
          <w:tcPr>
            <w:tcW w:type="dxa" w:w="4031"/>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6"/>
                <w:szCs w:val="22"/>
                <w:lang w:val="en-US" w:eastAsia="en-US" w:bidi="ar-SA"/>
              </w:rPr>
              <w:t>Restricted to asthma only (no additional listed condition)</w:t>
            </w:r>
          </w:p>
        </w:tc>
        <w:tc>
          <w:tcPr>
            <w:tcW w:type="dxa" w:w="1152"/>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OR</w:t>
            </w:r>
          </w:p>
        </w:tc>
        <w:tc>
          <w:tcPr>
            <w:tcW w:type="dxa" w:w="2376"/>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1.71 (1.32–2.22)</w:t>
            </w:r>
          </w:p>
        </w:tc>
        <w:tc>
          <w:tcPr>
            <w:tcW w:type="dxa" w:w="108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&lt;.001</w:t>
            </w:r>
          </w:p>
        </w:tc>
        <w:tc>
          <w:tcPr>
            <w:tcW w:type="dxa" w:w="108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922</w:t>
            </w:r>
          </w:p>
        </w:tc>
      </w:tr>
    </w:tbl>
    <w:p>
      <w:pPr>
        <w:pStyle w:val="Normal"/>
        <w:keepNext/>
        <w:keepLines/>
        <w:widowControl/>
        <w:spacing w:before="120" w:after="80" w:line="480" w:lineRule="auto"/>
        <w:jc w:val="left"/>
      </w:pPr>
      <w:r>
        <w:rPr>
          <w:rFonts w:ascii="Times New Roman" w:hAnsi="Times New Roman" w:eastAsia="Times New Roman" w:cs="Times New Roman"/>
          <w:b/>
          <w:color w:val="000000"/>
          <w:sz w:val="19"/>
          <w:szCs w:val="22"/>
          <w:lang w:val="en-US" w:eastAsia="en-US" w:bidi="ar-SA"/>
        </w:rPr>
        <w:t>Supplementary Table S7. Exploratory analyses of individual flourishing items.</w:t>
      </w:r>
    </w:p>
    <w:tbl>
      <w:tblPr>
        <w:tblStyle w:val="TableGrid"/>
        <w:tblW w:type="auto" w:w="0"/>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firstColumn="1" w:firstRow="1" w:lastColumn="0" w:lastRow="0" w:noHBand="0" w:noVBand="1" w:val="04A0"/>
      </w:tblPr>
      <w:tblGrid>
        <w:gridCol w:w="4320"/>
        <w:gridCol w:w="2232"/>
        <w:gridCol w:w="1080"/>
        <w:gridCol w:w="1080"/>
        <w:gridCol w:w="1080"/>
      </w:tblGrid>
      <w:tr>
        <w:trPr>
          <w:trHeight w:hRule="atLeast"/>
          <w:tblHeader/>
        </w:trPr>
        <w:tc>
          <w:tcPr>
            <w:tcW w:type="dxa" w:w="4320"/>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Arial" w:cs="Arial"/>
                <w:b/>
                <w:color w:val="000000"/>
                <w:sz w:val="16"/>
                <w:szCs w:val="22"/>
                <w:lang w:val="en-US" w:eastAsia="en-US" w:bidi="ar-SA"/>
              </w:rPr>
              <w:t>Outcome</w:t>
            </w:r>
          </w:p>
        </w:tc>
        <w:tc>
          <w:tcPr>
            <w:tcW w:type="dxa" w:w="2232"/>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Arial" w:cs="Arial"/>
                <w:b/>
                <w:color w:val="000000"/>
                <w:sz w:val="16"/>
                <w:szCs w:val="22"/>
                <w:lang w:val="en-US" w:eastAsia="en-US" w:bidi="ar-SA"/>
              </w:rPr>
              <w:t>aOR (95% CI)</w:t>
            </w:r>
          </w:p>
        </w:tc>
        <w:tc>
          <w:tcPr>
            <w:tcW w:type="dxa" w:w="1080"/>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Arial" w:cs="Arial"/>
                <w:b/>
                <w:color w:val="000000"/>
                <w:sz w:val="16"/>
                <w:szCs w:val="22"/>
                <w:lang w:val="en-US" w:eastAsia="en-US" w:bidi="ar-SA"/>
              </w:rPr>
              <w:t>P value</w:t>
            </w:r>
          </w:p>
        </w:tc>
        <w:tc>
          <w:tcPr>
            <w:tcW w:type="dxa" w:w="1080"/>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Arial" w:cs="Arial"/>
                <w:b/>
                <w:color w:val="000000"/>
                <w:sz w:val="16"/>
                <w:szCs w:val="22"/>
                <w:lang w:val="en-US" w:eastAsia="en-US" w:bidi="ar-SA"/>
              </w:rPr>
              <w:t>q value</w:t>
            </w:r>
          </w:p>
        </w:tc>
        <w:tc>
          <w:tcPr>
            <w:tcW w:type="dxa" w:w="1080"/>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Arial" w:cs="Arial"/>
                <w:b/>
                <w:color w:val="000000"/>
                <w:sz w:val="16"/>
                <w:szCs w:val="22"/>
                <w:lang w:val="en-US" w:eastAsia="en-US" w:bidi="ar-SA"/>
              </w:rPr>
              <w:t>n</w:t>
            </w:r>
          </w:p>
        </w:tc>
      </w:tr>
      <w:tr>
        <w:trPr/>
        <w:tc>
          <w:tcPr>
            <w:tcW w:type="dxa" w:w="4320"/>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6"/>
                <w:szCs w:val="22"/>
                <w:lang w:val="en-US" w:eastAsia="en-US" w:bidi="ar-SA"/>
              </w:rPr>
              <w:t>Interest and curiosity in learning: usually/always</w:t>
            </w:r>
          </w:p>
        </w:tc>
        <w:tc>
          <w:tcPr>
            <w:tcW w:type="dxa" w:w="2232"/>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1.47 (1.23–1.76)</w:t>
            </w:r>
          </w:p>
        </w:tc>
        <w:tc>
          <w:tcPr>
            <w:tcW w:type="dxa" w:w="108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&lt;.001</w:t>
            </w:r>
          </w:p>
        </w:tc>
        <w:tc>
          <w:tcPr>
            <w:tcW w:type="dxa" w:w="108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&lt;.001</w:t>
            </w:r>
          </w:p>
        </w:tc>
        <w:tc>
          <w:tcPr>
            <w:tcW w:type="dxa" w:w="108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5639</w:t>
            </w:r>
          </w:p>
        </w:tc>
      </w:tr>
      <w:tr>
        <w:trPr/>
        <w:tc>
          <w:tcPr>
            <w:tcW w:type="dxa" w:w="4320"/>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6"/>
                <w:szCs w:val="22"/>
                <w:lang w:val="en-US" w:eastAsia="en-US" w:bidi="ar-SA"/>
              </w:rPr>
              <w:t>Works to finish tasks: usually/always</w:t>
            </w:r>
          </w:p>
        </w:tc>
        <w:tc>
          <w:tcPr>
            <w:tcW w:type="dxa" w:w="2232"/>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1.55 (1.34–1.80)</w:t>
            </w:r>
          </w:p>
        </w:tc>
        <w:tc>
          <w:tcPr>
            <w:tcW w:type="dxa" w:w="108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&lt;.001</w:t>
            </w:r>
          </w:p>
        </w:tc>
        <w:tc>
          <w:tcPr>
            <w:tcW w:type="dxa" w:w="108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&lt;.001</w:t>
            </w:r>
          </w:p>
        </w:tc>
        <w:tc>
          <w:tcPr>
            <w:tcW w:type="dxa" w:w="108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5626</w:t>
            </w:r>
          </w:p>
        </w:tc>
      </w:tr>
      <w:tr>
        <w:trPr/>
        <w:tc>
          <w:tcPr>
            <w:tcW w:type="dxa" w:w="4320"/>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6"/>
                <w:szCs w:val="22"/>
                <w:lang w:val="en-US" w:eastAsia="en-US" w:bidi="ar-SA"/>
              </w:rPr>
              <w:t>Stays calm and in control when challenged: usually/always</w:t>
            </w:r>
          </w:p>
        </w:tc>
        <w:tc>
          <w:tcPr>
            <w:tcW w:type="dxa" w:w="2232"/>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1.38 (1.22–1.57)</w:t>
            </w:r>
          </w:p>
        </w:tc>
        <w:tc>
          <w:tcPr>
            <w:tcW w:type="dxa" w:w="108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&lt;.001</w:t>
            </w:r>
          </w:p>
        </w:tc>
        <w:tc>
          <w:tcPr>
            <w:tcW w:type="dxa" w:w="108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&lt;.001</w:t>
            </w:r>
          </w:p>
        </w:tc>
        <w:tc>
          <w:tcPr>
            <w:tcW w:type="dxa" w:w="108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5631</w:t>
            </w:r>
          </w:p>
        </w:tc>
      </w:tr>
    </w:tbl>
    <w:p>
      <w:pPr>
        <w:pStyle w:val="Normal"/>
        <w:keepNext/>
        <w:keepLines/>
        <w:widowControl/>
        <w:spacing w:before="120" w:after="80" w:line="480" w:lineRule="auto"/>
        <w:jc w:val="left"/>
      </w:pPr>
      <w:r>
        <w:rPr>
          <w:rFonts w:ascii="Times New Roman" w:hAnsi="Times New Roman" w:eastAsia="Times New Roman" w:cs="Times New Roman"/>
          <w:b/>
          <w:color w:val="000000"/>
          <w:sz w:val="19"/>
          <w:szCs w:val="22"/>
          <w:lang w:val="en-US" w:eastAsia="en-US" w:bidi="ar-SA"/>
        </w:rPr>
        <w:t>Supplementary Table S8. Current-asthma-stratified estimates and formal asthma interaction.</w:t>
      </w:r>
    </w:p>
    <w:tbl>
      <w:tblPr>
        <w:tblStyle w:val="TableGrid"/>
        <w:tblW w:type="auto" w:w="0"/>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firstColumn="1" w:firstRow="1" w:lastColumn="0" w:lastRow="0" w:noHBand="0" w:noVBand="1" w:val="04A0"/>
      </w:tblPr>
      <w:tblGrid>
        <w:gridCol w:w="3600"/>
        <w:gridCol w:w="1440"/>
        <w:gridCol w:w="2376"/>
        <w:gridCol w:w="1080"/>
        <w:gridCol w:w="1152"/>
      </w:tblGrid>
      <w:tr>
        <w:trPr>
          <w:trHeight w:hRule="atLeast"/>
          <w:tblHeader/>
        </w:trPr>
        <w:tc>
          <w:tcPr>
            <w:tcW w:type="dxa" w:w="3600"/>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Arial" w:cs="Arial"/>
                <w:b/>
                <w:color w:val="000000"/>
                <w:sz w:val="16"/>
                <w:szCs w:val="22"/>
                <w:lang w:val="en-US" w:eastAsia="en-US" w:bidi="ar-SA"/>
              </w:rPr>
              <w:t>Group or interaction</w:t>
            </w:r>
          </w:p>
        </w:tc>
        <w:tc>
          <w:tcPr>
            <w:tcW w:type="dxa" w:w="1440"/>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Arial" w:cs="Arial"/>
                <w:b/>
                <w:color w:val="000000"/>
                <w:sz w:val="16"/>
                <w:szCs w:val="22"/>
                <w:lang w:val="en-US" w:eastAsia="en-US" w:bidi="ar-SA"/>
              </w:rPr>
              <w:t>Measure</w:t>
            </w:r>
          </w:p>
        </w:tc>
        <w:tc>
          <w:tcPr>
            <w:tcW w:type="dxa" w:w="2376"/>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Arial" w:cs="Arial"/>
                <w:b/>
                <w:color w:val="000000"/>
                <w:sz w:val="16"/>
                <w:szCs w:val="22"/>
                <w:lang w:val="en-US" w:eastAsia="en-US" w:bidi="ar-SA"/>
              </w:rPr>
              <w:t>Estimate (95% CI)</w:t>
            </w:r>
          </w:p>
        </w:tc>
        <w:tc>
          <w:tcPr>
            <w:tcW w:type="dxa" w:w="1080"/>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Arial" w:cs="Arial"/>
                <w:b/>
                <w:color w:val="000000"/>
                <w:sz w:val="16"/>
                <w:szCs w:val="22"/>
                <w:lang w:val="en-US" w:eastAsia="en-US" w:bidi="ar-SA"/>
              </w:rPr>
              <w:t>P value</w:t>
            </w:r>
          </w:p>
        </w:tc>
        <w:tc>
          <w:tcPr>
            <w:tcW w:type="dxa" w:w="1152"/>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Arial" w:cs="Arial"/>
                <w:b/>
                <w:color w:val="000000"/>
                <w:sz w:val="16"/>
                <w:szCs w:val="22"/>
                <w:lang w:val="en-US" w:eastAsia="en-US" w:bidi="ar-SA"/>
              </w:rPr>
              <w:t>n</w:t>
            </w:r>
          </w:p>
        </w:tc>
      </w:tr>
      <w:tr>
        <w:trPr/>
        <w:tc>
          <w:tcPr>
            <w:tcW w:type="dxa" w:w="3600"/>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6"/>
                <w:szCs w:val="22"/>
                <w:lang w:val="en-US" w:eastAsia="en-US" w:bidi="ar-SA"/>
              </w:rPr>
              <w:t>No current asthma</w:t>
            </w:r>
          </w:p>
        </w:tc>
        <w:tc>
          <w:tcPr>
            <w:tcW w:type="dxa" w:w="144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OR</w:t>
            </w:r>
          </w:p>
        </w:tc>
        <w:tc>
          <w:tcPr>
            <w:tcW w:type="dxa" w:w="2376"/>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1.55 (1.49–1.61)</w:t>
            </w:r>
          </w:p>
        </w:tc>
        <w:tc>
          <w:tcPr>
            <w:tcW w:type="dxa" w:w="108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&lt;.001</w:t>
            </w:r>
          </w:p>
        </w:tc>
        <w:tc>
          <w:tcPr>
            <w:tcW w:type="dxa" w:w="1152"/>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59835</w:t>
            </w:r>
          </w:p>
        </w:tc>
      </w:tr>
      <w:tr>
        <w:trPr/>
        <w:tc>
          <w:tcPr>
            <w:tcW w:type="dxa" w:w="3600"/>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6"/>
                <w:szCs w:val="22"/>
                <w:lang w:val="en-US" w:eastAsia="en-US" w:bidi="ar-SA"/>
              </w:rPr>
              <w:t>Current asthma</w:t>
            </w:r>
          </w:p>
        </w:tc>
        <w:tc>
          <w:tcPr>
            <w:tcW w:type="dxa" w:w="144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OR</w:t>
            </w:r>
          </w:p>
        </w:tc>
        <w:tc>
          <w:tcPr>
            <w:tcW w:type="dxa" w:w="2376"/>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1.47 (1.30–1.66)</w:t>
            </w:r>
          </w:p>
        </w:tc>
        <w:tc>
          <w:tcPr>
            <w:tcW w:type="dxa" w:w="108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&lt;.001</w:t>
            </w:r>
          </w:p>
        </w:tc>
        <w:tc>
          <w:tcPr>
            <w:tcW w:type="dxa" w:w="1152"/>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5652</w:t>
            </w:r>
          </w:p>
        </w:tc>
      </w:tr>
      <w:tr>
        <w:trPr/>
        <w:tc>
          <w:tcPr>
            <w:tcW w:type="dxa" w:w="3600"/>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6"/>
                <w:szCs w:val="22"/>
                <w:lang w:val="en-US" w:eastAsia="en-US" w:bidi="ar-SA"/>
              </w:rPr>
              <w:t>Guideline count × current asthma interaction</w:t>
            </w:r>
          </w:p>
        </w:tc>
        <w:tc>
          <w:tcPr>
            <w:tcW w:type="dxa" w:w="144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Interaction OR</w:t>
            </w:r>
          </w:p>
        </w:tc>
        <w:tc>
          <w:tcPr>
            <w:tcW w:type="dxa" w:w="2376"/>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0.95 (0.84–1.08)</w:t>
            </w:r>
          </w:p>
        </w:tc>
        <w:tc>
          <w:tcPr>
            <w:tcW w:type="dxa" w:w="108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.430</w:t>
            </w:r>
          </w:p>
        </w:tc>
        <w:tc>
          <w:tcPr>
            <w:tcW w:type="dxa" w:w="1152"/>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65487</w:t>
            </w:r>
          </w:p>
        </w:tc>
      </w:tr>
    </w:tbl>
    <w:p>
      <w:pPr>
        <w:pStyle w:val="Normal"/>
        <w:keepNext w:val="0"/>
        <w:keepLines w:val="0"/>
        <w:widowControl/>
        <w:spacing w:before="0" w:after="120" w:line="480" w:lineRule="auto"/>
        <w:jc w:val="left"/>
      </w:pPr>
      <w:r>
        <w:rPr>
          <w:rFonts w:ascii="Times New Roman" w:hAnsi="Times New Roman" w:eastAsia="Times New Roman" w:cs="Times New Roman"/>
          <w:i/>
          <w:color w:val="4A4A4A"/>
          <w:sz w:val="24"/>
          <w:szCs w:val="22"/>
          <w:lang w:val="en-US" w:eastAsia="en-US" w:bidi="ar-SA"/>
        </w:rPr>
        <w:t>The stratum-specific odds ratios and the interaction were estimated from a single survey logistic model fitted in 65487 complete cases from the full age-eligible sample. Stratum-specific n values were 59835 without current asthma and 5652 with current asthma; the interaction row reports the total model n. The non-significant interaction does not support describing the movement–flourishing association as specific to children with asthma. The current-asthma stratum estimate (OR, 1.47) differs slightly from the primary per-guideline adjusted odds ratio (1.44; Table 2) because the two were estimated in different models.</w:t>
      </w:r>
    </w:p>
    <w:p>
      <w:pPr>
        <w:pStyle w:val="Normal"/>
        <w:spacing w:line="480" w:lineRule="auto"/>
        <w:sectPr>
          <w:footerReference w:type="default" r:id="rId15"/>
          <w:pgSz w:w="12240" w:h="15840"/>
          <w:pgMar w:top="1080" w:right="1224" w:bottom="1080" w:left="1224" w:header="432" w:footer="432" w:gutter="0"/>
          <w:cols w:space="720"/>
          <w:docGrid w:linePitch="360"/>
        </w:sectPr>
      </w:pPr>
    </w:p>
    <w:p>
      <w:pPr>
        <w:pStyle w:val="Normal"/>
        <w:keepNext/>
        <w:keepLines/>
        <w:widowControl/>
        <w:spacing w:before="120" w:after="80" w:line="480" w:lineRule="auto"/>
        <w:jc w:val="left"/>
      </w:pPr>
      <w:r>
        <w:rPr>
          <w:rFonts w:ascii="Times New Roman" w:hAnsi="Times New Roman" w:eastAsia="Times New Roman" w:cs="Times New Roman"/>
          <w:b/>
          <w:color w:val="000000"/>
          <w:sz w:val="19"/>
          <w:szCs w:val="22"/>
          <w:lang w:val="en-US" w:eastAsia="en-US" w:bidi="ar-SA"/>
        </w:rPr>
        <w:t>Supplementary Table S9. Comparison of children included in and excluded from the primary model.</w:t>
      </w:r>
    </w:p>
    <w:tbl>
      <w:tblPr>
        <w:tblStyle w:val="TableGrid"/>
        <w:tblW w:type="auto" w:w="0"/>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firstColumn="1" w:firstRow="1" w:lastColumn="0" w:lastRow="0" w:noHBand="0" w:noVBand="1" w:val="04A0"/>
      </w:tblPr>
      <w:tblGrid>
        <w:gridCol w:w="3096"/>
        <w:gridCol w:w="3888"/>
        <w:gridCol w:w="2376"/>
        <w:gridCol w:w="2376"/>
        <w:gridCol w:w="1944"/>
      </w:tblGrid>
      <w:tr>
        <w:trPr>
          <w:trHeight w:hRule="atLeast"/>
          <w:tblHeader/>
        </w:trPr>
        <w:tc>
          <w:tcPr>
            <w:tcW w:type="dxa" w:w="3096"/>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Arial" w:cs="Arial"/>
                <w:b/>
                <w:color w:val="000000"/>
                <w:sz w:val="14"/>
                <w:szCs w:val="22"/>
                <w:lang w:val="en-US" w:eastAsia="en-US" w:bidi="ar-SA"/>
              </w:rPr>
              <w:t>Characteristic</w:t>
            </w:r>
          </w:p>
        </w:tc>
        <w:tc>
          <w:tcPr>
            <w:tcW w:type="dxa" w:w="3888"/>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Arial" w:cs="Arial"/>
                <w:b/>
                <w:color w:val="000000"/>
                <w:sz w:val="14"/>
                <w:szCs w:val="22"/>
                <w:lang w:val="en-US" w:eastAsia="en-US" w:bidi="ar-SA"/>
              </w:rPr>
              <w:t>Level</w:t>
            </w:r>
          </w:p>
        </w:tc>
        <w:tc>
          <w:tcPr>
            <w:tcW w:type="dxa" w:w="2376"/>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Arial" w:cs="Arial"/>
                <w:b/>
                <w:color w:val="000000"/>
                <w:sz w:val="14"/>
                <w:szCs w:val="22"/>
                <w:lang w:val="en-US" w:eastAsia="en-US" w:bidi="ar-SA"/>
              </w:rPr>
              <w:t>Included weighted % (SE)</w:t>
            </w:r>
            <w:r>
              <w:rPr>
                <w:rFonts w:ascii="Times New Roman" w:hAnsi="Times New Roman" w:eastAsia="Arial"/>
                <w:b/>
                <w:color w:val="000000"/>
                <w:sz w:val="14"/>
                <w:szCs w:val="22"/>
                <w:lang w:val="en-US" w:eastAsia="en-US" w:bidi="ar-SA"/>
              </w:rPr>
              <w:br/>
            </w:r>
            <w:r>
              <w:rPr>
                <w:rFonts w:ascii="Times New Roman" w:hAnsi="Times New Roman" w:eastAsia="Arial" w:cs="Arial"/>
                <w:b/>
                <w:color w:val="000000"/>
                <w:sz w:val="14"/>
                <w:szCs w:val="22"/>
                <w:lang w:val="en-US" w:eastAsia="en-US" w:bidi="ar-SA"/>
              </w:rPr>
              <w:t>(n=5647)</w:t>
            </w:r>
          </w:p>
        </w:tc>
        <w:tc>
          <w:tcPr>
            <w:tcW w:type="dxa" w:w="2376"/>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Arial" w:cs="Arial"/>
                <w:b/>
                <w:color w:val="000000"/>
                <w:sz w:val="14"/>
                <w:szCs w:val="22"/>
                <w:lang w:val="en-US" w:eastAsia="en-US" w:bidi="ar-SA"/>
              </w:rPr>
              <w:t>Excluded weighted % (SE)</w:t>
            </w:r>
            <w:r>
              <w:rPr>
                <w:rFonts w:ascii="Times New Roman" w:hAnsi="Times New Roman" w:eastAsia="Arial"/>
                <w:b/>
                <w:color w:val="000000"/>
                <w:sz w:val="14"/>
                <w:szCs w:val="22"/>
                <w:lang w:val="en-US" w:eastAsia="en-US" w:bidi="ar-SA"/>
              </w:rPr>
              <w:br/>
            </w:r>
            <w:r>
              <w:rPr>
                <w:rFonts w:ascii="Times New Roman" w:hAnsi="Times New Roman" w:eastAsia="Arial" w:cs="Arial"/>
                <w:b/>
                <w:color w:val="000000"/>
                <w:sz w:val="14"/>
                <w:szCs w:val="22"/>
                <w:lang w:val="en-US" w:eastAsia="en-US" w:bidi="ar-SA"/>
              </w:rPr>
              <w:t>(n=438)</w:t>
            </w:r>
          </w:p>
        </w:tc>
        <w:tc>
          <w:tcPr>
            <w:tcW w:type="dxa" w:w="1944"/>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Arial" w:cs="Arial"/>
                <w:b/>
                <w:color w:val="000000"/>
                <w:sz w:val="14"/>
                <w:szCs w:val="22"/>
                <w:lang w:val="en-US" w:eastAsia="en-US" w:bidi="ar-SA"/>
              </w:rPr>
              <w:t>Standardized difference</w:t>
            </w:r>
          </w:p>
        </w:tc>
      </w:tr>
      <w:tr>
        <w:trPr/>
        <w:tc>
          <w:tcPr>
            <w:tcW w:type="dxa" w:w="3096"/>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4"/>
                <w:szCs w:val="22"/>
                <w:lang w:val="en-US" w:eastAsia="en-US" w:bidi="ar-SA"/>
              </w:rPr>
              <w:t>Age group</w:t>
            </w:r>
          </w:p>
        </w:tc>
        <w:tc>
          <w:tcPr>
            <w:tcW w:type="dxa" w:w="3888"/>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(Missing)</w:t>
            </w:r>
          </w:p>
        </w:tc>
        <w:tc>
          <w:tcPr>
            <w:tcW w:type="dxa" w:w="2376"/>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0.0 (0.0)</w:t>
            </w:r>
          </w:p>
        </w:tc>
        <w:tc>
          <w:tcPr>
            <w:tcW w:type="dxa" w:w="2376"/>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0.0 (0.0)</w:t>
            </w:r>
          </w:p>
        </w:tc>
        <w:tc>
          <w:tcPr>
            <w:tcW w:type="dxa" w:w="1944"/>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0.000</w:t>
            </w:r>
          </w:p>
        </w:tc>
      </w:tr>
      <w:tr>
        <w:trPr/>
        <w:tc>
          <w:tcPr>
            <w:tcW w:type="dxa" w:w="3096"/>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4"/>
                <w:szCs w:val="22"/>
                <w:lang w:val="en-US" w:eastAsia="en-US" w:bidi="ar-SA"/>
              </w:rPr>
              <w:t>Age group</w:t>
            </w:r>
          </w:p>
        </w:tc>
        <w:tc>
          <w:tcPr>
            <w:tcW w:type="dxa" w:w="3888"/>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12-17 years</w:t>
            </w:r>
          </w:p>
        </w:tc>
        <w:tc>
          <w:tcPr>
            <w:tcW w:type="dxa" w:w="2376"/>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54.2 (1.3)</w:t>
            </w:r>
          </w:p>
        </w:tc>
        <w:tc>
          <w:tcPr>
            <w:tcW w:type="dxa" w:w="2376"/>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52.0 (5.0)</w:t>
            </w:r>
          </w:p>
        </w:tc>
        <w:tc>
          <w:tcPr>
            <w:tcW w:type="dxa" w:w="1944"/>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0.044</w:t>
            </w:r>
          </w:p>
        </w:tc>
      </w:tr>
      <w:tr>
        <w:trPr/>
        <w:tc>
          <w:tcPr>
            <w:tcW w:type="dxa" w:w="3096"/>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4"/>
                <w:szCs w:val="22"/>
                <w:lang w:val="en-US" w:eastAsia="en-US" w:bidi="ar-SA"/>
              </w:rPr>
              <w:t>Age group</w:t>
            </w:r>
          </w:p>
        </w:tc>
        <w:tc>
          <w:tcPr>
            <w:tcW w:type="dxa" w:w="3888"/>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6-11 years</w:t>
            </w:r>
          </w:p>
        </w:tc>
        <w:tc>
          <w:tcPr>
            <w:tcW w:type="dxa" w:w="2376"/>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45.8 (1.3)</w:t>
            </w:r>
          </w:p>
        </w:tc>
        <w:tc>
          <w:tcPr>
            <w:tcW w:type="dxa" w:w="2376"/>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48.0 (5.0)</w:t>
            </w:r>
          </w:p>
        </w:tc>
        <w:tc>
          <w:tcPr>
            <w:tcW w:type="dxa" w:w="1944"/>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-0.044</w:t>
            </w:r>
          </w:p>
        </w:tc>
      </w:tr>
      <w:tr>
        <w:trPr/>
        <w:tc>
          <w:tcPr>
            <w:tcW w:type="dxa" w:w="3096"/>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4"/>
                <w:szCs w:val="22"/>
                <w:lang w:val="en-US" w:eastAsia="en-US" w:bidi="ar-SA"/>
              </w:rPr>
              <w:t>Sex</w:t>
            </w:r>
          </w:p>
        </w:tc>
        <w:tc>
          <w:tcPr>
            <w:tcW w:type="dxa" w:w="3888"/>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(Missing)</w:t>
            </w:r>
          </w:p>
        </w:tc>
        <w:tc>
          <w:tcPr>
            <w:tcW w:type="dxa" w:w="2376"/>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0.0 (0.0)</w:t>
            </w:r>
          </w:p>
        </w:tc>
        <w:tc>
          <w:tcPr>
            <w:tcW w:type="dxa" w:w="2376"/>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0.0 (0.0)</w:t>
            </w:r>
          </w:p>
        </w:tc>
        <w:tc>
          <w:tcPr>
            <w:tcW w:type="dxa" w:w="1944"/>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0.000</w:t>
            </w:r>
          </w:p>
        </w:tc>
      </w:tr>
      <w:tr>
        <w:trPr/>
        <w:tc>
          <w:tcPr>
            <w:tcW w:type="dxa" w:w="3096"/>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4"/>
                <w:szCs w:val="22"/>
                <w:lang w:val="en-US" w:eastAsia="en-US" w:bidi="ar-SA"/>
              </w:rPr>
              <w:t>Sex</w:t>
            </w:r>
          </w:p>
        </w:tc>
        <w:tc>
          <w:tcPr>
            <w:tcW w:type="dxa" w:w="3888"/>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Female</w:t>
            </w:r>
          </w:p>
        </w:tc>
        <w:tc>
          <w:tcPr>
            <w:tcW w:type="dxa" w:w="2376"/>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43.5 (1.3)</w:t>
            </w:r>
          </w:p>
        </w:tc>
        <w:tc>
          <w:tcPr>
            <w:tcW w:type="dxa" w:w="2376"/>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38.7 (4.9)</w:t>
            </w:r>
          </w:p>
        </w:tc>
        <w:tc>
          <w:tcPr>
            <w:tcW w:type="dxa" w:w="1944"/>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0.098</w:t>
            </w:r>
          </w:p>
        </w:tc>
      </w:tr>
      <w:tr>
        <w:trPr/>
        <w:tc>
          <w:tcPr>
            <w:tcW w:type="dxa" w:w="3096"/>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4"/>
                <w:szCs w:val="22"/>
                <w:lang w:val="en-US" w:eastAsia="en-US" w:bidi="ar-SA"/>
              </w:rPr>
              <w:t>Sex</w:t>
            </w:r>
          </w:p>
        </w:tc>
        <w:tc>
          <w:tcPr>
            <w:tcW w:type="dxa" w:w="3888"/>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Male</w:t>
            </w:r>
          </w:p>
        </w:tc>
        <w:tc>
          <w:tcPr>
            <w:tcW w:type="dxa" w:w="2376"/>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56.5 (1.3)</w:t>
            </w:r>
          </w:p>
        </w:tc>
        <w:tc>
          <w:tcPr>
            <w:tcW w:type="dxa" w:w="2376"/>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61.3 (4.9)</w:t>
            </w:r>
          </w:p>
        </w:tc>
        <w:tc>
          <w:tcPr>
            <w:tcW w:type="dxa" w:w="1944"/>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-0.098</w:t>
            </w:r>
          </w:p>
        </w:tc>
      </w:tr>
      <w:tr>
        <w:trPr/>
        <w:tc>
          <w:tcPr>
            <w:tcW w:type="dxa" w:w="3096"/>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4"/>
                <w:szCs w:val="22"/>
                <w:lang w:val="en-US" w:eastAsia="en-US" w:bidi="ar-SA"/>
              </w:rPr>
              <w:t>Race/ethnicity</w:t>
            </w:r>
          </w:p>
        </w:tc>
        <w:tc>
          <w:tcPr>
            <w:tcW w:type="dxa" w:w="3888"/>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(Missing)</w:t>
            </w:r>
          </w:p>
        </w:tc>
        <w:tc>
          <w:tcPr>
            <w:tcW w:type="dxa" w:w="2376"/>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0.0 (0.0)</w:t>
            </w:r>
          </w:p>
        </w:tc>
        <w:tc>
          <w:tcPr>
            <w:tcW w:type="dxa" w:w="2376"/>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0.0 (0.0)</w:t>
            </w:r>
          </w:p>
        </w:tc>
        <w:tc>
          <w:tcPr>
            <w:tcW w:type="dxa" w:w="1944"/>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0.000</w:t>
            </w:r>
          </w:p>
        </w:tc>
      </w:tr>
      <w:tr>
        <w:trPr/>
        <w:tc>
          <w:tcPr>
            <w:tcW w:type="dxa" w:w="3096"/>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4"/>
                <w:szCs w:val="22"/>
                <w:lang w:val="en-US" w:eastAsia="en-US" w:bidi="ar-SA"/>
              </w:rPr>
              <w:t>Race/ethnicity</w:t>
            </w:r>
          </w:p>
        </w:tc>
        <w:tc>
          <w:tcPr>
            <w:tcW w:type="dxa" w:w="3888"/>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Black, non-Hispanic</w:t>
            </w:r>
          </w:p>
        </w:tc>
        <w:tc>
          <w:tcPr>
            <w:tcW w:type="dxa" w:w="2376"/>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21.2 (1.1)</w:t>
            </w:r>
          </w:p>
        </w:tc>
        <w:tc>
          <w:tcPr>
            <w:tcW w:type="dxa" w:w="2376"/>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37.4 (5.3)</w:t>
            </w:r>
          </w:p>
        </w:tc>
        <w:tc>
          <w:tcPr>
            <w:tcW w:type="dxa" w:w="1944"/>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-0.361</w:t>
            </w:r>
          </w:p>
        </w:tc>
      </w:tr>
      <w:tr>
        <w:trPr/>
        <w:tc>
          <w:tcPr>
            <w:tcW w:type="dxa" w:w="3096"/>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4"/>
                <w:szCs w:val="22"/>
                <w:lang w:val="en-US" w:eastAsia="en-US" w:bidi="ar-SA"/>
              </w:rPr>
              <w:t>Race/ethnicity</w:t>
            </w:r>
          </w:p>
        </w:tc>
        <w:tc>
          <w:tcPr>
            <w:tcW w:type="dxa" w:w="3888"/>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Hispanic</w:t>
            </w:r>
          </w:p>
        </w:tc>
        <w:tc>
          <w:tcPr>
            <w:tcW w:type="dxa" w:w="2376"/>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25.2 (1.3)</w:t>
            </w:r>
          </w:p>
        </w:tc>
        <w:tc>
          <w:tcPr>
            <w:tcW w:type="dxa" w:w="2376"/>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29.5 (4.4)</w:t>
            </w:r>
          </w:p>
        </w:tc>
        <w:tc>
          <w:tcPr>
            <w:tcW w:type="dxa" w:w="1944"/>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-0.097</w:t>
            </w:r>
          </w:p>
        </w:tc>
      </w:tr>
      <w:tr>
        <w:trPr/>
        <w:tc>
          <w:tcPr>
            <w:tcW w:type="dxa" w:w="3096"/>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4"/>
                <w:szCs w:val="22"/>
                <w:lang w:val="en-US" w:eastAsia="en-US" w:bidi="ar-SA"/>
              </w:rPr>
              <w:t>Race/ethnicity</w:t>
            </w:r>
          </w:p>
        </w:tc>
        <w:tc>
          <w:tcPr>
            <w:tcW w:type="dxa" w:w="3888"/>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Other, non-Hispanic</w:t>
            </w:r>
          </w:p>
        </w:tc>
        <w:tc>
          <w:tcPr>
            <w:tcW w:type="dxa" w:w="2376"/>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10.9 (0.7)</w:t>
            </w:r>
          </w:p>
        </w:tc>
        <w:tc>
          <w:tcPr>
            <w:tcW w:type="dxa" w:w="2376"/>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4.8 (0.9)</w:t>
            </w:r>
          </w:p>
        </w:tc>
        <w:tc>
          <w:tcPr>
            <w:tcW w:type="dxa" w:w="1944"/>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0.229</w:t>
            </w:r>
          </w:p>
        </w:tc>
      </w:tr>
      <w:tr>
        <w:trPr/>
        <w:tc>
          <w:tcPr>
            <w:tcW w:type="dxa" w:w="3096"/>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4"/>
                <w:szCs w:val="22"/>
                <w:lang w:val="en-US" w:eastAsia="en-US" w:bidi="ar-SA"/>
              </w:rPr>
              <w:t>Race/ethnicity</w:t>
            </w:r>
          </w:p>
        </w:tc>
        <w:tc>
          <w:tcPr>
            <w:tcW w:type="dxa" w:w="3888"/>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White, non-Hispanic</w:t>
            </w:r>
          </w:p>
        </w:tc>
        <w:tc>
          <w:tcPr>
            <w:tcW w:type="dxa" w:w="2376"/>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42.8 (1.2)</w:t>
            </w:r>
          </w:p>
        </w:tc>
        <w:tc>
          <w:tcPr>
            <w:tcW w:type="dxa" w:w="2376"/>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28.4 (3.7)</w:t>
            </w:r>
          </w:p>
        </w:tc>
        <w:tc>
          <w:tcPr>
            <w:tcW w:type="dxa" w:w="1944"/>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0.304</w:t>
            </w:r>
          </w:p>
        </w:tc>
      </w:tr>
      <w:tr>
        <w:trPr/>
        <w:tc>
          <w:tcPr>
            <w:tcW w:type="dxa" w:w="3096"/>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4"/>
                <w:szCs w:val="22"/>
                <w:lang w:val="en-US" w:eastAsia="en-US" w:bidi="ar-SA"/>
              </w:rPr>
              <w:t>Household poverty level</w:t>
            </w:r>
          </w:p>
        </w:tc>
        <w:tc>
          <w:tcPr>
            <w:tcW w:type="dxa" w:w="3888"/>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(Missing)</w:t>
            </w:r>
          </w:p>
        </w:tc>
        <w:tc>
          <w:tcPr>
            <w:tcW w:type="dxa" w:w="2376"/>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0.0 (0.0)</w:t>
            </w:r>
          </w:p>
        </w:tc>
        <w:tc>
          <w:tcPr>
            <w:tcW w:type="dxa" w:w="2376"/>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0.0 (0.0)</w:t>
            </w:r>
          </w:p>
        </w:tc>
        <w:tc>
          <w:tcPr>
            <w:tcW w:type="dxa" w:w="1944"/>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0.000</w:t>
            </w:r>
          </w:p>
        </w:tc>
      </w:tr>
      <w:tr>
        <w:trPr/>
        <w:tc>
          <w:tcPr>
            <w:tcW w:type="dxa" w:w="3096"/>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4"/>
                <w:szCs w:val="22"/>
                <w:lang w:val="en-US" w:eastAsia="en-US" w:bidi="ar-SA"/>
              </w:rPr>
              <w:t>Household poverty level</w:t>
            </w:r>
          </w:p>
        </w:tc>
        <w:tc>
          <w:tcPr>
            <w:tcW w:type="dxa" w:w="3888"/>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0-99% FPL</w:t>
            </w:r>
          </w:p>
        </w:tc>
        <w:tc>
          <w:tcPr>
            <w:tcW w:type="dxa" w:w="2376"/>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18.8 (1.1)</w:t>
            </w:r>
          </w:p>
        </w:tc>
        <w:tc>
          <w:tcPr>
            <w:tcW w:type="dxa" w:w="2376"/>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31.8 (6.3)</w:t>
            </w:r>
          </w:p>
        </w:tc>
        <w:tc>
          <w:tcPr>
            <w:tcW w:type="dxa" w:w="1944"/>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-0.302</w:t>
            </w:r>
          </w:p>
        </w:tc>
      </w:tr>
      <w:tr>
        <w:trPr/>
        <w:tc>
          <w:tcPr>
            <w:tcW w:type="dxa" w:w="3096"/>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4"/>
                <w:szCs w:val="22"/>
                <w:lang w:val="en-US" w:eastAsia="en-US" w:bidi="ar-SA"/>
              </w:rPr>
              <w:t>Household poverty level</w:t>
            </w:r>
          </w:p>
        </w:tc>
        <w:tc>
          <w:tcPr>
            <w:tcW w:type="dxa" w:w="3888"/>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100-199% FPL</w:t>
            </w:r>
          </w:p>
        </w:tc>
        <w:tc>
          <w:tcPr>
            <w:tcW w:type="dxa" w:w="2376"/>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20.8 (1.2)</w:t>
            </w:r>
          </w:p>
        </w:tc>
        <w:tc>
          <w:tcPr>
            <w:tcW w:type="dxa" w:w="2376"/>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27.9 (5.5)</w:t>
            </w:r>
          </w:p>
        </w:tc>
        <w:tc>
          <w:tcPr>
            <w:tcW w:type="dxa" w:w="1944"/>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-0.167</w:t>
            </w:r>
          </w:p>
        </w:tc>
      </w:tr>
      <w:tr>
        <w:trPr/>
        <w:tc>
          <w:tcPr>
            <w:tcW w:type="dxa" w:w="3096"/>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4"/>
                <w:szCs w:val="22"/>
                <w:lang w:val="en-US" w:eastAsia="en-US" w:bidi="ar-SA"/>
              </w:rPr>
              <w:t>Household poverty level</w:t>
            </w:r>
          </w:p>
        </w:tc>
        <w:tc>
          <w:tcPr>
            <w:tcW w:type="dxa" w:w="3888"/>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200-399% FPL</w:t>
            </w:r>
          </w:p>
        </w:tc>
        <w:tc>
          <w:tcPr>
            <w:tcW w:type="dxa" w:w="2376"/>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28.3 (1.2)</w:t>
            </w:r>
          </w:p>
        </w:tc>
        <w:tc>
          <w:tcPr>
            <w:tcW w:type="dxa" w:w="2376"/>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24.6 (5.4)</w:t>
            </w:r>
          </w:p>
        </w:tc>
        <w:tc>
          <w:tcPr>
            <w:tcW w:type="dxa" w:w="1944"/>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0.086</w:t>
            </w:r>
          </w:p>
        </w:tc>
      </w:tr>
      <w:tr>
        <w:trPr/>
        <w:tc>
          <w:tcPr>
            <w:tcW w:type="dxa" w:w="3096"/>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4"/>
                <w:szCs w:val="22"/>
                <w:lang w:val="en-US" w:eastAsia="en-US" w:bidi="ar-SA"/>
              </w:rPr>
              <w:t>Household poverty level</w:t>
            </w:r>
          </w:p>
        </w:tc>
        <w:tc>
          <w:tcPr>
            <w:tcW w:type="dxa" w:w="3888"/>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400%+ FPL</w:t>
            </w:r>
          </w:p>
        </w:tc>
        <w:tc>
          <w:tcPr>
            <w:tcW w:type="dxa" w:w="2376"/>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32.1 (1.1)</w:t>
            </w:r>
          </w:p>
        </w:tc>
        <w:tc>
          <w:tcPr>
            <w:tcW w:type="dxa" w:w="2376"/>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15.8 (3.2)</w:t>
            </w:r>
          </w:p>
        </w:tc>
        <w:tc>
          <w:tcPr>
            <w:tcW w:type="dxa" w:w="1944"/>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0.390</w:t>
            </w:r>
          </w:p>
        </w:tc>
      </w:tr>
      <w:tr>
        <w:trPr/>
        <w:tc>
          <w:tcPr>
            <w:tcW w:type="dxa" w:w="3096"/>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4"/>
                <w:szCs w:val="22"/>
                <w:lang w:val="en-US" w:eastAsia="en-US" w:bidi="ar-SA"/>
              </w:rPr>
              <w:t>Highest adult education</w:t>
            </w:r>
          </w:p>
        </w:tc>
        <w:tc>
          <w:tcPr>
            <w:tcW w:type="dxa" w:w="3888"/>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(Missing)</w:t>
            </w:r>
          </w:p>
        </w:tc>
        <w:tc>
          <w:tcPr>
            <w:tcW w:type="dxa" w:w="2376"/>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0.0 (0.0)</w:t>
            </w:r>
          </w:p>
        </w:tc>
        <w:tc>
          <w:tcPr>
            <w:tcW w:type="dxa" w:w="2376"/>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0.0 (0.0)</w:t>
            </w:r>
          </w:p>
        </w:tc>
        <w:tc>
          <w:tcPr>
            <w:tcW w:type="dxa" w:w="1944"/>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0.000</w:t>
            </w:r>
          </w:p>
        </w:tc>
      </w:tr>
      <w:tr>
        <w:trPr/>
        <w:tc>
          <w:tcPr>
            <w:tcW w:type="dxa" w:w="3096"/>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4"/>
                <w:szCs w:val="22"/>
                <w:lang w:val="en-US" w:eastAsia="en-US" w:bidi="ar-SA"/>
              </w:rPr>
              <w:t>Highest adult education</w:t>
            </w:r>
          </w:p>
        </w:tc>
        <w:tc>
          <w:tcPr>
            <w:tcW w:type="dxa" w:w="3888"/>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&lt;High school</w:t>
            </w:r>
          </w:p>
        </w:tc>
        <w:tc>
          <w:tcPr>
            <w:tcW w:type="dxa" w:w="2376"/>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7.5 (1.0)</w:t>
            </w:r>
          </w:p>
        </w:tc>
        <w:tc>
          <w:tcPr>
            <w:tcW w:type="dxa" w:w="2376"/>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16.2 (5.1)</w:t>
            </w:r>
          </w:p>
        </w:tc>
        <w:tc>
          <w:tcPr>
            <w:tcW w:type="dxa" w:w="1944"/>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-0.274</w:t>
            </w:r>
          </w:p>
        </w:tc>
      </w:tr>
      <w:tr>
        <w:trPr/>
        <w:tc>
          <w:tcPr>
            <w:tcW w:type="dxa" w:w="3096"/>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4"/>
                <w:szCs w:val="22"/>
                <w:lang w:val="en-US" w:eastAsia="en-US" w:bidi="ar-SA"/>
              </w:rPr>
              <w:t>Highest adult education</w:t>
            </w:r>
          </w:p>
        </w:tc>
        <w:tc>
          <w:tcPr>
            <w:tcW w:type="dxa" w:w="3888"/>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College+</w:t>
            </w:r>
          </w:p>
        </w:tc>
        <w:tc>
          <w:tcPr>
            <w:tcW w:type="dxa" w:w="2376"/>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48.9 (1.3)</w:t>
            </w:r>
          </w:p>
        </w:tc>
        <w:tc>
          <w:tcPr>
            <w:tcW w:type="dxa" w:w="2376"/>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26.3 (3.4)</w:t>
            </w:r>
          </w:p>
        </w:tc>
        <w:tc>
          <w:tcPr>
            <w:tcW w:type="dxa" w:w="1944"/>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0.479</w:t>
            </w:r>
          </w:p>
        </w:tc>
      </w:tr>
      <w:tr>
        <w:trPr/>
        <w:tc>
          <w:tcPr>
            <w:tcW w:type="dxa" w:w="3096"/>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4"/>
                <w:szCs w:val="22"/>
                <w:lang w:val="en-US" w:eastAsia="en-US" w:bidi="ar-SA"/>
              </w:rPr>
              <w:t>Highest adult education</w:t>
            </w:r>
          </w:p>
        </w:tc>
        <w:tc>
          <w:tcPr>
            <w:tcW w:type="dxa" w:w="3888"/>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High school/GED</w:t>
            </w:r>
          </w:p>
        </w:tc>
        <w:tc>
          <w:tcPr>
            <w:tcW w:type="dxa" w:w="2376"/>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20.7 (1.2)</w:t>
            </w:r>
          </w:p>
        </w:tc>
        <w:tc>
          <w:tcPr>
            <w:tcW w:type="dxa" w:w="2376"/>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32.4 (4.7)</w:t>
            </w:r>
          </w:p>
        </w:tc>
        <w:tc>
          <w:tcPr>
            <w:tcW w:type="dxa" w:w="1944"/>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-0.268</w:t>
            </w:r>
          </w:p>
        </w:tc>
      </w:tr>
      <w:tr>
        <w:trPr/>
        <w:tc>
          <w:tcPr>
            <w:tcW w:type="dxa" w:w="3096"/>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4"/>
                <w:szCs w:val="22"/>
                <w:lang w:val="en-US" w:eastAsia="en-US" w:bidi="ar-SA"/>
              </w:rPr>
              <w:t>Highest adult education</w:t>
            </w:r>
          </w:p>
        </w:tc>
        <w:tc>
          <w:tcPr>
            <w:tcW w:type="dxa" w:w="3888"/>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Some college/technical</w:t>
            </w:r>
          </w:p>
        </w:tc>
        <w:tc>
          <w:tcPr>
            <w:tcW w:type="dxa" w:w="2376"/>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23.0 (1.0)</w:t>
            </w:r>
          </w:p>
        </w:tc>
        <w:tc>
          <w:tcPr>
            <w:tcW w:type="dxa" w:w="2376"/>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25.1 (3.9)</w:t>
            </w:r>
          </w:p>
        </w:tc>
        <w:tc>
          <w:tcPr>
            <w:tcW w:type="dxa" w:w="1944"/>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-0.049</w:t>
            </w:r>
          </w:p>
        </w:tc>
      </w:tr>
      <w:tr>
        <w:trPr/>
        <w:tc>
          <w:tcPr>
            <w:tcW w:type="dxa" w:w="3096"/>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4"/>
                <w:szCs w:val="22"/>
                <w:lang w:val="en-US" w:eastAsia="en-US" w:bidi="ar-SA"/>
              </w:rPr>
              <w:t>Insurance</w:t>
            </w:r>
          </w:p>
        </w:tc>
        <w:tc>
          <w:tcPr>
            <w:tcW w:type="dxa" w:w="3888"/>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(Missing)</w:t>
            </w:r>
          </w:p>
        </w:tc>
        <w:tc>
          <w:tcPr>
            <w:tcW w:type="dxa" w:w="2376"/>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0.0 (0.0)</w:t>
            </w:r>
          </w:p>
        </w:tc>
        <w:tc>
          <w:tcPr>
            <w:tcW w:type="dxa" w:w="2376"/>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9.8 (2.4)</w:t>
            </w:r>
          </w:p>
        </w:tc>
        <w:tc>
          <w:tcPr>
            <w:tcW w:type="dxa" w:w="1944"/>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-0.467</w:t>
            </w:r>
          </w:p>
        </w:tc>
      </w:tr>
      <w:tr>
        <w:trPr/>
        <w:tc>
          <w:tcPr>
            <w:tcW w:type="dxa" w:w="3096"/>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4"/>
                <w:szCs w:val="22"/>
                <w:lang w:val="en-US" w:eastAsia="en-US" w:bidi="ar-SA"/>
              </w:rPr>
              <w:t>Insurance</w:t>
            </w:r>
          </w:p>
        </w:tc>
        <w:tc>
          <w:tcPr>
            <w:tcW w:type="dxa" w:w="3888"/>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Adequate and continuous</w:t>
            </w:r>
          </w:p>
        </w:tc>
        <w:tc>
          <w:tcPr>
            <w:tcW w:type="dxa" w:w="2376"/>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60.7 (1.3)</w:t>
            </w:r>
          </w:p>
        </w:tc>
        <w:tc>
          <w:tcPr>
            <w:tcW w:type="dxa" w:w="2376"/>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52.7 (4.9)</w:t>
            </w:r>
          </w:p>
        </w:tc>
        <w:tc>
          <w:tcPr>
            <w:tcW w:type="dxa" w:w="1944"/>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0.163</w:t>
            </w:r>
          </w:p>
        </w:tc>
      </w:tr>
      <w:tr>
        <w:trPr/>
        <w:tc>
          <w:tcPr>
            <w:tcW w:type="dxa" w:w="3096"/>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4"/>
                <w:szCs w:val="22"/>
                <w:lang w:val="en-US" w:eastAsia="en-US" w:bidi="ar-SA"/>
              </w:rPr>
              <w:t>Insurance</w:t>
            </w:r>
          </w:p>
        </w:tc>
        <w:tc>
          <w:tcPr>
            <w:tcW w:type="dxa" w:w="3888"/>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Inadequate/gap/uninsured</w:t>
            </w:r>
          </w:p>
        </w:tc>
        <w:tc>
          <w:tcPr>
            <w:tcW w:type="dxa" w:w="2376"/>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39.3 (1.3)</w:t>
            </w:r>
          </w:p>
        </w:tc>
        <w:tc>
          <w:tcPr>
            <w:tcW w:type="dxa" w:w="2376"/>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37.5 (4.9)</w:t>
            </w:r>
          </w:p>
        </w:tc>
        <w:tc>
          <w:tcPr>
            <w:tcW w:type="dxa" w:w="1944"/>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0.036</w:t>
            </w:r>
          </w:p>
        </w:tc>
      </w:tr>
      <w:tr>
        <w:trPr/>
        <w:tc>
          <w:tcPr>
            <w:tcW w:type="dxa" w:w="3096"/>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4"/>
                <w:szCs w:val="22"/>
                <w:lang w:val="en-US" w:eastAsia="en-US" w:bidi="ar-SA"/>
              </w:rPr>
              <w:t>Preterm birth</w:t>
            </w:r>
          </w:p>
        </w:tc>
        <w:tc>
          <w:tcPr>
            <w:tcW w:type="dxa" w:w="3888"/>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(Missing)</w:t>
            </w:r>
          </w:p>
        </w:tc>
        <w:tc>
          <w:tcPr>
            <w:tcW w:type="dxa" w:w="2376"/>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0.0 (0.0)</w:t>
            </w:r>
          </w:p>
        </w:tc>
        <w:tc>
          <w:tcPr>
            <w:tcW w:type="dxa" w:w="2376"/>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15.4 (2.8)</w:t>
            </w:r>
          </w:p>
        </w:tc>
        <w:tc>
          <w:tcPr>
            <w:tcW w:type="dxa" w:w="1944"/>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-0.605</w:t>
            </w:r>
          </w:p>
        </w:tc>
      </w:tr>
      <w:tr>
        <w:trPr/>
        <w:tc>
          <w:tcPr>
            <w:tcW w:type="dxa" w:w="3096"/>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4"/>
                <w:szCs w:val="22"/>
                <w:lang w:val="en-US" w:eastAsia="en-US" w:bidi="ar-SA"/>
              </w:rPr>
              <w:t>Preterm birth</w:t>
            </w:r>
          </w:p>
        </w:tc>
        <w:tc>
          <w:tcPr>
            <w:tcW w:type="dxa" w:w="3888"/>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No</w:t>
            </w:r>
          </w:p>
        </w:tc>
        <w:tc>
          <w:tcPr>
            <w:tcW w:type="dxa" w:w="2376"/>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82.3 (1.0)</w:t>
            </w:r>
          </w:p>
        </w:tc>
        <w:tc>
          <w:tcPr>
            <w:tcW w:type="dxa" w:w="2376"/>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72.3 (4.1)</w:t>
            </w:r>
          </w:p>
        </w:tc>
        <w:tc>
          <w:tcPr>
            <w:tcW w:type="dxa" w:w="1944"/>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0.241</w:t>
            </w:r>
          </w:p>
        </w:tc>
      </w:tr>
      <w:tr>
        <w:trPr/>
        <w:tc>
          <w:tcPr>
            <w:tcW w:type="dxa" w:w="3096"/>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4"/>
                <w:szCs w:val="22"/>
                <w:lang w:val="en-US" w:eastAsia="en-US" w:bidi="ar-SA"/>
              </w:rPr>
              <w:t>Preterm birth</w:t>
            </w:r>
          </w:p>
        </w:tc>
        <w:tc>
          <w:tcPr>
            <w:tcW w:type="dxa" w:w="3888"/>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Yes</w:t>
            </w:r>
          </w:p>
        </w:tc>
        <w:tc>
          <w:tcPr>
            <w:tcW w:type="dxa" w:w="2376"/>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17.7 (1.0)</w:t>
            </w:r>
          </w:p>
        </w:tc>
        <w:tc>
          <w:tcPr>
            <w:tcW w:type="dxa" w:w="2376"/>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12.2 (3.2)</w:t>
            </w:r>
          </w:p>
        </w:tc>
        <w:tc>
          <w:tcPr>
            <w:tcW w:type="dxa" w:w="1944"/>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0.153</w:t>
            </w:r>
          </w:p>
        </w:tc>
      </w:tr>
      <w:tr>
        <w:trPr/>
        <w:tc>
          <w:tcPr>
            <w:tcW w:type="dxa" w:w="3096"/>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4"/>
                <w:szCs w:val="22"/>
                <w:lang w:val="en-US" w:eastAsia="en-US" w:bidi="ar-SA"/>
              </w:rPr>
              <w:t>Low birth weight</w:t>
            </w:r>
          </w:p>
        </w:tc>
        <w:tc>
          <w:tcPr>
            <w:tcW w:type="dxa" w:w="3888"/>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(Missing)</w:t>
            </w:r>
          </w:p>
        </w:tc>
        <w:tc>
          <w:tcPr>
            <w:tcW w:type="dxa" w:w="2376"/>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0.0 (0.0)</w:t>
            </w:r>
          </w:p>
        </w:tc>
        <w:tc>
          <w:tcPr>
            <w:tcW w:type="dxa" w:w="2376"/>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49.6 (5.0)</w:t>
            </w:r>
          </w:p>
        </w:tc>
        <w:tc>
          <w:tcPr>
            <w:tcW w:type="dxa" w:w="1944"/>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-1.403</w:t>
            </w:r>
          </w:p>
        </w:tc>
      </w:tr>
      <w:tr>
        <w:trPr/>
        <w:tc>
          <w:tcPr>
            <w:tcW w:type="dxa" w:w="3096"/>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4"/>
                <w:szCs w:val="22"/>
                <w:lang w:val="en-US" w:eastAsia="en-US" w:bidi="ar-SA"/>
              </w:rPr>
              <w:t>Low birth weight</w:t>
            </w:r>
          </w:p>
        </w:tc>
        <w:tc>
          <w:tcPr>
            <w:tcW w:type="dxa" w:w="3888"/>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No</w:t>
            </w:r>
          </w:p>
        </w:tc>
        <w:tc>
          <w:tcPr>
            <w:tcW w:type="dxa" w:w="2376"/>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86.3 (0.8)</w:t>
            </w:r>
          </w:p>
        </w:tc>
        <w:tc>
          <w:tcPr>
            <w:tcW w:type="dxa" w:w="2376"/>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39.8 (4.8)</w:t>
            </w:r>
          </w:p>
        </w:tc>
        <w:tc>
          <w:tcPr>
            <w:tcW w:type="dxa" w:w="1944"/>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1.100</w:t>
            </w:r>
          </w:p>
        </w:tc>
      </w:tr>
      <w:tr>
        <w:trPr/>
        <w:tc>
          <w:tcPr>
            <w:tcW w:type="dxa" w:w="3096"/>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4"/>
                <w:szCs w:val="22"/>
                <w:lang w:val="en-US" w:eastAsia="en-US" w:bidi="ar-SA"/>
              </w:rPr>
              <w:t>Low birth weight</w:t>
            </w:r>
          </w:p>
        </w:tc>
        <w:tc>
          <w:tcPr>
            <w:tcW w:type="dxa" w:w="3888"/>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Yes</w:t>
            </w:r>
          </w:p>
        </w:tc>
        <w:tc>
          <w:tcPr>
            <w:tcW w:type="dxa" w:w="2376"/>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13.7 (0.8)</w:t>
            </w:r>
          </w:p>
        </w:tc>
        <w:tc>
          <w:tcPr>
            <w:tcW w:type="dxa" w:w="2376"/>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10.6 (2.8)</w:t>
            </w:r>
          </w:p>
        </w:tc>
        <w:tc>
          <w:tcPr>
            <w:tcW w:type="dxa" w:w="1944"/>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0.094</w:t>
            </w:r>
          </w:p>
        </w:tc>
      </w:tr>
      <w:tr>
        <w:trPr/>
        <w:tc>
          <w:tcPr>
            <w:tcW w:type="dxa" w:w="3096"/>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4"/>
                <w:szCs w:val="22"/>
                <w:lang w:val="en-US" w:eastAsia="en-US" w:bidi="ar-SA"/>
              </w:rPr>
              <w:t>Parent-rated asthma severity</w:t>
            </w:r>
          </w:p>
        </w:tc>
        <w:tc>
          <w:tcPr>
            <w:tcW w:type="dxa" w:w="3888"/>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(Missing)</w:t>
            </w:r>
          </w:p>
        </w:tc>
        <w:tc>
          <w:tcPr>
            <w:tcW w:type="dxa" w:w="2376"/>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0.0 (0.0)</w:t>
            </w:r>
          </w:p>
        </w:tc>
        <w:tc>
          <w:tcPr>
            <w:tcW w:type="dxa" w:w="2376"/>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2.1 (1.0)</w:t>
            </w:r>
          </w:p>
        </w:tc>
        <w:tc>
          <w:tcPr>
            <w:tcW w:type="dxa" w:w="1944"/>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-0.206</w:t>
            </w:r>
          </w:p>
        </w:tc>
      </w:tr>
      <w:tr>
        <w:trPr/>
        <w:tc>
          <w:tcPr>
            <w:tcW w:type="dxa" w:w="3096"/>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4"/>
                <w:szCs w:val="22"/>
                <w:lang w:val="en-US" w:eastAsia="en-US" w:bidi="ar-SA"/>
              </w:rPr>
              <w:t>Parent-rated asthma severity</w:t>
            </w:r>
          </w:p>
        </w:tc>
        <w:tc>
          <w:tcPr>
            <w:tcW w:type="dxa" w:w="3888"/>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Mild</w:t>
            </w:r>
          </w:p>
        </w:tc>
        <w:tc>
          <w:tcPr>
            <w:tcW w:type="dxa" w:w="2376"/>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71.0 (1.1)</w:t>
            </w:r>
          </w:p>
        </w:tc>
        <w:tc>
          <w:tcPr>
            <w:tcW w:type="dxa" w:w="2376"/>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54.8 (5.2)</w:t>
            </w:r>
          </w:p>
        </w:tc>
        <w:tc>
          <w:tcPr>
            <w:tcW w:type="dxa" w:w="1944"/>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0.340</w:t>
            </w:r>
          </w:p>
        </w:tc>
      </w:tr>
      <w:tr>
        <w:trPr/>
        <w:tc>
          <w:tcPr>
            <w:tcW w:type="dxa" w:w="3096"/>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4"/>
                <w:szCs w:val="22"/>
                <w:lang w:val="en-US" w:eastAsia="en-US" w:bidi="ar-SA"/>
              </w:rPr>
              <w:t>Parent-rated asthma severity</w:t>
            </w:r>
          </w:p>
        </w:tc>
        <w:tc>
          <w:tcPr>
            <w:tcW w:type="dxa" w:w="3888"/>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Moderate/severe</w:t>
            </w:r>
          </w:p>
        </w:tc>
        <w:tc>
          <w:tcPr>
            <w:tcW w:type="dxa" w:w="2376"/>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29.0 (1.1)</w:t>
            </w:r>
          </w:p>
        </w:tc>
        <w:tc>
          <w:tcPr>
            <w:tcW w:type="dxa" w:w="2376"/>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43.1 (5.2)</w:t>
            </w:r>
          </w:p>
        </w:tc>
        <w:tc>
          <w:tcPr>
            <w:tcW w:type="dxa" w:w="1944"/>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-0.297</w:t>
            </w:r>
          </w:p>
        </w:tc>
      </w:tr>
      <w:tr>
        <w:trPr/>
        <w:tc>
          <w:tcPr>
            <w:tcW w:type="dxa" w:w="3096"/>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4"/>
                <w:szCs w:val="22"/>
                <w:lang w:val="en-US" w:eastAsia="en-US" w:bidi="ar-SA"/>
              </w:rPr>
              <w:t>BMI category</w:t>
            </w:r>
          </w:p>
        </w:tc>
        <w:tc>
          <w:tcPr>
            <w:tcW w:type="dxa" w:w="3888"/>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(Missing)</w:t>
            </w:r>
          </w:p>
        </w:tc>
        <w:tc>
          <w:tcPr>
            <w:tcW w:type="dxa" w:w="2376"/>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4.3 (0.5)</w:t>
            </w:r>
          </w:p>
        </w:tc>
        <w:tc>
          <w:tcPr>
            <w:tcW w:type="dxa" w:w="2376"/>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19.3 (3.4)</w:t>
            </w:r>
          </w:p>
        </w:tc>
        <w:tc>
          <w:tcPr>
            <w:tcW w:type="dxa" w:w="1944"/>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-0.480</w:t>
            </w:r>
          </w:p>
        </w:tc>
      </w:tr>
      <w:tr>
        <w:trPr/>
        <w:tc>
          <w:tcPr>
            <w:tcW w:type="dxa" w:w="3096"/>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4"/>
                <w:szCs w:val="22"/>
                <w:lang w:val="en-US" w:eastAsia="en-US" w:bidi="ar-SA"/>
              </w:rPr>
              <w:t>BMI category</w:t>
            </w:r>
          </w:p>
        </w:tc>
        <w:tc>
          <w:tcPr>
            <w:tcW w:type="dxa" w:w="3888"/>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Normal weight</w:t>
            </w:r>
          </w:p>
        </w:tc>
        <w:tc>
          <w:tcPr>
            <w:tcW w:type="dxa" w:w="2376"/>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49.3 (1.3)</w:t>
            </w:r>
          </w:p>
        </w:tc>
        <w:tc>
          <w:tcPr>
            <w:tcW w:type="dxa" w:w="2376"/>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31.2 (3.9)</w:t>
            </w:r>
          </w:p>
        </w:tc>
        <w:tc>
          <w:tcPr>
            <w:tcW w:type="dxa" w:w="1944"/>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0.374</w:t>
            </w:r>
          </w:p>
        </w:tc>
      </w:tr>
      <w:tr>
        <w:trPr/>
        <w:tc>
          <w:tcPr>
            <w:tcW w:type="dxa" w:w="3096"/>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4"/>
                <w:szCs w:val="22"/>
                <w:lang w:val="en-US" w:eastAsia="en-US" w:bidi="ar-SA"/>
              </w:rPr>
              <w:t>BMI category</w:t>
            </w:r>
          </w:p>
        </w:tc>
        <w:tc>
          <w:tcPr>
            <w:tcW w:type="dxa" w:w="3888"/>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Obese</w:t>
            </w:r>
          </w:p>
        </w:tc>
        <w:tc>
          <w:tcPr>
            <w:tcW w:type="dxa" w:w="2376"/>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22.2 (1.2)</w:t>
            </w:r>
          </w:p>
        </w:tc>
        <w:tc>
          <w:tcPr>
            <w:tcW w:type="dxa" w:w="2376"/>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20.5 (3.6)</w:t>
            </w:r>
          </w:p>
        </w:tc>
        <w:tc>
          <w:tcPr>
            <w:tcW w:type="dxa" w:w="1944"/>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0.043</w:t>
            </w:r>
          </w:p>
        </w:tc>
      </w:tr>
      <w:tr>
        <w:trPr/>
        <w:tc>
          <w:tcPr>
            <w:tcW w:type="dxa" w:w="3096"/>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4"/>
                <w:szCs w:val="22"/>
                <w:lang w:val="en-US" w:eastAsia="en-US" w:bidi="ar-SA"/>
              </w:rPr>
              <w:t>BMI category</w:t>
            </w:r>
          </w:p>
        </w:tc>
        <w:tc>
          <w:tcPr>
            <w:tcW w:type="dxa" w:w="3888"/>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Overweight</w:t>
            </w:r>
          </w:p>
        </w:tc>
        <w:tc>
          <w:tcPr>
            <w:tcW w:type="dxa" w:w="2376"/>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17.3 (1.0)</w:t>
            </w:r>
          </w:p>
        </w:tc>
        <w:tc>
          <w:tcPr>
            <w:tcW w:type="dxa" w:w="2376"/>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16.1 (4.0)</w:t>
            </w:r>
          </w:p>
        </w:tc>
        <w:tc>
          <w:tcPr>
            <w:tcW w:type="dxa" w:w="1944"/>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0.032</w:t>
            </w:r>
          </w:p>
        </w:tc>
      </w:tr>
      <w:tr>
        <w:trPr/>
        <w:tc>
          <w:tcPr>
            <w:tcW w:type="dxa" w:w="3096"/>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4"/>
                <w:szCs w:val="22"/>
                <w:lang w:val="en-US" w:eastAsia="en-US" w:bidi="ar-SA"/>
              </w:rPr>
              <w:t>BMI category</w:t>
            </w:r>
          </w:p>
        </w:tc>
        <w:tc>
          <w:tcPr>
            <w:tcW w:type="dxa" w:w="3888"/>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Underweight</w:t>
            </w:r>
          </w:p>
        </w:tc>
        <w:tc>
          <w:tcPr>
            <w:tcW w:type="dxa" w:w="2376"/>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6.9 (0.6)</w:t>
            </w:r>
          </w:p>
        </w:tc>
        <w:tc>
          <w:tcPr>
            <w:tcW w:type="dxa" w:w="2376"/>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12.8 (5.2)</w:t>
            </w:r>
          </w:p>
        </w:tc>
        <w:tc>
          <w:tcPr>
            <w:tcW w:type="dxa" w:w="1944"/>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-0.199</w:t>
            </w:r>
          </w:p>
        </w:tc>
      </w:tr>
      <w:tr>
        <w:trPr/>
        <w:tc>
          <w:tcPr>
            <w:tcW w:type="dxa" w:w="3096"/>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4"/>
                <w:szCs w:val="22"/>
                <w:lang w:val="en-US" w:eastAsia="en-US" w:bidi="ar-SA"/>
              </w:rPr>
              <w:t>Multimorbidity</w:t>
            </w:r>
          </w:p>
        </w:tc>
        <w:tc>
          <w:tcPr>
            <w:tcW w:type="dxa" w:w="3888"/>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(Missing)</w:t>
            </w:r>
          </w:p>
        </w:tc>
        <w:tc>
          <w:tcPr>
            <w:tcW w:type="dxa" w:w="2376"/>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0.0 (0.0)</w:t>
            </w:r>
          </w:p>
        </w:tc>
        <w:tc>
          <w:tcPr>
            <w:tcW w:type="dxa" w:w="2376"/>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0.0 (0.0)</w:t>
            </w:r>
          </w:p>
        </w:tc>
        <w:tc>
          <w:tcPr>
            <w:tcW w:type="dxa" w:w="1944"/>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0.000</w:t>
            </w:r>
          </w:p>
        </w:tc>
      </w:tr>
      <w:tr>
        <w:trPr/>
        <w:tc>
          <w:tcPr>
            <w:tcW w:type="dxa" w:w="3096"/>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4"/>
                <w:szCs w:val="22"/>
                <w:lang w:val="en-US" w:eastAsia="en-US" w:bidi="ar-SA"/>
              </w:rPr>
              <w:t>Multimorbidity</w:t>
            </w:r>
          </w:p>
        </w:tc>
        <w:tc>
          <w:tcPr>
            <w:tcW w:type="dxa" w:w="3888"/>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Asthma only</w:t>
            </w:r>
          </w:p>
        </w:tc>
        <w:tc>
          <w:tcPr>
            <w:tcW w:type="dxa" w:w="2376"/>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17.4 (0.9)</w:t>
            </w:r>
          </w:p>
        </w:tc>
        <w:tc>
          <w:tcPr>
            <w:tcW w:type="dxa" w:w="2376"/>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22.1 (3.4)</w:t>
            </w:r>
          </w:p>
        </w:tc>
        <w:tc>
          <w:tcPr>
            <w:tcW w:type="dxa" w:w="1944"/>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-0.119</w:t>
            </w:r>
          </w:p>
        </w:tc>
      </w:tr>
      <w:tr>
        <w:trPr/>
        <w:tc>
          <w:tcPr>
            <w:tcW w:type="dxa" w:w="3096"/>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4"/>
                <w:szCs w:val="22"/>
                <w:lang w:val="en-US" w:eastAsia="en-US" w:bidi="ar-SA"/>
              </w:rPr>
              <w:t>Multimorbidity</w:t>
            </w:r>
          </w:p>
        </w:tc>
        <w:tc>
          <w:tcPr>
            <w:tcW w:type="dxa" w:w="3888"/>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Asthma plus at least 1 other condition</w:t>
            </w:r>
          </w:p>
        </w:tc>
        <w:tc>
          <w:tcPr>
            <w:tcW w:type="dxa" w:w="2376"/>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82.6 (0.9)</w:t>
            </w:r>
          </w:p>
        </w:tc>
        <w:tc>
          <w:tcPr>
            <w:tcW w:type="dxa" w:w="2376"/>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77.9 (3.4)</w:t>
            </w:r>
          </w:p>
        </w:tc>
        <w:tc>
          <w:tcPr>
            <w:tcW w:type="dxa" w:w="1944"/>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0.119</w:t>
            </w:r>
          </w:p>
        </w:tc>
      </w:tr>
      <w:tr>
        <w:trPr/>
        <w:tc>
          <w:tcPr>
            <w:tcW w:type="dxa" w:w="3096"/>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4"/>
                <w:szCs w:val="22"/>
                <w:lang w:val="en-US" w:eastAsia="en-US" w:bidi="ar-SA"/>
              </w:rPr>
              <w:t>Survey year</w:t>
            </w:r>
          </w:p>
        </w:tc>
        <w:tc>
          <w:tcPr>
            <w:tcW w:type="dxa" w:w="3888"/>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(Missing)</w:t>
            </w:r>
          </w:p>
        </w:tc>
        <w:tc>
          <w:tcPr>
            <w:tcW w:type="dxa" w:w="2376"/>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0.0 (0.0)</w:t>
            </w:r>
          </w:p>
        </w:tc>
        <w:tc>
          <w:tcPr>
            <w:tcW w:type="dxa" w:w="2376"/>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0.0 (0.0)</w:t>
            </w:r>
          </w:p>
        </w:tc>
        <w:tc>
          <w:tcPr>
            <w:tcW w:type="dxa" w:w="1944"/>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0.000</w:t>
            </w:r>
          </w:p>
        </w:tc>
      </w:tr>
      <w:tr>
        <w:trPr/>
        <w:tc>
          <w:tcPr>
            <w:tcW w:type="dxa" w:w="3096"/>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4"/>
                <w:szCs w:val="22"/>
                <w:lang w:val="en-US" w:eastAsia="en-US" w:bidi="ar-SA"/>
              </w:rPr>
              <w:t>Survey year</w:t>
            </w:r>
          </w:p>
        </w:tc>
        <w:tc>
          <w:tcPr>
            <w:tcW w:type="dxa" w:w="3888"/>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2023</w:t>
            </w:r>
          </w:p>
        </w:tc>
        <w:tc>
          <w:tcPr>
            <w:tcW w:type="dxa" w:w="2376"/>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49.4 (1.3)</w:t>
            </w:r>
          </w:p>
        </w:tc>
        <w:tc>
          <w:tcPr>
            <w:tcW w:type="dxa" w:w="2376"/>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41.1 (4.7)</w:t>
            </w:r>
          </w:p>
        </w:tc>
        <w:tc>
          <w:tcPr>
            <w:tcW w:type="dxa" w:w="1944"/>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0.167</w:t>
            </w:r>
          </w:p>
        </w:tc>
      </w:tr>
      <w:tr>
        <w:trPr/>
        <w:tc>
          <w:tcPr>
            <w:tcW w:type="dxa" w:w="3096"/>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4"/>
                <w:szCs w:val="22"/>
                <w:lang w:val="en-US" w:eastAsia="en-US" w:bidi="ar-SA"/>
              </w:rPr>
              <w:t>Survey year</w:t>
            </w:r>
          </w:p>
        </w:tc>
        <w:tc>
          <w:tcPr>
            <w:tcW w:type="dxa" w:w="3888"/>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2024</w:t>
            </w:r>
          </w:p>
        </w:tc>
        <w:tc>
          <w:tcPr>
            <w:tcW w:type="dxa" w:w="2376"/>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50.6 (1.3)</w:t>
            </w:r>
          </w:p>
        </w:tc>
        <w:tc>
          <w:tcPr>
            <w:tcW w:type="dxa" w:w="2376"/>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58.9 (4.7)</w:t>
            </w:r>
          </w:p>
        </w:tc>
        <w:tc>
          <w:tcPr>
            <w:tcW w:type="dxa" w:w="1944"/>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4"/>
                <w:szCs w:val="22"/>
                <w:lang w:val="en-US" w:eastAsia="en-US" w:bidi="ar-SA"/>
              </w:rPr>
              <w:t>-0.167</w:t>
            </w:r>
          </w:p>
        </w:tc>
      </w:tr>
    </w:tbl>
    <w:p>
      <w:pPr>
        <w:pStyle w:val="Normal"/>
        <w:keepNext w:val="0"/>
        <w:keepLines w:val="0"/>
        <w:widowControl/>
        <w:spacing w:before="0" w:after="120" w:line="480" w:lineRule="auto"/>
        <w:jc w:val="left"/>
      </w:pPr>
      <w:r>
        <w:rPr>
          <w:rFonts w:ascii="Times New Roman" w:hAnsi="Times New Roman" w:eastAsia="Times New Roman" w:cs="Times New Roman"/>
          <w:i/>
          <w:color w:val="000000"/>
          <w:sz w:val="17"/>
          <w:szCs w:val="22"/>
          <w:lang w:val="en-US" w:eastAsia="en-US" w:bidi="ar-SA"/>
        </w:rPr>
        <w:t>Rows labeled “(Missing)” show the weighted proportion missing for that characteristic. Standardized differences (included minus excluded) are descriptive; nonzero values indicate observed differences that may contribute to complete-case selection bias.</w:t>
      </w:r>
    </w:p>
    <w:p>
      <w:pPr>
        <w:pStyle w:val="Normal"/>
        <w:spacing w:line="480" w:lineRule="auto"/>
        <w:sectPr>
          <w:pgSz w:w="15840" w:h="12240" w:orient="landscape"/>
          <w:pgMar w:top="936" w:right="792" w:bottom="936" w:left="792" w:header="432" w:footer="432" w:gutter="0"/>
          <w:cols w:space="720"/>
          <w:docGrid w:linePitch="360"/>
        </w:sectPr>
      </w:pPr>
    </w:p>
    <w:p>
      <w:pPr>
        <w:pStyle w:val="Normal"/>
        <w:keepNext/>
        <w:keepLines/>
        <w:widowControl/>
        <w:spacing w:before="120" w:after="80" w:line="480" w:lineRule="auto"/>
        <w:jc w:val="left"/>
      </w:pPr>
      <w:r>
        <w:rPr>
          <w:rFonts w:ascii="Times New Roman" w:hAnsi="Times New Roman" w:eastAsia="Times New Roman" w:cs="Times New Roman"/>
          <w:b/>
          <w:color w:val="000000"/>
          <w:sz w:val="24"/>
          <w:szCs w:val="22"/>
          <w:lang w:val="en-US" w:eastAsia="en-US" w:bidi="ar-SA"/>
        </w:rPr>
        <w:t>Supplementary Table S10. Diagnostics across the six federal-poverty-level implicates.</w:t>
      </w:r>
    </w:p>
    <w:tbl>
      <w:tblPr>
        <w:tblStyle w:val="TableGrid"/>
        <w:tblW w:type="auto" w:w="0"/>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firstColumn="1" w:firstRow="1" w:lastColumn="0" w:lastRow="0" w:noHBand="0" w:noVBand="1" w:val="04A0"/>
      </w:tblPr>
      <w:tblGrid>
        <w:gridCol w:w="1800"/>
        <w:gridCol w:w="3168"/>
        <w:gridCol w:w="1152"/>
        <w:gridCol w:w="1152"/>
        <w:gridCol w:w="1440"/>
      </w:tblGrid>
      <w:tr>
        <w:trPr>
          <w:trHeight w:hRule="atLeast"/>
          <w:tblHeader/>
        </w:trPr>
        <w:tc>
          <w:tcPr>
            <w:tcW w:type="dxa" w:w="1800"/>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Arial" w:cs="Arial"/>
                <w:b/>
                <w:color w:val="000000"/>
                <w:sz w:val="16"/>
                <w:szCs w:val="22"/>
                <w:lang w:val="en-US" w:eastAsia="en-US" w:bidi="ar-SA"/>
              </w:rPr>
              <w:t>FPL implicate</w:t>
            </w:r>
          </w:p>
        </w:tc>
        <w:tc>
          <w:tcPr>
            <w:tcW w:type="dxa" w:w="3168"/>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Arial" w:cs="Arial"/>
                <w:b/>
                <w:color w:val="000000"/>
                <w:sz w:val="16"/>
                <w:szCs w:val="22"/>
                <w:lang w:val="en-US" w:eastAsia="en-US" w:bidi="ar-SA"/>
              </w:rPr>
              <w:t>aOR (95% CI)</w:t>
            </w:r>
          </w:p>
        </w:tc>
        <w:tc>
          <w:tcPr>
            <w:tcW w:type="dxa" w:w="1152"/>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Arial" w:cs="Arial"/>
                <w:b/>
                <w:color w:val="000000"/>
                <w:sz w:val="16"/>
                <w:szCs w:val="22"/>
                <w:lang w:val="en-US" w:eastAsia="en-US" w:bidi="ar-SA"/>
              </w:rPr>
              <w:t>P value</w:t>
            </w:r>
          </w:p>
        </w:tc>
        <w:tc>
          <w:tcPr>
            <w:tcW w:type="dxa" w:w="1152"/>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Arial" w:cs="Arial"/>
                <w:b/>
                <w:color w:val="000000"/>
                <w:sz w:val="16"/>
                <w:szCs w:val="22"/>
                <w:lang w:val="en-US" w:eastAsia="en-US" w:bidi="ar-SA"/>
              </w:rPr>
              <w:t>n</w:t>
            </w:r>
          </w:p>
        </w:tc>
        <w:tc>
          <w:tcPr>
            <w:tcW w:type="dxa" w:w="1440"/>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Arial" w:cs="Arial"/>
                <w:b/>
                <w:color w:val="000000"/>
                <w:sz w:val="16"/>
                <w:szCs w:val="22"/>
                <w:lang w:val="en-US" w:eastAsia="en-US" w:bidi="ar-SA"/>
              </w:rPr>
              <w:t>Converged</w:t>
            </w:r>
          </w:p>
        </w:tc>
      </w:tr>
      <w:tr>
        <w:trPr/>
        <w:tc>
          <w:tcPr>
            <w:tcW w:type="dxa" w:w="1800"/>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6"/>
                <w:szCs w:val="22"/>
                <w:lang w:val="en-US" w:eastAsia="en-US" w:bidi="ar-SA"/>
              </w:rPr>
              <w:t>1</w:t>
            </w:r>
          </w:p>
        </w:tc>
        <w:tc>
          <w:tcPr>
            <w:tcW w:type="dxa" w:w="3168"/>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1.4395 (1.2676–1.6347)</w:t>
            </w:r>
          </w:p>
        </w:tc>
        <w:tc>
          <w:tcPr>
            <w:tcW w:type="dxa" w:w="1152"/>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&lt;.001</w:t>
            </w:r>
          </w:p>
        </w:tc>
        <w:tc>
          <w:tcPr>
            <w:tcW w:type="dxa" w:w="1152"/>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5647</w:t>
            </w:r>
          </w:p>
        </w:tc>
        <w:tc>
          <w:tcPr>
            <w:tcW w:type="dxa" w:w="144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TRUE</w:t>
            </w:r>
          </w:p>
        </w:tc>
      </w:tr>
      <w:tr>
        <w:trPr/>
        <w:tc>
          <w:tcPr>
            <w:tcW w:type="dxa" w:w="1800"/>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6"/>
                <w:szCs w:val="22"/>
                <w:lang w:val="en-US" w:eastAsia="en-US" w:bidi="ar-SA"/>
              </w:rPr>
              <w:t>2</w:t>
            </w:r>
          </w:p>
        </w:tc>
        <w:tc>
          <w:tcPr>
            <w:tcW w:type="dxa" w:w="3168"/>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1.4464 (1.2742–1.6418)</w:t>
            </w:r>
          </w:p>
        </w:tc>
        <w:tc>
          <w:tcPr>
            <w:tcW w:type="dxa" w:w="1152"/>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&lt;.001</w:t>
            </w:r>
          </w:p>
        </w:tc>
        <w:tc>
          <w:tcPr>
            <w:tcW w:type="dxa" w:w="1152"/>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5647</w:t>
            </w:r>
          </w:p>
        </w:tc>
        <w:tc>
          <w:tcPr>
            <w:tcW w:type="dxa" w:w="144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TRUE</w:t>
            </w:r>
          </w:p>
        </w:tc>
      </w:tr>
      <w:tr>
        <w:trPr/>
        <w:tc>
          <w:tcPr>
            <w:tcW w:type="dxa" w:w="1800"/>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6"/>
                <w:szCs w:val="22"/>
                <w:lang w:val="en-US" w:eastAsia="en-US" w:bidi="ar-SA"/>
              </w:rPr>
              <w:t>3</w:t>
            </w:r>
          </w:p>
        </w:tc>
        <w:tc>
          <w:tcPr>
            <w:tcW w:type="dxa" w:w="3168"/>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1.4481 (1.2750–1.6448)</w:t>
            </w:r>
          </w:p>
        </w:tc>
        <w:tc>
          <w:tcPr>
            <w:tcW w:type="dxa" w:w="1152"/>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&lt;.001</w:t>
            </w:r>
          </w:p>
        </w:tc>
        <w:tc>
          <w:tcPr>
            <w:tcW w:type="dxa" w:w="1152"/>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5647</w:t>
            </w:r>
          </w:p>
        </w:tc>
        <w:tc>
          <w:tcPr>
            <w:tcW w:type="dxa" w:w="144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TRUE</w:t>
            </w:r>
          </w:p>
        </w:tc>
      </w:tr>
      <w:tr>
        <w:trPr/>
        <w:tc>
          <w:tcPr>
            <w:tcW w:type="dxa" w:w="1800"/>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6"/>
                <w:szCs w:val="22"/>
                <w:lang w:val="en-US" w:eastAsia="en-US" w:bidi="ar-SA"/>
              </w:rPr>
              <w:t>4</w:t>
            </w:r>
          </w:p>
        </w:tc>
        <w:tc>
          <w:tcPr>
            <w:tcW w:type="dxa" w:w="3168"/>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1.4418 (1.2702–1.6366)</w:t>
            </w:r>
          </w:p>
        </w:tc>
        <w:tc>
          <w:tcPr>
            <w:tcW w:type="dxa" w:w="1152"/>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&lt;.001</w:t>
            </w:r>
          </w:p>
        </w:tc>
        <w:tc>
          <w:tcPr>
            <w:tcW w:type="dxa" w:w="1152"/>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5647</w:t>
            </w:r>
          </w:p>
        </w:tc>
        <w:tc>
          <w:tcPr>
            <w:tcW w:type="dxa" w:w="144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TRUE</w:t>
            </w:r>
          </w:p>
        </w:tc>
      </w:tr>
      <w:tr>
        <w:trPr/>
        <w:tc>
          <w:tcPr>
            <w:tcW w:type="dxa" w:w="1800"/>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6"/>
                <w:szCs w:val="22"/>
                <w:lang w:val="en-US" w:eastAsia="en-US" w:bidi="ar-SA"/>
              </w:rPr>
              <w:t>5</w:t>
            </w:r>
          </w:p>
        </w:tc>
        <w:tc>
          <w:tcPr>
            <w:tcW w:type="dxa" w:w="3168"/>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1.4445 (1.2718–1.6407)</w:t>
            </w:r>
          </w:p>
        </w:tc>
        <w:tc>
          <w:tcPr>
            <w:tcW w:type="dxa" w:w="1152"/>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&lt;.001</w:t>
            </w:r>
          </w:p>
        </w:tc>
        <w:tc>
          <w:tcPr>
            <w:tcW w:type="dxa" w:w="1152"/>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5647</w:t>
            </w:r>
          </w:p>
        </w:tc>
        <w:tc>
          <w:tcPr>
            <w:tcW w:type="dxa" w:w="144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TRUE</w:t>
            </w:r>
          </w:p>
        </w:tc>
      </w:tr>
      <w:tr>
        <w:trPr/>
        <w:tc>
          <w:tcPr>
            <w:tcW w:type="dxa" w:w="1800"/>
            <w:tcMar>
              <w:top w:w="60" w:type="dxa"/>
              <w:start w:w="70" w:type="dxa"/>
              <w:bottom w:w="60" w:type="dxa"/>
              <w:end w:w="70" w:type="dxa"/>
            </w:tcMar>
            <w:vAlign w:val="center"/>
          </w:tcPr>
          <w:p>
            <w:pPr>
              <w:pStyle w:val="Normal"/>
              <w:keepNext w:val="0"/>
              <w:keepLines w:val="0"/>
              <w:widowControl/>
              <w:spacing w:before="0" w:after="0" w:line="240" w:lineRule="auto"/>
              <w:jc w:val="left"/>
            </w:pPr>
            <w:r>
              <w:rPr>
                <w:rFonts w:ascii="Times New Roman" w:hAnsi="Times New Roman" w:eastAsia="Times New Roman" w:cs="Times New Roman"/>
                <w:b w:val="0"/>
                <w:color w:val="000000"/>
                <w:sz w:val="16"/>
                <w:szCs w:val="22"/>
                <w:lang w:val="en-US" w:eastAsia="en-US" w:bidi="ar-SA"/>
              </w:rPr>
              <w:t>6</w:t>
            </w:r>
          </w:p>
        </w:tc>
        <w:tc>
          <w:tcPr>
            <w:tcW w:type="dxa" w:w="3168"/>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1.4385 (1.2668–1.6334)</w:t>
            </w:r>
          </w:p>
        </w:tc>
        <w:tc>
          <w:tcPr>
            <w:tcW w:type="dxa" w:w="1152"/>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&lt;.001</w:t>
            </w:r>
          </w:p>
        </w:tc>
        <w:tc>
          <w:tcPr>
            <w:tcW w:type="dxa" w:w="1152"/>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5647</w:t>
            </w:r>
          </w:p>
        </w:tc>
        <w:tc>
          <w:tcPr>
            <w:tcW w:type="dxa" w:w="1440"/>
            <w:tcMar>
              <w:top w:w="60" w:type="dxa"/>
              <w:start w:w="70" w:type="dxa"/>
              <w:bottom w:w="60" w:type="dxa"/>
              <w:end w:w="70" w:type="dxa"/>
            </w:tcMar>
            <w:vAlign w:val="center"/>
          </w:tcPr>
          <w:p>
            <w:pPr>
              <w:pStyle w:val="Normal"/>
              <w:keepNext w:val="0"/>
              <w:keepLines w:val="0"/>
              <w:widowControl/>
              <w:spacing w:before="0" w:after="0" w:line="240" w:lineRule="auto"/>
              <w:jc w:val="center"/>
            </w:pPr>
            <w:r>
              <w:rPr>
                <w:rFonts w:ascii="Times New Roman" w:hAnsi="Times New Roman" w:eastAsia="Times New Roman" w:cs="Times New Roman"/>
                <w:b w:val="0"/>
                <w:color w:val="000000"/>
                <w:sz w:val="16"/>
                <w:szCs w:val="22"/>
                <w:lang w:val="en-US" w:eastAsia="en-US" w:bidi="ar-SA"/>
              </w:rPr>
              <w:t>TRUE</w:t>
            </w:r>
          </w:p>
        </w:tc>
      </w:tr>
    </w:tbl>
    <w:p>
      <w:pPr>
        <w:pStyle w:val="Normal"/>
        <w:keepNext w:val="0"/>
        <w:keepLines w:val="0"/>
        <w:widowControl/>
        <w:spacing w:before="0" w:after="120" w:line="480" w:lineRule="auto"/>
        <w:jc w:val="left"/>
      </w:pPr>
      <w:r>
        <w:rPr>
          <w:rFonts w:ascii="Times New Roman" w:hAnsi="Times New Roman" w:eastAsia="Times New Roman" w:cs="Times New Roman"/>
          <w:i/>
          <w:color w:val="000000"/>
          <w:sz w:val="17"/>
          <w:szCs w:val="22"/>
          <w:lang w:val="en-US" w:eastAsia="en-US" w:bidi="ar-SA"/>
        </w:rPr>
        <w:t>The range of the six per-guideline aORs was 0.009663. The manuscript estimate was pooled across implicates using Rubin’s rules rather than selecting a single implicate.</w:t>
      </w:r>
    </w:p>
    <w:sectPr>
      <w:pgSz w:w="12240" w:h="15840"/>
      <w:pgMar w:top="1080" w:right="1224" w:bottom="1080" w:left="1224" w:header="432"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http://schemas.openxmlformats.org/wordprocessingml/2006/main">
  <w:p>
    <w:pPr>
      <w:pStyle w:val="Footer"/>
      <w:keepNext w:val="0"/>
      <w:keepLines w:val="0"/>
      <w:widowControl/>
      <w:spacing w:before="0" w:after="0" w:line="240" w:lineRule="auto"/>
      <w:jc w:val="center"/>
    </w:pPr>
    <w:r>
      <w:rPr>
        <w:rFonts w:ascii="Arial" w:hAnsi="Arial" w:eastAsia="Arial" w:cs="Arial"/>
        <w:color w:val="4A4A4A"/>
        <w:sz w:val="17"/>
        <w:szCs w:val="22"/>
        <w:lang w:val="en-US" w:eastAsia="en-US" w:bidi="ar-SA"/>
      </w:rPr>
      <w:t xml:space="preserve">Page </w:t>
    </w:r>
    <w:r>
      <w:fldChar w:fldCharType="begin"/>
    </w:r>
    <w:r>
      <w:instrText>PAGE</w:instrText>
    </w:r>
    <w:r>
      <w:fldChar w:fldCharType="separate"/>
    </w:r>
    <w:r>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Times New Roman" w:hAnsi="Times New Roman"/>
        <w:sz w:val="18"/>
      </w:rPr>
      <w:t xml:space="preserve">Page </w:t>
    </w:r>
    <w:fldSimple w:instr="PAGE"/>
  </w:p>
</w:ftr>
</file>

<file path=word/header1.xml><?xml version="1.0" encoding="utf-8"?>
<w:hdr xmlns:w="http://schemas.openxmlformats.org/wordprocessingml/2006/main">
  <w:p>
    <w:pPr>
      <w:pStyle w:val="Header"/>
      <w:keepNext w:val="0"/>
      <w:keepLines w:val="0"/>
      <w:widowControl/>
      <w:spacing w:before="0" w:after="0" w:line="240" w:lineRule="auto"/>
      <w:jc w:val="left"/>
    </w:pPr>
    <w:r>
      <w:rPr>
        <w:rFonts w:ascii="Arial" w:hAnsi="Arial" w:eastAsia="Arial" w:cs="Arial"/>
        <w:b/>
        <w:color w:val="4A4A4A"/>
        <w:sz w:val="15"/>
        <w:szCs w:val="22"/>
        <w:lang w:val="en-US" w:eastAsia="en-US" w:bidi="ar-SA"/>
      </w:rPr>
      <w:t>MOVEMENT GUIDELINES AND FLOURISHING IN PEDIATRIC ASTHMA</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http://schemas.openxmlformats.org/officeDocument/2006/math" xmlns:mc="http://schemas.openxmlformats.org/markup-compatibility/2006" xmlns:o="urn:schemas-microsoft-com:office:office" xmlns:v="urn:schemas-microsoft-com:vml" xmlns:w="http://schemas.openxmlformats.org/wordprocessingml/2006/main" xmlns:w14="http://schemas.microsoft.com/office/word/2010/wordml" mc:Ignorable="w14">
  <w:zoom w:val="bestFit"/>
  <w:proofState w:spelling="clean" w:grammar="clean"/>
  <w:defaultTabStop w:val="720"/>
  <w:characterSpacingControl w:val="doNotCompress"/>
  <w:savePreviewPicture/>
  <w:updateFields w:val="tru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rFonts w:ascii="Times New Roman" w:hAnsi="Times New Roman"/>
      <w:b/>
      <w:bCs/>
      <w:color w:val="4F81BD" w:themeColor="accent1"/>
      <w:sz w:val="19"/>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9" Type="http://schemas.openxmlformats.org/officeDocument/2006/relationships/header" Target="header1.xml"/><Relationship Id="rId10" Type="http://schemas.openxmlformats.org/officeDocument/2006/relationships/footer" Target="footer1.xml"/><Relationship Id="rId15"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file 1: Supplementary Tables S1–S10</dc:title>
  <dc:subject>Supporting information for a BMC Pediatrics Research Article</dc:subject>
  <dc:creator/>
  <cp:keywords>NSCH; asthma; flourishing; supplementary tables</cp:keywords>
  <dc:description/>
  <cp:lastModifiedBy/>
  <cp:revision>1</cp:revision>
  <dcterms:created xsi:type="dcterms:W3CDTF">2013-12-23T23:15:00Z</dcterms:created>
  <dcterms:modified xsi:type="dcterms:W3CDTF">2013-12-23T23:15:00Z</dcterms:modified>
  <cp:category/>
</cp:coreProperties>
</file>