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Supplementary Material</w:t>
      </w:r>
    </w:p>
    <w:p>
      <w:r>
        <w:rPr>
          <w:b/>
          <w:sz w:val="24"/>
        </w:rPr>
        <w:t>Supplementary Tables</w:t>
      </w:r>
    </w:p>
    <w:p>
      <w:r>
        <w:rPr>
          <w:b w:val="0"/>
          <w:i w:val="0"/>
        </w:rPr>
        <w:t>Table S1. Study profile and participant selection.</w:t>
      </w:r>
    </w:p>
    <w:p>
      <w:r>
        <w:rPr>
          <w:b w:val="0"/>
          <w:i w:val="0"/>
        </w:rPr>
        <w:t>Table S2. Items used in the construction of the frailty index.</w:t>
      </w:r>
    </w:p>
    <w:p>
      <w:r>
        <w:rPr>
          <w:b w:val="0"/>
          <w:i w:val="0"/>
        </w:rPr>
        <w:t>Table S3. Variables included in the analysis and their missing proportions.</w:t>
      </w:r>
    </w:p>
    <w:p>
      <w:r>
        <w:rPr>
          <w:b w:val="0"/>
          <w:i w:val="0"/>
        </w:rPr>
        <w:t>Table S4. CVD incidence by follow-up wave.</w:t>
      </w:r>
    </w:p>
    <w:p>
      <w:r>
        <w:rPr>
          <w:b w:val="0"/>
          <w:i w:val="0"/>
        </w:rPr>
        <w:t>Table S5. Sensitivity analyses for the association between CMIFI and incident CVD.</w:t>
      </w:r>
    </w:p>
    <w:p>
      <w:r>
        <w:rPr>
          <w:b w:val="0"/>
          <w:i w:val="0"/>
        </w:rPr>
        <w:t>Table S6. E-values for main associations.</w:t>
      </w:r>
    </w:p>
    <w:p>
      <w:r>
        <w:rPr>
          <w:b w:val="0"/>
          <w:i w:val="0"/>
        </w:rPr>
        <w:t>Table S7. Net reclassification improvement (NRI) and integrated discrimination improvement (IDI).</w:t>
      </w:r>
    </w:p>
    <w:p>
      <w:r>
        <w:rPr>
          <w:b w:val="0"/>
          <w:i w:val="0"/>
        </w:rPr>
        <w:t>Table S8. C-reactive protein (CRP) interaction analysis.</w:t>
      </w:r>
    </w:p>
    <w:p>
      <w:r>
        <w:rPr>
          <w:b w:val="0"/>
          <w:i w:val="0"/>
        </w:rPr>
        <w:t>Table S9. Cardiometabolic multimorbidity (CMM) as a secondary outcome.</w:t>
      </w:r>
    </w:p>
    <w:p>
      <w:r>
        <w:rPr>
          <w:b w:val="0"/>
          <w:i w:val="0"/>
        </w:rPr>
        <w:t>Table S10. Additive and multiplicative interaction between CMI and FI.</w:t>
      </w:r>
    </w:p>
    <w:p>
      <w:r>
        <w:rPr>
          <w:b w:val="0"/>
          <w:i w:val="0"/>
        </w:rPr>
        <w:t>Table S11. Group-based trajectory modeling (GBTM) sensitivity analysis for CMIFI trajectories.</w:t>
      </w:r>
    </w:p>
    <w:p>
      <w:r>
        <w:rPr>
          <w:b w:val="0"/>
          <w:i w:val="0"/>
        </w:rPr>
        <w:t>Table S12. Competing-risk scenario sensitivity bounds under assumed death hazards.</w:t>
      </w:r>
    </w:p>
    <w:p>
      <w:r>
        <w:rPr>
          <w:b w:val="0"/>
          <w:i w:val="0"/>
        </w:rPr>
        <w:t>Table S13. Comparison with the recent CHARLS study by Huo et al. (2025).</w:t>
      </w:r>
    </w:p>
    <w:p>
      <w:r>
        <w:rPr>
          <w:b w:val="0"/>
          <w:i w:val="0"/>
        </w:rPr>
        <w:t>Table S14. Variance inflation factors for the fully adjusted Cox model.</w:t>
      </w:r>
    </w:p>
    <w:p>
      <w:r>
        <w:rPr>
          <w:b w:val="0"/>
          <w:i w:val="0"/>
        </w:rPr>
        <w:t>Table S15. Schoenfeld residual tests for proportional hazards assumption.</w:t>
      </w:r>
    </w:p>
    <w:p>
      <w:r>
        <w:rPr>
          <w:b w:val="0"/>
          <w:i w:val="0"/>
        </w:rPr>
        <w:t>Table S16. Stratified Cox regression results.</w:t>
      </w:r>
    </w:p>
    <w:p>
      <w:r>
        <w:rPr>
          <w:b/>
          <w:sz w:val="24"/>
        </w:rPr>
        <w:t>Supplementary Figures</w:t>
      </w:r>
    </w:p>
    <w:p>
      <w:r>
        <w:rPr>
          <w:b w:val="0"/>
          <w:i w:val="0"/>
        </w:rPr>
        <w:t>Figure S5. ROC curve, calibration curves, and SHAP feature importance for the illustrative prediction model.</w:t>
      </w:r>
    </w:p>
    <w:p>
      <w:r>
        <w:rPr>
          <w:b w:val="0"/>
          <w:i w:val="0"/>
        </w:rPr>
        <w:t>Figure S6. Joint effects of CMI and FI on incident CVD.</w:t>
      </w:r>
    </w:p>
    <w:p>
      <w:r>
        <w:rPr>
          <w:b w:val="0"/>
          <w:i w:val="0"/>
        </w:rPr>
        <w:t>Figure S7. Group-based trajectory modeling (GBTM) sensitivity analysis for CMIFI trajectories.</w:t>
      </w:r>
    </w:p>
    <w:p>
      <w:r>
        <w:rPr>
          <w:b w:val="0"/>
          <w:i w:val="0"/>
        </w:rPr>
        <w:t>Figure S8. Competing-risk sensitivity bounds under assumed death hazards.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