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049"/>
        <w:gridCol w:w="961"/>
        <w:gridCol w:w="1083"/>
        <w:gridCol w:w="1976"/>
        <w:gridCol w:w="1144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Subgroup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Events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HR (95% CI)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 value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Overall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7,748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1,750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1.09 (1.06-1.13)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Age &lt;65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5,751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1,232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1.11 (1.08-1.15)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Age &gt;=65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1,997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1.05 (0.97-1.14)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0.196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Male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3,678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736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1.15 (1.09-1.23)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Female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4,070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1,014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1.07 (1.02-1.12)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0.002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Diabetes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7,356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1,623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1.12 (1.08-1.16)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Diabetes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1.05 (0.98-1.12)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0.168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Hypertension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5,985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1,145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1.10 (1.03-1.18)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0.007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Hypertension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1,763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1.05 (1.01-1.08)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0.006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Dyslipidemia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7,186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1,522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1.11 (1.06-1.16)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Dyslipidemia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562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1.03 (0.96-1.12)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0.415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2026-06-19T19:39:15Z</dcterms:modified>
  <cp:category/>
</cp:coreProperties>
</file>