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4"/>
        </w:rPr>
        <w:t>Supplementary Table S13. Comparison with Huo et al., 2025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  <w:sz w:val="20"/>
              </w:rPr>
              <w:t>Feature</w:t>
            </w:r>
          </w:p>
        </w:tc>
        <w:tc>
          <w:tcPr>
            <w:tcW w:type="dxa" w:w="2880"/>
          </w:tcPr>
          <w:p>
            <w:r>
              <w:rPr>
                <w:b/>
                <w:sz w:val="20"/>
              </w:rPr>
              <w:t>Huo et al., 2025 (CHARLS)</w:t>
            </w:r>
          </w:p>
        </w:tc>
        <w:tc>
          <w:tcPr>
            <w:tcW w:type="dxa" w:w="2880"/>
          </w:tcPr>
          <w:p>
            <w:r>
              <w:rPr>
                <w:b/>
                <w:sz w:val="20"/>
              </w:rPr>
              <w:t>Present study (CHARLS)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Metabolic indicator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Atherogenic index of plasma (AIP)</w:t>
              <w:br/>
              <w:t>(TG/HDL-C ratio)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Cardiometabolic index (CMI)</w:t>
              <w:br/>
              <w:t>(TG/HDL-C × waist/height)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Frailty indicator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Frailty index (FI)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Frailty index (FI)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Combined index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AIP × FI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CMI × FI (CMIFI)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Exposure dimension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Single baseline measurement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Baseline, cumulative (2011-2015), and longitudinal trajectories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Primary outcome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Incident CVD (heart disease or stroke)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Incident CVD (heart disease or stroke)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Secondary outcome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Not reported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Incident cardiometabolic multimorbidity (CMM)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Key analytic methods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Cox regression, subgroup analyses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Cox regression, RCS, K-means/GBTM trajectories, interaction analyses, prediction illustration, sensitivity analyses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Novelty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First AIP-FI index for CVD in CHARLS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Extends to cumulative/trajectory exposure, validates product form, and compares CMI (adds central obesity/insulin resistance) versus AIP</w:t>
            </w:r>
          </w:p>
        </w:tc>
      </w:tr>
    </w:tbl>
    <w:p/>
    <w:p>
      <w:r>
        <w:rPr>
          <w:i/>
          <w:sz w:val="18"/>
        </w:rPr>
        <w:t>AIP, atherogenic index of plasma; CHARLS, China Health and Retirement Longitudinal Study; CMI, cardiometabolic index; CMIFI, cardiometabolic-frailty index; CVD, cardiovascular disease; CMM, cardiometabolic multimorbidity; FI, frailty index; GBTM, group-based trajectory modeling; RCS, restricted cubic splines.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