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4880"/>
        <w:gridCol w:w="3053"/>
        <w:gridCol w:w="14221"/>
      </w:tblGrid>
      <w:tr>
        <w:trPr>
          <w:trHeight w:val="638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Contrast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Estimate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Interpretation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High CMI / Low FI vs Low/Low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1.22 (1.04-1.44); P=0.017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Main effect of high CMI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Low CMI / High FI vs Low/Low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1.59 (1.34-1.88); P=&lt;0.001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Main effect of high FI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High CMI / High FI vs Low/Low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1.52 (1.29-1.80); P=&lt;0.001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Joint effect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Multiplicative interaction (CMI_high × FI_high)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0.79 (0.64-0.97); P=0.023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HR&lt;1 indicates sub-multiplicativity; CMIFI product form is therefore a pragmatic simplification rather than a statistically exact interaction model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RERI (additive interaction)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-0.29 (-0.56--0.01)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&gt;0 indicates positive additive interaction beyond individual effects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Attributable proportion due to interaction (AP)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-0.19 (-0.35--0.01)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Proportion of joint effect attributable to interaction</w:t>
            </w:r>
          </w:p>
        </w:tc>
      </w:tr>
      <w:tr>
        <w:trPr>
          <w:trHeight w:val="623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Synergy index (S)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0.65 (0.46-0.98)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&gt;1 indicates synergy</w:t>
            </w:r>
          </w:p>
        </w:tc>
      </w:tr>
      <w:tr>
        <w:trPr>
          <w:trHeight w:val="360" w:hRule="auto"/>
        </w:trPr>
        <w:tc>
          <w:tcPr>
            <w:gridSpan w:val="3"/>
            <w:tcBorders>
              <w:bottom w:val="none" w:sz="0" w:space="0" w:color="FFFFFF"/>
              <w:top w:val="single" w:sz="12" w:space="0" w:color="666666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CMI and FI were dichotomized at their medians (CMI &gt; 0.478, FI &gt; 12.5). Model adjusted for age, sex, dyslipidemia, smoking, drinking, systolic BP, diastolic BP, fasting glucose, HbA1c, total cholesterol, and LDL-C. Triglycerides and HDL-C were excluded because they are direct components of CMI. RERI, AP, and S were computed by bootstrap (n=500).</w:t>
            </w:r>
          </w:p>
        </w:tc>
      </w:tr>
    </w:tbl>
    <w:sectPr>
      <w:pgMar w:header="708" w:bottom="1417" w:top="1417" w:right="1417" w:left="1417" w:footer="708" w:gutter="0"/>
      <w:pgSz w:h="16838" w:w="11906" w:orient="portrait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
<Relationships  xmlns="http://schemas.openxmlformats.org/package/2006/relationships">
<Relationship Id="rId3" Type="http://schemas.openxmlformats.org/officeDocument/2006/relationships/settings" Target="settings.xml"/>
<Relationship Id="rId2" Type="http://schemas.openxmlformats.org/officeDocument/2006/relationships/styles" Target="styles.xml"/>
<Relationship Id="rId1" Type="http://schemas.openxmlformats.org/officeDocument/2006/relationships/numbering" Target="numbering.xml"/>
<Relationship Id="rId6" Type="http://schemas.openxmlformats.org/officeDocument/2006/relationships/theme" Target="theme/theme1.xml"/>
<Relationship Id="rId5" Type="http://schemas.openxmlformats.org/officeDocument/2006/relationships/fontTable" Target="fontTable.xml"/>
<Relationship Id="rId4" Type="http://schemas.openxmlformats.org/officeDocument/2006/relationships/webSettings" Target="webSettings.xml"/>
</Relationships>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2026-06-19T19:37:28Z</dcterms:modified>
  <cp:category/>
</cp:coreProperties>
</file>