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3822"/>
        <w:gridCol w:w="1597"/>
        <w:gridCol w:w="1976"/>
        <w:gridCol w:w="1090"/>
      </w:tblGrid>
      <w:tr>
        <w:trPr>
          <w:trHeight w:val="638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Model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Comparison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HR_95_CI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Model 1 (Crude)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Q2 vs Q1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2.50 (1.80-3.46)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Model 1 (Crude)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Q3 vs Q1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3.81 (2.67-5.43)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Model 1 (Crude)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Q4 vs Q1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5.64 (4.10-7.75)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Model 2 (Age- and sex-adjusted)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Q2 vs Q1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2.50 (1.80-3.47)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Model 2 (Age- and sex-adjusted)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Q3 vs Q1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3.79 (2.64-5.44)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Model 2 (Age- and sex-adjusted)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Q4 vs Q1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5.58 (4.04-7.70)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Model 3 (Further adjusted for SES)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Q2 vs Q1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2.58 (1.86-3.58)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Model 3 (Further adjusted for SES)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Q3 vs Q1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3.97 (2.77-5.69)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Model 3 (Further adjusted for SES)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Q4 vs Q1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5.89 (4.25-8.15)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Model 4 (Fully adjusted)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Q2 vs Q1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2.58 (1.86-3.58)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Model 4 (Fully adjusted)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Q3 vs Q1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3.95 (2.76-5.67)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Model 4 (Fully adjusted)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Q4 vs Q1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5.86 (4.23-8.11)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623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Per 1-SD increase in CMIFI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1.15 (1.11-1.20)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&lt;0.001</w:t>
            </w:r>
          </w:p>
        </w:tc>
      </w:tr>
      <w:tr>
        <w:trPr>
          <w:trHeight w:val="360" w:hRule="auto"/>
        </w:trPr>
        <w:tc>
          <w:tcPr>
            <w:gridSpan w:val="4"/>
            <w:tcBorders>
              <w:bottom w:val="none" w:sz="0" w:space="0" w:color="FFFFFF"/>
              <w:top w:val="single" w:sz="12" w:space="0" w:color="666666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CMM defined as having two or more of hypertension, diabetes, and dyslipidemia. Analysis restricted to participants without CMM at baseline and with wave 3 (2015) follow-up data.</w:t>
            </w:r>
          </w:p>
        </w:tc>
      </w:tr>
    </w:tbl>
    <w:sectPr>
      <w:pgMar w:header="708" w:bottom="1417" w:top="1417" w:right="1417" w:left="1417" w:footer="708" w:gutter="0"/>
      <w:pgSz w:h="16838" w:w="11906" w:orient="portrait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
<Relationships  xmlns="http://schemas.openxmlformats.org/package/2006/relationships">
<Relationship Id="rId3" Type="http://schemas.openxmlformats.org/officeDocument/2006/relationships/settings" Target="settings.xml"/>
<Relationship Id="rId2" Type="http://schemas.openxmlformats.org/officeDocument/2006/relationships/styles" Target="styles.xml"/>
<Relationship Id="rId1" Type="http://schemas.openxmlformats.org/officeDocument/2006/relationships/numbering" Target="numbering.xml"/>
<Relationship Id="rId6" Type="http://schemas.openxmlformats.org/officeDocument/2006/relationships/theme" Target="theme/theme1.xml"/>
<Relationship Id="rId5" Type="http://schemas.openxmlformats.org/officeDocument/2006/relationships/fontTable" Target="fontTable.xml"/>
<Relationship Id="rId4" Type="http://schemas.openxmlformats.org/officeDocument/2006/relationships/webSettings" Target="webSettings.xml"/>
</Relationships>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2026-06-19T19:36:43Z</dcterms:modified>
  <cp:category/>
</cp:coreProperties>
</file>