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5840"/>
        <w:gridCol w:w="1976"/>
        <w:gridCol w:w="1144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Sensitivity analysis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HR (95% CI)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 value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 first 1-year events (per 1-SD)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1.11 (1.07-1.15)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 first 2-year events (per 1-SD)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1.10 (1.06-1.15)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 first 3-year events (per 1-SD)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1.10 (1.06-1.15)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2015 (Wave 3) as baseline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1.46 (1.35-1.57)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Per 1-SD baseline CMIFI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1.11 (1.07-1.15)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Heart disease outcome (per 1-SD CMIFI)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1.07 (1.02-1.12)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0.002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Stroke outcome (per 1-SD CMIFI)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1.18 (1.13-1.23)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IPW Cox: High vs Low CMIFI (median split)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1.35 (1.21-1.50)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Exclude baseline diabetes/heart disease/stroke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1.21 (1.15-1.26)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Reclassify smoking/drinking as Current/Former/Never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1.20 (1.14-1.25)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Excluding all lipid variables (over-adjustment sensitivity)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1.20 (1.14-1.25)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Stratified by age (median split)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1.20 (1.14-1.26)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Stratified by sex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1.20 (1.14-1.26)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Stratified by hypertension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1.17 (1.11-1.22)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Medication exclusion: not feasible (no variables)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NA (NA-NA)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2026-06-19T19:39:13Z</dcterms:modified>
  <cp:category/>
</cp:coreProperties>
</file>