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Table S3. Variables included in the analysis and their missing proportions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Variable</w:t>
            </w:r>
          </w:p>
        </w:tc>
        <w:tc>
          <w:tcPr>
            <w:tcW w:type="dxa" w:w="4320"/>
          </w:tcPr>
          <w:p>
            <w:r>
              <w:t>Missing rate (%)</w:t>
            </w:r>
          </w:p>
        </w:tc>
      </w:tr>
      <w:tr>
        <w:tc>
          <w:tcPr>
            <w:tcW w:type="dxa" w:w="4320"/>
          </w:tcPr>
          <w:p>
            <w:r>
              <w:t>Age, years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BMI, kg/m2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Waist circumference, cm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Triglycerides, mg/dL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HDL-C, mg/dL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LDL-C, mg/dL</w:t>
            </w:r>
          </w:p>
        </w:tc>
        <w:tc>
          <w:tcPr>
            <w:tcW w:type="dxa" w:w="4320"/>
          </w:tcPr>
          <w:p>
            <w:r>
              <w:t>0.04</w:t>
            </w:r>
          </w:p>
        </w:tc>
      </w:tr>
      <w:tr>
        <w:tc>
          <w:tcPr>
            <w:tcW w:type="dxa" w:w="4320"/>
          </w:tcPr>
          <w:p>
            <w:r>
              <w:t>Total cholesterol, mg/dL</w:t>
            </w:r>
          </w:p>
        </w:tc>
        <w:tc>
          <w:tcPr>
            <w:tcW w:type="dxa" w:w="4320"/>
          </w:tcPr>
          <w:p>
            <w:r>
              <w:t>0.04</w:t>
            </w:r>
          </w:p>
        </w:tc>
      </w:tr>
      <w:tr>
        <w:tc>
          <w:tcPr>
            <w:tcW w:type="dxa" w:w="4320"/>
          </w:tcPr>
          <w:p>
            <w:r>
              <w:t>Systolic BP, mmHg</w:t>
            </w:r>
          </w:p>
        </w:tc>
        <w:tc>
          <w:tcPr>
            <w:tcW w:type="dxa" w:w="4320"/>
          </w:tcPr>
          <w:p>
            <w:r>
              <w:t>0.93</w:t>
            </w:r>
          </w:p>
        </w:tc>
      </w:tr>
      <w:tr>
        <w:tc>
          <w:tcPr>
            <w:tcW w:type="dxa" w:w="4320"/>
          </w:tcPr>
          <w:p>
            <w:r>
              <w:t>Diastolic BP, mmHg</w:t>
            </w:r>
          </w:p>
        </w:tc>
        <w:tc>
          <w:tcPr>
            <w:tcW w:type="dxa" w:w="4320"/>
          </w:tcPr>
          <w:p>
            <w:r>
              <w:t>0.94</w:t>
            </w:r>
          </w:p>
        </w:tc>
      </w:tr>
      <w:tr>
        <w:tc>
          <w:tcPr>
            <w:tcW w:type="dxa" w:w="4320"/>
          </w:tcPr>
          <w:p>
            <w:r>
              <w:t>Fasting glucose, mg/dL</w:t>
            </w:r>
          </w:p>
        </w:tc>
        <w:tc>
          <w:tcPr>
            <w:tcW w:type="dxa" w:w="4320"/>
          </w:tcPr>
          <w:p>
            <w:r>
              <w:t>0.13</w:t>
            </w:r>
          </w:p>
        </w:tc>
      </w:tr>
      <w:tr>
        <w:tc>
          <w:tcPr>
            <w:tcW w:type="dxa" w:w="4320"/>
          </w:tcPr>
          <w:p>
            <w:r>
              <w:t>HbA1c, %</w:t>
            </w:r>
          </w:p>
        </w:tc>
        <w:tc>
          <w:tcPr>
            <w:tcW w:type="dxa" w:w="4320"/>
          </w:tcPr>
          <w:p>
            <w:r>
              <w:t>0.84</w:t>
            </w:r>
          </w:p>
        </w:tc>
      </w:tr>
      <w:tr>
        <w:tc>
          <w:tcPr>
            <w:tcW w:type="dxa" w:w="4320"/>
          </w:tcPr>
          <w:p>
            <w:r>
              <w:t>C-reactive protein, mg/L</w:t>
            </w:r>
          </w:p>
        </w:tc>
        <w:tc>
          <w:tcPr>
            <w:tcW w:type="dxa" w:w="4320"/>
          </w:tcPr>
          <w:p>
            <w:r>
              <w:t>0.01</w:t>
            </w:r>
          </w:p>
        </w:tc>
      </w:tr>
      <w:tr>
        <w:tc>
          <w:tcPr>
            <w:tcW w:type="dxa" w:w="4320"/>
          </w:tcPr>
          <w:p>
            <w:r>
              <w:t>Cardiometabolic index (CMI)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Frailty index (FI)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Cardiometabolic-frailty index (CMIFI)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Sex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Smoking status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Alcohol drinking status</w:t>
            </w:r>
          </w:p>
        </w:tc>
        <w:tc>
          <w:tcPr>
            <w:tcW w:type="dxa" w:w="4320"/>
          </w:tcPr>
          <w:p>
            <w:r>
              <w:t>0.0</w:t>
            </w:r>
          </w:p>
        </w:tc>
      </w:tr>
      <w:tr>
        <w:tc>
          <w:tcPr>
            <w:tcW w:type="dxa" w:w="4320"/>
          </w:tcPr>
          <w:p>
            <w:r>
              <w:t>Hypertension</w:t>
            </w:r>
          </w:p>
        </w:tc>
        <w:tc>
          <w:tcPr>
            <w:tcW w:type="dxa" w:w="4320"/>
          </w:tcPr>
          <w:p>
            <w:r>
              <w:t>0.45</w:t>
            </w:r>
          </w:p>
        </w:tc>
      </w:tr>
      <w:tr>
        <w:tc>
          <w:tcPr>
            <w:tcW w:type="dxa" w:w="4320"/>
          </w:tcPr>
          <w:p>
            <w:r>
              <w:t>Diabetes</w:t>
            </w:r>
          </w:p>
        </w:tc>
        <w:tc>
          <w:tcPr>
            <w:tcW w:type="dxa" w:w="4320"/>
          </w:tcPr>
          <w:p>
            <w:r>
              <w:t>0.59</w:t>
            </w:r>
          </w:p>
        </w:tc>
      </w:tr>
      <w:tr>
        <w:tc>
          <w:tcPr>
            <w:tcW w:type="dxa" w:w="4320"/>
          </w:tcPr>
          <w:p>
            <w:r>
              <w:t>Dyslipidemia</w:t>
            </w:r>
          </w:p>
        </w:tc>
        <w:tc>
          <w:tcPr>
            <w:tcW w:type="dxa" w:w="4320"/>
          </w:tcPr>
          <w:p>
            <w:r>
              <w:t>1.68</w:t>
            </w:r>
          </w:p>
        </w:tc>
      </w:tr>
    </w:tbl>
    <w:p>
      <w:r>
        <w:t>Note: None of the candidate baseline variables exceeded the 20% missingness threshold. The highest missing rate was 1.68% for dyslipidemia.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