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6648"/>
        <w:gridCol w:w="1084"/>
        <w:gridCol w:w="1756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Step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Cumulative_n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Initial CHARLS participants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17,708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17,708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Excluded: self-reported cancer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-389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17,319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Excluded: self-reported stroke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-509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16,810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Excluded: age &lt;45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-733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16,077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Excluded: missing TG, HDL-C, waist or height in 2011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-7,042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9,035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Excluded: baseline cardiovascular disease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-1,054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7,981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Excluded: missing FI, CMIFI or covariates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-233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7,748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Baseline analytical cohort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7,748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7,748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Longitudinal subsample with complete baseline and 2015 CMIFI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3,495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3,495</w:t>
            </w:r>
          </w:p>
        </w:tc>
      </w:tr>
      <w:tr>
        <w:trPr>
          <w:trHeight w:val="360" w:hRule="auto"/>
        </w:trPr>
        <w:tc>
          <w:tcPr>
            <w:gridSpan w:val="3"/>
            <w:tcBorders>
              <w:bottom w:val="none" w:sz="0" w:space="0" w:color="FFFFFF"/>
              <w:top w:val="single" w:sz="12" w:space="0" w:color="666666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Study profile showing the number of participants at each selection step. The baseline analytical cohort includes 7,748 participants; the longitudinal subsample includes 3,495 participants with complete baseline (2011/2012) and 2015 CMIFI measurements.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2026-06-19T19:39:11Z</dcterms:modified>
  <cp:category/>
</cp:coreProperties>
</file>