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5DD1" w14:textId="77777777" w:rsidR="009A6246" w:rsidRPr="009A6246" w:rsidRDefault="009A6246" w:rsidP="009A6246">
      <w:pPr>
        <w:spacing w:line="360" w:lineRule="auto"/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</w:pPr>
      <w:r w:rsidRPr="009A6246"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>Supplementary Information</w:t>
      </w:r>
    </w:p>
    <w:p w14:paraId="600CD6A4" w14:textId="77777777" w:rsidR="009A6246" w:rsidRPr="009A6246" w:rsidRDefault="009A6246" w:rsidP="009A6246">
      <w:pPr>
        <w:spacing w:line="360" w:lineRule="auto"/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</w:pPr>
      <w:r w:rsidRPr="009A6246"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>Assessing the Osteoporosis Care Gap and Clinical Outcomes Following Fragility Hip Fractures in Saudi Arabia: Implications for Fracture Liaison Services</w:t>
      </w:r>
    </w:p>
    <w:p w14:paraId="679348DD" w14:textId="77777777" w:rsidR="009A6246" w:rsidRPr="009A6246" w:rsidRDefault="009A6246" w:rsidP="009A6246">
      <w:pPr>
        <w:spacing w:line="360" w:lineRule="auto"/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</w:pPr>
      <w:r w:rsidRPr="009A6246"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>Fahad Alshahrani, Meshal Aljarallah, Mohammed Almohaya and Mussa Almalki</w:t>
      </w:r>
    </w:p>
    <w:p w14:paraId="185F26B8" w14:textId="77777777" w:rsidR="009A6246" w:rsidRPr="009A6246" w:rsidRDefault="009A6246" w:rsidP="009A6246">
      <w:pPr>
        <w:spacing w:line="360" w:lineRule="auto"/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</w:pPr>
      <w:r w:rsidRPr="009A6246"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>Aging Clinical and Experimental Research</w:t>
      </w:r>
    </w:p>
    <w:p w14:paraId="6519155F" w14:textId="1D8DA29A" w:rsidR="00583C1D" w:rsidRPr="0077242D" w:rsidRDefault="009A6246" w:rsidP="009A6246">
      <w:pPr>
        <w:spacing w:line="360" w:lineRule="auto"/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</w:pPr>
      <w:r w:rsidRPr="009A6246"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>Corresponding author: Fahad Alshahrani,</w:t>
      </w:r>
      <w:r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 xml:space="preserve"> </w:t>
      </w:r>
      <w:hyperlink r:id="rId4" w:history="1">
        <w:r w:rsidRPr="005A2998">
          <w:rPr>
            <w:rStyle w:val="Hyperlink"/>
            <w:rFonts w:asciiTheme="majorBidi" w:eastAsia="Times New Roman" w:hAnsiTheme="majorBidi" w:cstheme="majorBidi"/>
            <w:b/>
            <w:bCs/>
            <w:kern w:val="0"/>
            <w14:ligatures w14:val="none"/>
          </w:rPr>
          <w:t>fahad_alshahrani@yahoo.com</w:t>
        </w:r>
      </w:hyperlink>
      <w:r>
        <w:rPr>
          <w:rFonts w:asciiTheme="majorBidi" w:eastAsia="Times New Roman" w:hAnsiTheme="majorBidi" w:cstheme="majorBidi"/>
          <w:b/>
          <w:bCs/>
          <w:color w:val="000000" w:themeColor="text1"/>
          <w:kern w:val="0"/>
          <w14:ligatures w14:val="none"/>
        </w:rPr>
        <w:t xml:space="preserve"> </w:t>
      </w:r>
    </w:p>
    <w:p w14:paraId="0E55DCAB" w14:textId="77777777" w:rsidR="00583C1D" w:rsidRPr="0018487A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583C1D" w:rsidRPr="0018487A" w14:paraId="56BA2556" w14:textId="77777777" w:rsidTr="00D94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0EFF48F7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Outcome</w:t>
            </w:r>
          </w:p>
        </w:tc>
        <w:tc>
          <w:tcPr>
            <w:tcW w:w="4394" w:type="dxa"/>
            <w:hideMark/>
          </w:tcPr>
          <w:p w14:paraId="729EF216" w14:textId="77777777" w:rsidR="00583C1D" w:rsidRPr="0018487A" w:rsidRDefault="00583C1D" w:rsidP="00D94C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Value</w:t>
            </w:r>
          </w:p>
        </w:tc>
      </w:tr>
      <w:tr w:rsidR="00583C1D" w:rsidRPr="0018487A" w14:paraId="1F4ADCF5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3E372AEF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Total patients</w:t>
            </w:r>
          </w:p>
        </w:tc>
        <w:tc>
          <w:tcPr>
            <w:tcW w:w="4394" w:type="dxa"/>
            <w:hideMark/>
          </w:tcPr>
          <w:p w14:paraId="6576F2BB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273</w:t>
            </w:r>
          </w:p>
        </w:tc>
      </w:tr>
      <w:tr w:rsidR="00583C1D" w:rsidRPr="0018487A" w14:paraId="42C81060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160B617F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Mortality status known</w:t>
            </w:r>
          </w:p>
        </w:tc>
        <w:tc>
          <w:tcPr>
            <w:tcW w:w="4394" w:type="dxa"/>
            <w:hideMark/>
          </w:tcPr>
          <w:p w14:paraId="4DA80B58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178</w:t>
            </w:r>
          </w:p>
        </w:tc>
      </w:tr>
      <w:tr w:rsidR="00583C1D" w:rsidRPr="0018487A" w14:paraId="2EAFC420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102911D0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Deaths</w:t>
            </w:r>
          </w:p>
        </w:tc>
        <w:tc>
          <w:tcPr>
            <w:tcW w:w="4394" w:type="dxa"/>
            <w:hideMark/>
          </w:tcPr>
          <w:p w14:paraId="129D115C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93</w:t>
            </w:r>
          </w:p>
        </w:tc>
      </w:tr>
      <w:tr w:rsidR="00583C1D" w:rsidRPr="0018487A" w14:paraId="4F3EE40F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803C0F7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Mortality among patients with known status, n (%)</w:t>
            </w:r>
          </w:p>
        </w:tc>
        <w:tc>
          <w:tcPr>
            <w:tcW w:w="4394" w:type="dxa"/>
            <w:hideMark/>
          </w:tcPr>
          <w:p w14:paraId="330E8631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93 (52.2)</w:t>
            </w:r>
          </w:p>
        </w:tc>
      </w:tr>
      <w:tr w:rsidR="00583C1D" w:rsidRPr="0018487A" w14:paraId="47E235C4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3AC0009F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5F723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30-day mortality, Kaplan–Meier estimate,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</w:t>
            </w:r>
            <w:r w:rsidRPr="005F723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%</w:t>
            </w:r>
          </w:p>
        </w:tc>
        <w:tc>
          <w:tcPr>
            <w:tcW w:w="4394" w:type="dxa"/>
            <w:hideMark/>
          </w:tcPr>
          <w:p w14:paraId="72E4A030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2.2%</w:t>
            </w:r>
          </w:p>
        </w:tc>
      </w:tr>
      <w:tr w:rsidR="00583C1D" w:rsidRPr="0018487A" w14:paraId="2AEED244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4C35826F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1-year mortality, Kaplan–Meier estimate, %</w:t>
            </w:r>
          </w:p>
        </w:tc>
        <w:tc>
          <w:tcPr>
            <w:tcW w:w="4394" w:type="dxa"/>
            <w:hideMark/>
          </w:tcPr>
          <w:p w14:paraId="3BD9BB2F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16.3%</w:t>
            </w:r>
          </w:p>
        </w:tc>
      </w:tr>
      <w:tr w:rsidR="00583C1D" w:rsidRPr="0018487A" w14:paraId="1BB54AB6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7054C87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5-year mortality, Kaplan–Meier estimate, %</w:t>
            </w:r>
          </w:p>
        </w:tc>
        <w:tc>
          <w:tcPr>
            <w:tcW w:w="4394" w:type="dxa"/>
            <w:hideMark/>
          </w:tcPr>
          <w:p w14:paraId="11559802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42%</w:t>
            </w:r>
          </w:p>
        </w:tc>
      </w:tr>
      <w:tr w:rsidR="00583C1D" w:rsidRPr="0018487A" w14:paraId="661D56B2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14FFF49F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Median survival, years (95% CI)</w:t>
            </w:r>
          </w:p>
        </w:tc>
        <w:tc>
          <w:tcPr>
            <w:tcW w:w="4394" w:type="dxa"/>
            <w:hideMark/>
          </w:tcPr>
          <w:p w14:paraId="3A583CB2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6.1 (5.3–8.7)</w:t>
            </w:r>
          </w:p>
        </w:tc>
      </w:tr>
      <w:tr w:rsidR="00583C1D" w:rsidRPr="0018487A" w14:paraId="02392B7B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0E93E94C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Mean survival, years</w:t>
            </w:r>
          </w:p>
        </w:tc>
        <w:tc>
          <w:tcPr>
            <w:tcW w:w="4394" w:type="dxa"/>
            <w:hideMark/>
          </w:tcPr>
          <w:p w14:paraId="5B69BB09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6.0</w:t>
            </w:r>
          </w:p>
        </w:tc>
      </w:tr>
      <w:tr w:rsidR="00583C1D" w:rsidRPr="0018487A" w14:paraId="0D480680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6645ADAD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Maximum follow-up, years</w:t>
            </w:r>
          </w:p>
        </w:tc>
        <w:tc>
          <w:tcPr>
            <w:tcW w:w="4394" w:type="dxa"/>
            <w:hideMark/>
          </w:tcPr>
          <w:p w14:paraId="1A24B532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10.5</w:t>
            </w:r>
          </w:p>
        </w:tc>
      </w:tr>
    </w:tbl>
    <w:p w14:paraId="1F2E0CFB" w14:textId="77777777" w:rsidR="00583C1D" w:rsidRDefault="00583C1D" w:rsidP="00583C1D">
      <w:pPr>
        <w:spacing w:line="360" w:lineRule="auto"/>
        <w:rPr>
          <w:rFonts w:asciiTheme="majorBidi" w:hAnsiTheme="majorBidi" w:cstheme="majorBidi"/>
          <w:color w:val="000000"/>
        </w:rPr>
      </w:pPr>
      <w:r w:rsidRPr="004F5C7A">
        <w:rPr>
          <w:rFonts w:asciiTheme="majorBidi" w:eastAsia="Times New Roman" w:hAnsiTheme="majorBidi" w:cstheme="majorBidi"/>
          <w:kern w:val="0"/>
          <w14:ligatures w14:val="none"/>
        </w:rPr>
        <w:t xml:space="preserve">Table </w:t>
      </w:r>
      <w:r>
        <w:rPr>
          <w:rFonts w:asciiTheme="majorBidi" w:eastAsia="Times New Roman" w:hAnsiTheme="majorBidi" w:cstheme="majorBidi"/>
          <w:kern w:val="0"/>
          <w14:ligatures w14:val="none"/>
        </w:rPr>
        <w:t>S1</w:t>
      </w:r>
      <w:r w:rsidRPr="004F5C7A">
        <w:rPr>
          <w:rFonts w:asciiTheme="majorBidi" w:eastAsia="Times New Roman" w:hAnsiTheme="majorBidi" w:cstheme="majorBidi"/>
          <w:kern w:val="0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Mortality outcomes summary. </w:t>
      </w:r>
      <w:r w:rsidRPr="00BD1B90">
        <w:rPr>
          <w:rFonts w:asciiTheme="majorBidi" w:hAnsiTheme="majorBidi" w:cstheme="majorBidi"/>
          <w:color w:val="000000"/>
        </w:rPr>
        <w:t>Mortality percentages among patients with known status are presented separately due to missing data.</w:t>
      </w:r>
    </w:p>
    <w:p w14:paraId="44B4C0AA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5501E89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4DB0535F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007B490B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14ADE332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DF1B17B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C32A97D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E9D14EC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1B388CF6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3846A25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9E8F0CB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286A9668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1C18D486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7F9DC9C1" w14:textId="77777777" w:rsidR="00583C1D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6351F057" w14:textId="77777777" w:rsidR="00583C1D" w:rsidRPr="0018487A" w:rsidRDefault="00583C1D" w:rsidP="00583C1D">
      <w:pPr>
        <w:spacing w:before="100" w:beforeAutospacing="1" w:after="100" w:afterAutospacing="1" w:line="360" w:lineRule="auto"/>
        <w:contextualSpacing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15"/>
        <w:gridCol w:w="3544"/>
      </w:tblGrid>
      <w:tr w:rsidR="00583C1D" w:rsidRPr="0018487A" w14:paraId="5231278C" w14:textId="77777777" w:rsidTr="00D94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597E23C7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Outcome</w:t>
            </w:r>
          </w:p>
        </w:tc>
        <w:tc>
          <w:tcPr>
            <w:tcW w:w="3544" w:type="dxa"/>
            <w:hideMark/>
          </w:tcPr>
          <w:p w14:paraId="572F71E4" w14:textId="77777777" w:rsidR="00583C1D" w:rsidRPr="0018487A" w:rsidRDefault="00583C1D" w:rsidP="00D94C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Value</w:t>
            </w:r>
          </w:p>
        </w:tc>
      </w:tr>
      <w:tr w:rsidR="00583C1D" w:rsidRPr="0018487A" w14:paraId="1DECA726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42C6F908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Documented refracture, full cohort</w:t>
            </w:r>
          </w:p>
        </w:tc>
        <w:tc>
          <w:tcPr>
            <w:tcW w:w="3544" w:type="dxa"/>
            <w:hideMark/>
          </w:tcPr>
          <w:p w14:paraId="664C7335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32/273 (11.7%)</w:t>
            </w:r>
          </w:p>
        </w:tc>
      </w:tr>
      <w:tr w:rsidR="00583C1D" w:rsidRPr="0018487A" w14:paraId="667ADF0B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1AD5300D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Median time to refracture among dated events*</w:t>
            </w:r>
          </w:p>
        </w:tc>
        <w:tc>
          <w:tcPr>
            <w:tcW w:w="3544" w:type="dxa"/>
            <w:hideMark/>
          </w:tcPr>
          <w:p w14:paraId="7FA134FE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1.38 years</w:t>
            </w:r>
          </w:p>
        </w:tc>
      </w:tr>
      <w:tr w:rsidR="00583C1D" w:rsidRPr="0018487A" w14:paraId="5D2621E2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12CBA30F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IQR</w:t>
            </w:r>
          </w:p>
        </w:tc>
        <w:tc>
          <w:tcPr>
            <w:tcW w:w="3544" w:type="dxa"/>
            <w:hideMark/>
          </w:tcPr>
          <w:p w14:paraId="293B25CE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0.57–4.49</w:t>
            </w:r>
          </w:p>
        </w:tc>
      </w:tr>
      <w:tr w:rsidR="00583C1D" w:rsidRPr="0018487A" w14:paraId="17119EE5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1AEEB0F9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Documented refracture, untreated</w:t>
            </w:r>
          </w:p>
        </w:tc>
        <w:tc>
          <w:tcPr>
            <w:tcW w:w="3544" w:type="dxa"/>
            <w:hideMark/>
          </w:tcPr>
          <w:p w14:paraId="5207FA13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E39E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21/214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(9.8%)</w:t>
            </w:r>
          </w:p>
        </w:tc>
      </w:tr>
      <w:tr w:rsidR="00583C1D" w:rsidRPr="0018487A" w14:paraId="48DC9A14" w14:textId="77777777" w:rsidTr="00D9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1A097190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Documented refracture, treated </w:t>
            </w:r>
          </w:p>
        </w:tc>
        <w:tc>
          <w:tcPr>
            <w:tcW w:w="3544" w:type="dxa"/>
            <w:hideMark/>
          </w:tcPr>
          <w:p w14:paraId="775667E4" w14:textId="77777777" w:rsidR="00583C1D" w:rsidRPr="0018487A" w:rsidRDefault="00583C1D" w:rsidP="00D94C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CE39E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11/59 (18.6%)</w:t>
            </w:r>
          </w:p>
        </w:tc>
      </w:tr>
      <w:tr w:rsidR="00583C1D" w:rsidRPr="0018487A" w14:paraId="40A9BE99" w14:textId="77777777" w:rsidTr="00D94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520FBBAB" w14:textId="77777777" w:rsidR="00583C1D" w:rsidRPr="0018487A" w:rsidRDefault="00583C1D" w:rsidP="00D94CE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p-value</w:t>
            </w:r>
          </w:p>
        </w:tc>
        <w:tc>
          <w:tcPr>
            <w:tcW w:w="3544" w:type="dxa"/>
            <w:hideMark/>
          </w:tcPr>
          <w:p w14:paraId="409F771F" w14:textId="77777777" w:rsidR="00583C1D" w:rsidRPr="0018487A" w:rsidRDefault="00583C1D" w:rsidP="00D94C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0.10</w:t>
            </w:r>
          </w:p>
        </w:tc>
      </w:tr>
    </w:tbl>
    <w:p w14:paraId="4B01C15B" w14:textId="444DDDC4" w:rsidR="00583C1D" w:rsidRPr="0018487A" w:rsidRDefault="009A6246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9A6246">
        <w:rPr>
          <w:rFonts w:asciiTheme="majorBidi" w:eastAsia="Times New Roman" w:hAnsiTheme="majorBidi" w:cstheme="majorBidi"/>
          <w:kern w:val="0"/>
          <w14:ligatures w14:val="none"/>
        </w:rPr>
        <w:t>Table S2. Descriptive refracture outcomes according to documented post-fracture osteoporosis treatment.</w:t>
      </w:r>
    </w:p>
    <w:p w14:paraId="1D63AEBB" w14:textId="77777777" w:rsidR="00583C1D" w:rsidRDefault="00583C1D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  <w:r>
        <w:rPr>
          <w:rFonts w:asciiTheme="majorBidi" w:eastAsia="Times New Roman" w:hAnsiTheme="majorBidi" w:cstheme="majorBidi"/>
          <w:kern w:val="0"/>
          <w14:ligatures w14:val="none"/>
        </w:rPr>
        <w:t>*Time available in n = 14 patients.</w:t>
      </w:r>
    </w:p>
    <w:p w14:paraId="1432FA47" w14:textId="77777777" w:rsidR="00583C1D" w:rsidRDefault="00583C1D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3D4712DC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4CD7A366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44E8F115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333BCD89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3B486341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24B88030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373BBC91" w14:textId="77777777" w:rsidR="00525E53" w:rsidRPr="0018487A" w:rsidRDefault="00525E53" w:rsidP="00525E53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  <w:r>
        <w:rPr>
          <w:rFonts w:asciiTheme="majorBidi" w:eastAsia="Times New Roman" w:hAnsiTheme="majorBidi" w:cstheme="majorBidi"/>
          <w:noProof/>
          <w:kern w:val="0"/>
          <w14:ligatures w14:val="none"/>
        </w:rPr>
        <w:lastRenderedPageBreak/>
        <w:drawing>
          <wp:inline distT="0" distB="0" distL="0" distR="0" wp14:anchorId="60F5AB9C" wp14:editId="4BC57921">
            <wp:extent cx="5943600" cy="6543040"/>
            <wp:effectExtent l="0" t="0" r="0" b="0"/>
            <wp:docPr id="1909563865" name="Picture 4" descr="Figure 2 Kaplan–Meier Survival by Surgical Mana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f_mn6nj9zb4&gt;" descr="Figure 2 Kaplan–Meier Survival by Surgical Mana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CF96" w14:textId="26AD1997" w:rsidR="00525E53" w:rsidRPr="0077242D" w:rsidRDefault="00525E53" w:rsidP="00525E53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  <w:r>
        <w:rPr>
          <w:rFonts w:asciiTheme="majorBidi" w:eastAsia="Times New Roman" w:hAnsiTheme="majorBidi" w:cstheme="majorBidi"/>
        </w:rPr>
        <w:t xml:space="preserve">              </w:t>
      </w:r>
      <w:r w:rsidRPr="006F153B">
        <w:rPr>
          <w:rFonts w:asciiTheme="majorBidi" w:eastAsia="Times New Roman" w:hAnsiTheme="majorBidi" w:cstheme="majorBidi"/>
        </w:rPr>
        <w:t xml:space="preserve">Figure </w:t>
      </w:r>
      <w:r>
        <w:rPr>
          <w:rFonts w:asciiTheme="majorBidi" w:eastAsia="Times New Roman" w:hAnsiTheme="majorBidi" w:cstheme="majorBidi"/>
        </w:rPr>
        <w:t>S1</w:t>
      </w:r>
      <w:r w:rsidRPr="006F153B">
        <w:rPr>
          <w:rFonts w:asciiTheme="majorBidi" w:eastAsia="Times New Roman" w:hAnsiTheme="majorBidi" w:cstheme="majorBidi"/>
        </w:rPr>
        <w:t>. Kaplan–Meier survival by operative management in the mortality-analysis cohort. Interpret cautiously because the non-operative group was small and treatment selection was non-random.</w:t>
      </w:r>
    </w:p>
    <w:p w14:paraId="73E870C9" w14:textId="77777777" w:rsidR="00525E53" w:rsidRDefault="00525E53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02B82E11" w14:textId="77777777" w:rsidR="00583C1D" w:rsidRPr="0018487A" w:rsidRDefault="00583C1D" w:rsidP="00583C1D">
      <w:pPr>
        <w:tabs>
          <w:tab w:val="left" w:pos="1741"/>
        </w:tabs>
        <w:spacing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noProof/>
          <w:kern w:val="0"/>
          <w14:ligatures w14:val="none"/>
        </w:rPr>
        <w:lastRenderedPageBreak/>
        <w:drawing>
          <wp:inline distT="0" distB="0" distL="0" distR="0" wp14:anchorId="2B5A8191" wp14:editId="4A295C62">
            <wp:extent cx="5943600" cy="6543040"/>
            <wp:effectExtent l="0" t="0" r="0" b="0"/>
            <wp:docPr id="467547146" name="Picture 1" descr="Figure 4 Refracture-Free Survi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f_mn6nj9z83&gt;" descr="Figure 4 Refracture-Free Surviva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C0575" w14:textId="0A7BFD3D" w:rsidR="00583C1D" w:rsidRDefault="00583C1D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 </w:t>
      </w:r>
      <w:r w:rsidRPr="006F153B">
        <w:rPr>
          <w:rFonts w:asciiTheme="majorBidi" w:eastAsia="Times New Roman" w:hAnsiTheme="majorBidi" w:cstheme="majorBidi"/>
        </w:rPr>
        <w:t xml:space="preserve">Figure </w:t>
      </w:r>
      <w:r>
        <w:rPr>
          <w:rFonts w:asciiTheme="majorBidi" w:eastAsia="Times New Roman" w:hAnsiTheme="majorBidi" w:cstheme="majorBidi"/>
        </w:rPr>
        <w:t>S</w:t>
      </w:r>
      <w:r w:rsidR="00525E53">
        <w:rPr>
          <w:rFonts w:asciiTheme="majorBidi" w:eastAsia="Times New Roman" w:hAnsiTheme="majorBidi" w:cstheme="majorBidi"/>
        </w:rPr>
        <w:t>2</w:t>
      </w:r>
      <w:r w:rsidRPr="006F153B">
        <w:rPr>
          <w:rFonts w:asciiTheme="majorBidi" w:eastAsia="Times New Roman" w:hAnsiTheme="majorBidi" w:cstheme="majorBidi"/>
        </w:rPr>
        <w:t>. Exploratory Kaplan–Meier refracture-free survival among 165 patients with sufficient timing and follow-up data; 14 dated refracture events were included.</w:t>
      </w:r>
    </w:p>
    <w:p w14:paraId="23FA5E0E" w14:textId="77777777" w:rsidR="00583C1D" w:rsidRPr="0018487A" w:rsidRDefault="00583C1D" w:rsidP="00583C1D">
      <w:pPr>
        <w:spacing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601112F1" w14:textId="77777777" w:rsidR="00583C1D" w:rsidRPr="0018487A" w:rsidRDefault="00583C1D" w:rsidP="00583C1D">
      <w:pPr>
        <w:tabs>
          <w:tab w:val="left" w:pos="2026"/>
        </w:tabs>
        <w:spacing w:line="360" w:lineRule="auto"/>
        <w:rPr>
          <w:rFonts w:asciiTheme="majorBidi" w:eastAsia="Times New Roman" w:hAnsiTheme="majorBidi" w:cstheme="majorBidi"/>
        </w:rPr>
      </w:pPr>
    </w:p>
    <w:p w14:paraId="0A108C55" w14:textId="77777777" w:rsidR="00583C1D" w:rsidRPr="0018487A" w:rsidRDefault="00583C1D" w:rsidP="00583C1D">
      <w:pPr>
        <w:spacing w:line="360" w:lineRule="auto"/>
        <w:rPr>
          <w:rFonts w:asciiTheme="majorBidi" w:eastAsia="Times New Roman" w:hAnsiTheme="majorBidi" w:cstheme="majorBidi"/>
          <w:kern w:val="0"/>
          <w14:ligatures w14:val="none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FCA0B19" wp14:editId="75187C58">
            <wp:extent cx="5943600" cy="6543040"/>
            <wp:effectExtent l="0" t="0" r="0" b="0"/>
            <wp:docPr id="2038017917" name="Picture 5" descr="Figure 5 Refracture-Free Survival by Post-Fracture Treat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f_mn6nj9z42&gt;" descr="Figure 5 Refracture-Free Survival by Post-Fracture Treatme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4581F" w14:textId="3763476C" w:rsidR="00583C1D" w:rsidRPr="006F153B" w:rsidRDefault="00583C1D" w:rsidP="00583C1D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</w:pPr>
      <w:r w:rsidRPr="006F153B"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 xml:space="preserve">Figure </w:t>
      </w:r>
      <w:r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>S</w:t>
      </w:r>
      <w:r w:rsidR="00525E53"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>3</w:t>
      </w:r>
      <w:r w:rsidRPr="006F153B"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>. Exploratory refracture-free survival by documented post-fracture osteoporosis treatment (n</w:t>
      </w:r>
      <w:r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 xml:space="preserve"> </w:t>
      </w:r>
      <w:r w:rsidRPr="006F153B"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>=</w:t>
      </w:r>
      <w:r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 xml:space="preserve"> </w:t>
      </w:r>
      <w:r w:rsidRPr="006F153B">
        <w:rPr>
          <w:rFonts w:asciiTheme="majorBidi" w:eastAsia="Times New Roman" w:hAnsiTheme="majorBidi" w:cstheme="majorBidi"/>
          <w:color w:val="000000" w:themeColor="text1"/>
          <w:kern w:val="0"/>
          <w14:ligatures w14:val="none"/>
        </w:rPr>
        <w:t>165 at time zero: 122 untreated and 43 treated; log-rank p=0.73). Treatment timing was not modeled, and the comparison is susceptible to immortal-time bias and confounding by indication.</w:t>
      </w:r>
    </w:p>
    <w:p w14:paraId="6C3B3B50" w14:textId="77777777" w:rsidR="00881544" w:rsidRDefault="00881544"/>
    <w:sectPr w:rsidR="00881544" w:rsidSect="00583C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1D"/>
    <w:rsid w:val="000F5C74"/>
    <w:rsid w:val="00271292"/>
    <w:rsid w:val="003268EA"/>
    <w:rsid w:val="00525E53"/>
    <w:rsid w:val="00583C1D"/>
    <w:rsid w:val="00881544"/>
    <w:rsid w:val="009A6246"/>
    <w:rsid w:val="00D8679B"/>
    <w:rsid w:val="00D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7F7B44"/>
  <w15:chartTrackingRefBased/>
  <w15:docId w15:val="{6A6CC9F8-5816-5542-8A26-CB8E1F4A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C1D"/>
  </w:style>
  <w:style w:type="paragraph" w:styleId="Heading1">
    <w:name w:val="heading 1"/>
    <w:basedOn w:val="Normal"/>
    <w:next w:val="Normal"/>
    <w:link w:val="Heading1Char"/>
    <w:uiPriority w:val="9"/>
    <w:qFormat/>
    <w:rsid w:val="00583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C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C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C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C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C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C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C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C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C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C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C1D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583C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9A62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fahad_alshahrani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Shahrani, Fahad</dc:creator>
  <cp:keywords/>
  <dc:description/>
  <cp:lastModifiedBy>Shahrani, Fahad</cp:lastModifiedBy>
  <cp:revision>3</cp:revision>
  <dcterms:created xsi:type="dcterms:W3CDTF">2026-08-05T10:08:00Z</dcterms:created>
  <dcterms:modified xsi:type="dcterms:W3CDTF">2026-08-05T11:51:00Z</dcterms:modified>
</cp:coreProperties>
</file>