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09"/>
        <w:gridCol w:w="1265"/>
        <w:gridCol w:w="981"/>
        <w:gridCol w:w="1010"/>
        <w:gridCol w:w="707"/>
        <w:gridCol w:w="951"/>
        <w:gridCol w:w="1100"/>
        <w:gridCol w:w="1299"/>
      </w:tblGrid>
      <w:tr w14:paraId="5D1658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09" w:type="pct"/>
            <w:tcBorders>
              <w:top w:val="single" w:color="auto" w:sz="12" w:space="0"/>
              <w:bottom w:val="single" w:color="auto" w:sz="4" w:space="0"/>
              <w:right w:val="nil"/>
              <w:tl2br w:val="nil"/>
              <w:tr2bl w:val="nil"/>
            </w:tcBorders>
            <w:shd w:val="clear" w:color="auto" w:fill="auto"/>
            <w:noWrap w:val="0"/>
            <w:vAlign w:val="center"/>
          </w:tcPr>
          <w:p w14:paraId="6E75E711">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kern w:val="2"/>
                <w:sz w:val="20"/>
                <w:szCs w:val="20"/>
                <w:vertAlign w:val="baseline"/>
                <w:lang w:val="en-US" w:eastAsia="zh-CN" w:bidi="ar-SA"/>
              </w:rPr>
            </w:pPr>
            <w:r>
              <w:rPr>
                <w:rFonts w:hint="default" w:ascii="Times New Roman" w:hAnsi="Times New Roman" w:eastAsia="宋体" w:cs="Times New Roman"/>
                <w:b/>
                <w:bCs/>
                <w:sz w:val="20"/>
                <w:szCs w:val="20"/>
              </w:rPr>
              <w:t>Variable</w:t>
            </w:r>
          </w:p>
        </w:tc>
        <w:tc>
          <w:tcPr>
            <w:tcW w:w="742" w:type="pct"/>
            <w:tcBorders>
              <w:top w:val="single" w:color="auto" w:sz="12" w:space="0"/>
              <w:left w:val="nil"/>
              <w:bottom w:val="single" w:color="auto" w:sz="4" w:space="0"/>
              <w:right w:val="nil"/>
              <w:tl2br w:val="nil"/>
              <w:tr2bl w:val="nil"/>
            </w:tcBorders>
            <w:shd w:val="clear" w:color="auto" w:fill="auto"/>
            <w:noWrap w:val="0"/>
            <w:vAlign w:val="center"/>
          </w:tcPr>
          <w:p w14:paraId="291A9FA9">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kern w:val="2"/>
                <w:sz w:val="20"/>
                <w:szCs w:val="20"/>
                <w:vertAlign w:val="baseline"/>
                <w:lang w:val="en-US" w:eastAsia="zh-CN" w:bidi="ar-SA"/>
              </w:rPr>
            </w:pPr>
            <w:r>
              <w:rPr>
                <w:rFonts w:hint="default" w:ascii="Times New Roman" w:hAnsi="Times New Roman" w:eastAsia="宋体" w:cs="Times New Roman"/>
                <w:b/>
                <w:bCs/>
                <w:sz w:val="20"/>
                <w:szCs w:val="20"/>
              </w:rPr>
              <w:t>Measurement Indicator</w:t>
            </w:r>
          </w:p>
        </w:tc>
        <w:tc>
          <w:tcPr>
            <w:tcW w:w="575" w:type="pct"/>
            <w:tcBorders>
              <w:top w:val="single" w:color="auto" w:sz="12" w:space="0"/>
              <w:left w:val="nil"/>
              <w:bottom w:val="single" w:color="auto" w:sz="4" w:space="0"/>
              <w:right w:val="nil"/>
              <w:tl2br w:val="nil"/>
              <w:tr2bl w:val="nil"/>
            </w:tcBorders>
            <w:shd w:val="clear" w:color="auto" w:fill="auto"/>
            <w:noWrap w:val="0"/>
            <w:vAlign w:val="center"/>
          </w:tcPr>
          <w:p w14:paraId="462779BC">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kern w:val="2"/>
                <w:sz w:val="20"/>
                <w:szCs w:val="20"/>
                <w:vertAlign w:val="baseline"/>
                <w:lang w:val="en-US" w:eastAsia="zh-CN" w:bidi="ar-SA"/>
              </w:rPr>
            </w:pPr>
            <w:r>
              <w:rPr>
                <w:rFonts w:hint="default" w:ascii="Times New Roman" w:hAnsi="Times New Roman" w:eastAsia="宋体" w:cs="Times New Roman"/>
                <w:b/>
                <w:sz w:val="20"/>
                <w:szCs w:val="20"/>
                <w:vertAlign w:val="baseline"/>
                <w:lang w:val="en-US" w:eastAsia="zh-CN"/>
              </w:rPr>
              <w:t>Minimum</w:t>
            </w:r>
          </w:p>
        </w:tc>
        <w:tc>
          <w:tcPr>
            <w:tcW w:w="592" w:type="pct"/>
            <w:tcBorders>
              <w:top w:val="single" w:color="auto" w:sz="12" w:space="0"/>
              <w:left w:val="nil"/>
              <w:bottom w:val="single" w:color="auto" w:sz="4" w:space="0"/>
              <w:right w:val="nil"/>
              <w:tl2br w:val="nil"/>
              <w:tr2bl w:val="nil"/>
            </w:tcBorders>
            <w:shd w:val="clear" w:color="auto" w:fill="auto"/>
            <w:noWrap w:val="0"/>
            <w:vAlign w:val="center"/>
          </w:tcPr>
          <w:p w14:paraId="23EA4DF9">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kern w:val="2"/>
                <w:sz w:val="20"/>
                <w:szCs w:val="20"/>
                <w:vertAlign w:val="baseline"/>
                <w:lang w:val="en-US" w:eastAsia="zh-CN" w:bidi="ar-SA"/>
              </w:rPr>
            </w:pPr>
            <w:r>
              <w:rPr>
                <w:rFonts w:hint="default" w:ascii="Times New Roman" w:hAnsi="Times New Roman" w:eastAsia="宋体" w:cs="Times New Roman"/>
                <w:b/>
                <w:sz w:val="20"/>
                <w:szCs w:val="20"/>
                <w:vertAlign w:val="baseline"/>
                <w:lang w:val="en-US" w:eastAsia="zh-CN"/>
              </w:rPr>
              <w:t>Maximum</w:t>
            </w:r>
          </w:p>
        </w:tc>
        <w:tc>
          <w:tcPr>
            <w:tcW w:w="414" w:type="pct"/>
            <w:tcBorders>
              <w:top w:val="single" w:color="auto" w:sz="12" w:space="0"/>
              <w:left w:val="nil"/>
              <w:bottom w:val="single" w:color="auto" w:sz="4" w:space="0"/>
              <w:right w:val="nil"/>
              <w:tl2br w:val="nil"/>
              <w:tr2bl w:val="nil"/>
            </w:tcBorders>
            <w:shd w:val="clear" w:color="auto" w:fill="auto"/>
            <w:noWrap w:val="0"/>
            <w:vAlign w:val="center"/>
          </w:tcPr>
          <w:p w14:paraId="6AE26DFF">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kern w:val="2"/>
                <w:sz w:val="20"/>
                <w:szCs w:val="20"/>
                <w:vertAlign w:val="baseline"/>
                <w:lang w:val="en-US" w:eastAsia="zh-CN" w:bidi="ar-SA"/>
              </w:rPr>
            </w:pPr>
            <w:r>
              <w:rPr>
                <w:rFonts w:hint="default" w:ascii="Times New Roman" w:hAnsi="Times New Roman" w:eastAsia="宋体" w:cs="Times New Roman"/>
                <w:b/>
                <w:sz w:val="20"/>
                <w:szCs w:val="20"/>
                <w:vertAlign w:val="baseline"/>
                <w:lang w:val="en-US" w:eastAsia="zh-CN"/>
              </w:rPr>
              <w:t>Mean</w:t>
            </w:r>
          </w:p>
        </w:tc>
        <w:tc>
          <w:tcPr>
            <w:tcW w:w="557" w:type="pct"/>
            <w:tcBorders>
              <w:top w:val="single" w:color="auto" w:sz="12" w:space="0"/>
              <w:left w:val="nil"/>
              <w:bottom w:val="single" w:color="auto" w:sz="4" w:space="0"/>
              <w:right w:val="nil"/>
              <w:tl2br w:val="nil"/>
              <w:tr2bl w:val="nil"/>
            </w:tcBorders>
            <w:shd w:val="clear" w:color="auto" w:fill="auto"/>
            <w:noWrap w:val="0"/>
            <w:vAlign w:val="center"/>
          </w:tcPr>
          <w:p w14:paraId="1BF7CF79">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kern w:val="2"/>
                <w:sz w:val="20"/>
                <w:szCs w:val="20"/>
                <w:vertAlign w:val="baseline"/>
                <w:lang w:val="en-US" w:eastAsia="zh-CN" w:bidi="ar-SA"/>
              </w:rPr>
            </w:pPr>
            <w:r>
              <w:rPr>
                <w:rFonts w:hint="default" w:ascii="Times New Roman" w:hAnsi="Times New Roman" w:eastAsia="宋体" w:cs="Times New Roman"/>
                <w:b/>
                <w:sz w:val="20"/>
                <w:szCs w:val="20"/>
                <w:vertAlign w:val="baseline"/>
                <w:lang w:val="en-US" w:eastAsia="zh-CN"/>
              </w:rPr>
              <w:t>Standard Deviation</w:t>
            </w:r>
          </w:p>
        </w:tc>
        <w:tc>
          <w:tcPr>
            <w:tcW w:w="645" w:type="pct"/>
            <w:tcBorders>
              <w:top w:val="single" w:color="auto" w:sz="12" w:space="0"/>
              <w:left w:val="nil"/>
              <w:bottom w:val="single" w:color="auto" w:sz="4" w:space="0"/>
              <w:right w:val="nil"/>
              <w:tl2br w:val="nil"/>
              <w:tr2bl w:val="nil"/>
            </w:tcBorders>
            <w:shd w:val="clear" w:color="auto" w:fill="auto"/>
            <w:noWrap w:val="0"/>
            <w:vAlign w:val="center"/>
          </w:tcPr>
          <w:p w14:paraId="3EB0F113">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kern w:val="2"/>
                <w:sz w:val="20"/>
                <w:szCs w:val="20"/>
                <w:vertAlign w:val="baseline"/>
                <w:lang w:val="en-US" w:eastAsia="zh-CN" w:bidi="ar-SA"/>
              </w:rPr>
            </w:pPr>
            <w:r>
              <w:rPr>
                <w:rFonts w:hint="default" w:ascii="Times New Roman" w:hAnsi="Times New Roman" w:eastAsia="宋体" w:cs="Times New Roman"/>
                <w:b/>
                <w:sz w:val="20"/>
                <w:szCs w:val="20"/>
                <w:vertAlign w:val="baseline"/>
                <w:lang w:val="en-US" w:eastAsia="zh-CN"/>
              </w:rPr>
              <w:t>Calibration method</w:t>
            </w:r>
          </w:p>
        </w:tc>
        <w:tc>
          <w:tcPr>
            <w:tcW w:w="762" w:type="pct"/>
            <w:tcBorders>
              <w:top w:val="single" w:color="auto" w:sz="12" w:space="0"/>
              <w:left w:val="nil"/>
              <w:bottom w:val="single" w:color="auto" w:sz="4" w:space="0"/>
              <w:tl2br w:val="nil"/>
              <w:tr2bl w:val="nil"/>
            </w:tcBorders>
            <w:shd w:val="clear" w:color="auto" w:fill="auto"/>
            <w:noWrap w:val="0"/>
            <w:vAlign w:val="center"/>
          </w:tcPr>
          <w:p w14:paraId="57670CF4">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kern w:val="2"/>
                <w:sz w:val="20"/>
                <w:szCs w:val="20"/>
                <w:vertAlign w:val="baseline"/>
                <w:lang w:val="en-US" w:eastAsia="zh-CN" w:bidi="ar-SA"/>
              </w:rPr>
            </w:pPr>
            <w:r>
              <w:rPr>
                <w:rFonts w:hint="default" w:ascii="Times New Roman" w:hAnsi="Times New Roman" w:eastAsia="宋体" w:cs="Times New Roman"/>
                <w:b/>
                <w:sz w:val="20"/>
                <w:szCs w:val="20"/>
                <w:vertAlign w:val="baseline"/>
                <w:lang w:val="en-US" w:eastAsia="zh-CN"/>
              </w:rPr>
              <w:t>Source</w:t>
            </w:r>
          </w:p>
        </w:tc>
      </w:tr>
      <w:tr w14:paraId="118641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9" w:type="pct"/>
            <w:tcBorders>
              <w:top w:val="single" w:color="auto" w:sz="4" w:space="0"/>
              <w:bottom w:val="nil"/>
              <w:right w:val="nil"/>
              <w:tl2br w:val="nil"/>
              <w:tr2bl w:val="nil"/>
            </w:tcBorders>
            <w:noWrap w:val="0"/>
            <w:vAlign w:val="center"/>
          </w:tcPr>
          <w:p w14:paraId="7CB1742D">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Corporate Potential Ranking</w:t>
            </w:r>
          </w:p>
        </w:tc>
        <w:tc>
          <w:tcPr>
            <w:tcW w:w="742" w:type="pct"/>
            <w:tcBorders>
              <w:top w:val="single" w:color="auto" w:sz="4" w:space="0"/>
              <w:left w:val="nil"/>
              <w:bottom w:val="nil"/>
              <w:right w:val="nil"/>
              <w:tl2br w:val="nil"/>
              <w:tr2bl w:val="nil"/>
            </w:tcBorders>
            <w:noWrap w:val="0"/>
            <w:vAlign w:val="center"/>
          </w:tcPr>
          <w:p w14:paraId="5E0723AC">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Collected according to ranking tiers:</w:t>
            </w:r>
          </w:p>
          <w:p w14:paraId="21EB762A">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Top 20 most potential enterprises = 1; Top 50 most potential enterprises = 2; Top 100 most potential enterprises = 3; Top 250 most potential enterprises = 4</w:t>
            </w:r>
          </w:p>
        </w:tc>
        <w:tc>
          <w:tcPr>
            <w:tcW w:w="575" w:type="pct"/>
            <w:tcBorders>
              <w:top w:val="single" w:color="auto" w:sz="4" w:space="0"/>
              <w:left w:val="nil"/>
              <w:bottom w:val="nil"/>
              <w:right w:val="nil"/>
              <w:tl2br w:val="nil"/>
              <w:tr2bl w:val="nil"/>
            </w:tcBorders>
            <w:noWrap w:val="0"/>
            <w:vAlign w:val="center"/>
          </w:tcPr>
          <w:p w14:paraId="08AD8BC9">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1</w:t>
            </w:r>
          </w:p>
        </w:tc>
        <w:tc>
          <w:tcPr>
            <w:tcW w:w="592" w:type="pct"/>
            <w:tcBorders>
              <w:top w:val="single" w:color="auto" w:sz="4" w:space="0"/>
              <w:left w:val="nil"/>
              <w:bottom w:val="nil"/>
              <w:right w:val="nil"/>
              <w:tl2br w:val="nil"/>
              <w:tr2bl w:val="nil"/>
            </w:tcBorders>
            <w:noWrap w:val="0"/>
            <w:vAlign w:val="center"/>
          </w:tcPr>
          <w:p w14:paraId="118DD1CF">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4</w:t>
            </w:r>
          </w:p>
        </w:tc>
        <w:tc>
          <w:tcPr>
            <w:tcW w:w="414" w:type="pct"/>
            <w:tcBorders>
              <w:top w:val="single" w:color="auto" w:sz="4" w:space="0"/>
              <w:left w:val="nil"/>
              <w:bottom w:val="nil"/>
              <w:right w:val="nil"/>
              <w:tl2br w:val="nil"/>
              <w:tr2bl w:val="nil"/>
            </w:tcBorders>
            <w:noWrap w:val="0"/>
            <w:vAlign w:val="center"/>
          </w:tcPr>
          <w:p w14:paraId="07DB94E7">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w:t>
            </w:r>
          </w:p>
        </w:tc>
        <w:tc>
          <w:tcPr>
            <w:tcW w:w="557" w:type="pct"/>
            <w:tcBorders>
              <w:top w:val="single" w:color="auto" w:sz="4" w:space="0"/>
              <w:left w:val="nil"/>
              <w:bottom w:val="nil"/>
              <w:right w:val="nil"/>
              <w:tl2br w:val="nil"/>
              <w:tr2bl w:val="nil"/>
            </w:tcBorders>
            <w:noWrap w:val="0"/>
            <w:vAlign w:val="center"/>
          </w:tcPr>
          <w:p w14:paraId="53D61628">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w:t>
            </w:r>
          </w:p>
        </w:tc>
        <w:tc>
          <w:tcPr>
            <w:tcW w:w="645" w:type="pct"/>
            <w:tcBorders>
              <w:top w:val="single" w:color="auto" w:sz="4" w:space="0"/>
              <w:left w:val="nil"/>
              <w:bottom w:val="nil"/>
              <w:right w:val="nil"/>
              <w:tl2br w:val="nil"/>
              <w:tr2bl w:val="nil"/>
            </w:tcBorders>
            <w:noWrap w:val="0"/>
            <w:vAlign w:val="center"/>
          </w:tcPr>
          <w:p w14:paraId="6B4E2FE5">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cs="Times New Roman"/>
                <w:sz w:val="20"/>
                <w:szCs w:val="20"/>
                <w:vertAlign w:val="baseline"/>
                <w:lang w:val="en-US" w:eastAsia="zh-CN"/>
              </w:rPr>
              <w:t>Assign fuzzy membership degrees of 0.95, 0.825, 0.625 and 0.25 to categories 1 to 4 respectively</w:t>
            </w:r>
          </w:p>
        </w:tc>
        <w:tc>
          <w:tcPr>
            <w:tcW w:w="762" w:type="pct"/>
            <w:tcBorders>
              <w:top w:val="single" w:color="auto" w:sz="4" w:space="0"/>
              <w:left w:val="nil"/>
              <w:bottom w:val="nil"/>
              <w:tl2br w:val="nil"/>
              <w:tr2bl w:val="nil"/>
            </w:tcBorders>
            <w:shd w:val="clear" w:color="auto" w:fill="auto"/>
            <w:noWrap w:val="0"/>
            <w:vAlign w:val="center"/>
          </w:tcPr>
          <w:p w14:paraId="66862100">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i w:val="0"/>
                <w:iCs w:val="0"/>
                <w:caps w:val="0"/>
                <w:spacing w:val="0"/>
                <w:sz w:val="20"/>
                <w:szCs w:val="20"/>
                <w:shd w:val="clear" w:color="auto" w:fill="FFFFFF"/>
                <w:lang w:val="en-US" w:eastAsia="zh-CN"/>
              </w:rPr>
              <w:t>2024 Hurun China Metaverse Potential Enterprises List</w:t>
            </w:r>
          </w:p>
        </w:tc>
      </w:tr>
      <w:tr w14:paraId="3B2CB3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9" w:type="pct"/>
            <w:tcBorders>
              <w:top w:val="nil"/>
              <w:bottom w:val="nil"/>
              <w:right w:val="nil"/>
              <w:tl2br w:val="nil"/>
              <w:tr2bl w:val="nil"/>
            </w:tcBorders>
            <w:noWrap w:val="0"/>
            <w:vAlign w:val="center"/>
          </w:tcPr>
          <w:p w14:paraId="7D175D51">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i w:val="0"/>
                <w:iCs w:val="0"/>
                <w:caps w:val="0"/>
                <w:spacing w:val="0"/>
                <w:sz w:val="20"/>
                <w:szCs w:val="20"/>
                <w:shd w:val="clear" w:color="auto" w:fill="FFFFFF"/>
              </w:rPr>
              <w:t>Proportion of female directors</w:t>
            </w:r>
          </w:p>
        </w:tc>
        <w:tc>
          <w:tcPr>
            <w:tcW w:w="742" w:type="pct"/>
            <w:tcBorders>
              <w:top w:val="nil"/>
              <w:left w:val="nil"/>
              <w:bottom w:val="nil"/>
              <w:right w:val="nil"/>
              <w:tl2br w:val="nil"/>
              <w:tr2bl w:val="nil"/>
            </w:tcBorders>
            <w:noWrap w:val="0"/>
            <w:vAlign w:val="center"/>
          </w:tcPr>
          <w:p w14:paraId="5FA46EB1">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Ratio of female directors to total directors(%)</w:t>
            </w:r>
          </w:p>
        </w:tc>
        <w:tc>
          <w:tcPr>
            <w:tcW w:w="575" w:type="pct"/>
            <w:tcBorders>
              <w:top w:val="nil"/>
              <w:left w:val="nil"/>
              <w:bottom w:val="nil"/>
              <w:right w:val="nil"/>
              <w:tl2br w:val="nil"/>
              <w:tr2bl w:val="nil"/>
            </w:tcBorders>
            <w:noWrap w:val="0"/>
            <w:vAlign w:val="center"/>
          </w:tcPr>
          <w:p w14:paraId="7EA86027">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w:t>
            </w:r>
          </w:p>
        </w:tc>
        <w:tc>
          <w:tcPr>
            <w:tcW w:w="592" w:type="pct"/>
            <w:tcBorders>
              <w:top w:val="nil"/>
              <w:left w:val="nil"/>
              <w:bottom w:val="nil"/>
              <w:right w:val="nil"/>
              <w:tl2br w:val="nil"/>
              <w:tr2bl w:val="nil"/>
            </w:tcBorders>
            <w:noWrap w:val="0"/>
            <w:vAlign w:val="center"/>
          </w:tcPr>
          <w:p w14:paraId="2B634172">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0.444</w:t>
            </w:r>
          </w:p>
        </w:tc>
        <w:tc>
          <w:tcPr>
            <w:tcW w:w="414" w:type="pct"/>
            <w:tcBorders>
              <w:top w:val="nil"/>
              <w:left w:val="nil"/>
              <w:bottom w:val="nil"/>
              <w:right w:val="nil"/>
              <w:tl2br w:val="nil"/>
              <w:tr2bl w:val="nil"/>
            </w:tcBorders>
            <w:noWrap w:val="0"/>
            <w:vAlign w:val="center"/>
          </w:tcPr>
          <w:p w14:paraId="7DFB0FE6">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0.141</w:t>
            </w:r>
          </w:p>
        </w:tc>
        <w:tc>
          <w:tcPr>
            <w:tcW w:w="557" w:type="pct"/>
            <w:tcBorders>
              <w:top w:val="nil"/>
              <w:left w:val="nil"/>
              <w:bottom w:val="nil"/>
              <w:right w:val="nil"/>
              <w:tl2br w:val="nil"/>
              <w:tr2bl w:val="nil"/>
            </w:tcBorders>
            <w:noWrap w:val="0"/>
            <w:vAlign w:val="center"/>
          </w:tcPr>
          <w:p w14:paraId="746F6FE8">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0.108</w:t>
            </w:r>
          </w:p>
        </w:tc>
        <w:tc>
          <w:tcPr>
            <w:tcW w:w="645" w:type="pct"/>
            <w:vMerge w:val="restart"/>
            <w:tcBorders>
              <w:top w:val="nil"/>
              <w:left w:val="nil"/>
              <w:bottom w:val="nil"/>
              <w:right w:val="nil"/>
              <w:tl2br w:val="nil"/>
              <w:tr2bl w:val="nil"/>
            </w:tcBorders>
            <w:noWrap w:val="0"/>
            <w:vAlign w:val="center"/>
          </w:tcPr>
          <w:p w14:paraId="169A644A">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cs="Times New Roman"/>
                <w:sz w:val="20"/>
                <w:szCs w:val="20"/>
                <w:vertAlign w:val="baseline"/>
                <w:lang w:val="en-US" w:eastAsia="zh-CN"/>
              </w:rPr>
              <w:t>Take the 25th, 50th and 75th percentiles of the proportion of female directors as three anchors, namely: Anchor 1 = 0.0702; Anchor 2 = 0.125; Anchor 3 = 0.2222</w:t>
            </w:r>
          </w:p>
        </w:tc>
        <w:tc>
          <w:tcPr>
            <w:tcW w:w="762" w:type="pct"/>
            <w:vMerge w:val="restart"/>
            <w:tcBorders>
              <w:top w:val="nil"/>
              <w:left w:val="nil"/>
              <w:bottom w:val="nil"/>
              <w:tl2br w:val="nil"/>
              <w:tr2bl w:val="nil"/>
            </w:tcBorders>
            <w:shd w:val="clear" w:color="auto" w:fill="auto"/>
            <w:noWrap w:val="0"/>
            <w:vAlign w:val="center"/>
          </w:tcPr>
          <w:p w14:paraId="3A6ABB8D">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sz w:val="20"/>
                <w:szCs w:val="20"/>
                <w:vertAlign w:val="baseline"/>
                <w:lang w:val="en-US" w:eastAsia="zh-CN"/>
              </w:rPr>
              <w:t>2023Annual Corporate Financial Reports</w:t>
            </w:r>
          </w:p>
        </w:tc>
      </w:tr>
      <w:tr w14:paraId="7AEA8C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9" w:type="pct"/>
            <w:tcBorders>
              <w:top w:val="nil"/>
              <w:bottom w:val="nil"/>
              <w:right w:val="nil"/>
              <w:tl2br w:val="nil"/>
              <w:tr2bl w:val="nil"/>
            </w:tcBorders>
            <w:noWrap w:val="0"/>
            <w:vAlign w:val="center"/>
          </w:tcPr>
          <w:p w14:paraId="1E3A36FF">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i w:val="0"/>
                <w:iCs w:val="0"/>
                <w:caps w:val="0"/>
                <w:color w:val="000000"/>
                <w:spacing w:val="0"/>
                <w:kern w:val="0"/>
                <w:sz w:val="20"/>
                <w:szCs w:val="20"/>
                <w:lang w:val="en-US" w:eastAsia="zh-CN" w:bidi="ar"/>
              </w:rPr>
              <w:t>Proportion of independent directors</w:t>
            </w:r>
          </w:p>
        </w:tc>
        <w:tc>
          <w:tcPr>
            <w:tcW w:w="742" w:type="pct"/>
            <w:tcBorders>
              <w:top w:val="nil"/>
              <w:left w:val="nil"/>
              <w:bottom w:val="nil"/>
              <w:right w:val="nil"/>
              <w:tl2br w:val="nil"/>
              <w:tr2bl w:val="nil"/>
            </w:tcBorders>
            <w:noWrap w:val="0"/>
            <w:vAlign w:val="center"/>
          </w:tcPr>
          <w:p w14:paraId="6E1CF0B8">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Ratio of independent directors to total directors (%)</w:t>
            </w:r>
          </w:p>
        </w:tc>
        <w:tc>
          <w:tcPr>
            <w:tcW w:w="575" w:type="pct"/>
            <w:tcBorders>
              <w:top w:val="nil"/>
              <w:left w:val="nil"/>
              <w:bottom w:val="nil"/>
              <w:right w:val="nil"/>
              <w:tl2br w:val="nil"/>
              <w:tr2bl w:val="nil"/>
            </w:tcBorders>
            <w:noWrap w:val="0"/>
            <w:vAlign w:val="center"/>
          </w:tcPr>
          <w:p w14:paraId="12EF26CA">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0.3</w:t>
            </w:r>
          </w:p>
        </w:tc>
        <w:tc>
          <w:tcPr>
            <w:tcW w:w="592" w:type="pct"/>
            <w:tcBorders>
              <w:top w:val="nil"/>
              <w:left w:val="nil"/>
              <w:bottom w:val="nil"/>
              <w:right w:val="nil"/>
              <w:tl2br w:val="nil"/>
              <w:tr2bl w:val="nil"/>
            </w:tcBorders>
            <w:noWrap w:val="0"/>
            <w:vAlign w:val="center"/>
          </w:tcPr>
          <w:p w14:paraId="00464AFB">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0.571</w:t>
            </w:r>
          </w:p>
        </w:tc>
        <w:tc>
          <w:tcPr>
            <w:tcW w:w="414" w:type="pct"/>
            <w:tcBorders>
              <w:top w:val="nil"/>
              <w:left w:val="nil"/>
              <w:bottom w:val="nil"/>
              <w:right w:val="nil"/>
              <w:tl2br w:val="nil"/>
              <w:tr2bl w:val="nil"/>
            </w:tcBorders>
            <w:noWrap w:val="0"/>
            <w:vAlign w:val="center"/>
          </w:tcPr>
          <w:p w14:paraId="4AB4CFB2">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0.396</w:t>
            </w:r>
          </w:p>
        </w:tc>
        <w:tc>
          <w:tcPr>
            <w:tcW w:w="557" w:type="pct"/>
            <w:tcBorders>
              <w:top w:val="nil"/>
              <w:left w:val="nil"/>
              <w:bottom w:val="nil"/>
              <w:right w:val="nil"/>
              <w:tl2br w:val="nil"/>
              <w:tr2bl w:val="nil"/>
            </w:tcBorders>
            <w:noWrap w:val="0"/>
            <w:vAlign w:val="center"/>
          </w:tcPr>
          <w:p w14:paraId="44892F54">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0.064</w:t>
            </w:r>
          </w:p>
        </w:tc>
        <w:tc>
          <w:tcPr>
            <w:tcW w:w="645" w:type="pct"/>
            <w:vMerge w:val="continue"/>
            <w:tcBorders>
              <w:top w:val="nil"/>
              <w:left w:val="nil"/>
              <w:bottom w:val="nil"/>
              <w:right w:val="nil"/>
              <w:tl2br w:val="nil"/>
              <w:tr2bl w:val="nil"/>
            </w:tcBorders>
            <w:noWrap w:val="0"/>
            <w:vAlign w:val="center"/>
          </w:tcPr>
          <w:p w14:paraId="27F25D80">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p>
        </w:tc>
        <w:tc>
          <w:tcPr>
            <w:tcW w:w="762" w:type="pct"/>
            <w:vMerge w:val="continue"/>
            <w:tcBorders>
              <w:top w:val="nil"/>
              <w:left w:val="nil"/>
              <w:bottom w:val="nil"/>
              <w:tl2br w:val="nil"/>
              <w:tr2bl w:val="nil"/>
            </w:tcBorders>
            <w:shd w:val="clear" w:color="auto" w:fill="auto"/>
            <w:noWrap w:val="0"/>
            <w:vAlign w:val="center"/>
          </w:tcPr>
          <w:p w14:paraId="24B41EBE">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kern w:val="2"/>
                <w:sz w:val="20"/>
                <w:szCs w:val="20"/>
                <w:vertAlign w:val="baseline"/>
                <w:lang w:val="en-US" w:eastAsia="zh-CN" w:bidi="ar-SA"/>
              </w:rPr>
            </w:pPr>
          </w:p>
        </w:tc>
      </w:tr>
      <w:tr w14:paraId="2D40A1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9" w:type="pct"/>
            <w:tcBorders>
              <w:top w:val="nil"/>
              <w:bottom w:val="nil"/>
              <w:right w:val="nil"/>
              <w:tl2br w:val="nil"/>
              <w:tr2bl w:val="nil"/>
            </w:tcBorders>
            <w:noWrap w:val="0"/>
            <w:vAlign w:val="center"/>
          </w:tcPr>
          <w:p w14:paraId="1D035C18">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i w:val="0"/>
                <w:iCs w:val="0"/>
                <w:caps w:val="0"/>
                <w:color w:val="000000"/>
                <w:spacing w:val="0"/>
                <w:kern w:val="0"/>
                <w:sz w:val="20"/>
                <w:szCs w:val="20"/>
                <w:lang w:val="en-US" w:eastAsia="zh-CN" w:bidi="ar"/>
              </w:rPr>
              <w:t>Proportion of charitable donations</w:t>
            </w:r>
          </w:p>
        </w:tc>
        <w:tc>
          <w:tcPr>
            <w:tcW w:w="742" w:type="pct"/>
            <w:tcBorders>
              <w:top w:val="nil"/>
              <w:left w:val="nil"/>
              <w:bottom w:val="nil"/>
              <w:right w:val="nil"/>
              <w:tl2br w:val="nil"/>
              <w:tr2bl w:val="nil"/>
            </w:tcBorders>
            <w:noWrap w:val="0"/>
            <w:vAlign w:val="center"/>
          </w:tcPr>
          <w:p w14:paraId="47A5E10D">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Ratio of charitable donations to operating revenue (%)</w:t>
            </w:r>
          </w:p>
        </w:tc>
        <w:tc>
          <w:tcPr>
            <w:tcW w:w="575" w:type="pct"/>
            <w:tcBorders>
              <w:top w:val="nil"/>
              <w:left w:val="nil"/>
              <w:bottom w:val="nil"/>
              <w:right w:val="nil"/>
              <w:tl2br w:val="nil"/>
              <w:tr2bl w:val="nil"/>
            </w:tcBorders>
            <w:noWrap w:val="0"/>
            <w:vAlign w:val="center"/>
          </w:tcPr>
          <w:p w14:paraId="55EFAE1C">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w:t>
            </w:r>
          </w:p>
        </w:tc>
        <w:tc>
          <w:tcPr>
            <w:tcW w:w="592" w:type="pct"/>
            <w:tcBorders>
              <w:top w:val="nil"/>
              <w:left w:val="nil"/>
              <w:bottom w:val="nil"/>
              <w:right w:val="nil"/>
              <w:tl2br w:val="nil"/>
              <w:tr2bl w:val="nil"/>
            </w:tcBorders>
            <w:noWrap w:val="0"/>
            <w:vAlign w:val="center"/>
          </w:tcPr>
          <w:p w14:paraId="5FF52685">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0.136</w:t>
            </w:r>
          </w:p>
        </w:tc>
        <w:tc>
          <w:tcPr>
            <w:tcW w:w="414" w:type="pct"/>
            <w:tcBorders>
              <w:top w:val="nil"/>
              <w:left w:val="nil"/>
              <w:bottom w:val="nil"/>
              <w:right w:val="nil"/>
              <w:tl2br w:val="nil"/>
              <w:tr2bl w:val="nil"/>
            </w:tcBorders>
            <w:noWrap w:val="0"/>
            <w:vAlign w:val="center"/>
          </w:tcPr>
          <w:p w14:paraId="2A49BF48">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0.004</w:t>
            </w:r>
          </w:p>
        </w:tc>
        <w:tc>
          <w:tcPr>
            <w:tcW w:w="557" w:type="pct"/>
            <w:tcBorders>
              <w:top w:val="nil"/>
              <w:left w:val="nil"/>
              <w:bottom w:val="nil"/>
              <w:right w:val="nil"/>
              <w:tl2br w:val="nil"/>
              <w:tr2bl w:val="nil"/>
            </w:tcBorders>
            <w:noWrap w:val="0"/>
            <w:vAlign w:val="center"/>
          </w:tcPr>
          <w:p w14:paraId="5D11AAC7">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0.017</w:t>
            </w:r>
          </w:p>
        </w:tc>
        <w:tc>
          <w:tcPr>
            <w:tcW w:w="645" w:type="pct"/>
            <w:tcBorders>
              <w:top w:val="nil"/>
              <w:left w:val="nil"/>
              <w:bottom w:val="nil"/>
              <w:right w:val="nil"/>
              <w:tl2br w:val="nil"/>
              <w:tr2bl w:val="nil"/>
            </w:tcBorders>
            <w:noWrap w:val="0"/>
            <w:vAlign w:val="center"/>
          </w:tcPr>
          <w:p w14:paraId="7D973AC0">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cs="Times New Roman"/>
                <w:sz w:val="20"/>
                <w:szCs w:val="20"/>
              </w:rPr>
              <w:t>Take the 25th, 50th and 75th percentiles of the proportion of independent directors as three anchors, namely: Anchor 1 = 0.3333; Anchor 2 = 0.4; Anchor 3 = 0.43145</w:t>
            </w:r>
          </w:p>
        </w:tc>
        <w:tc>
          <w:tcPr>
            <w:tcW w:w="762" w:type="pct"/>
            <w:tcBorders>
              <w:top w:val="nil"/>
              <w:left w:val="nil"/>
              <w:bottom w:val="nil"/>
              <w:tl2br w:val="nil"/>
              <w:tr2bl w:val="nil"/>
            </w:tcBorders>
            <w:shd w:val="clear" w:color="auto" w:fill="auto"/>
            <w:noWrap w:val="0"/>
            <w:vAlign w:val="center"/>
          </w:tcPr>
          <w:p w14:paraId="65D8852E">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sz w:val="20"/>
                <w:szCs w:val="20"/>
                <w:vertAlign w:val="baseline"/>
                <w:lang w:val="en-US" w:eastAsia="zh-CN"/>
              </w:rPr>
              <w:t>2023Annual Corporate Financial Reports and ESG Reports</w:t>
            </w:r>
          </w:p>
        </w:tc>
      </w:tr>
      <w:tr w14:paraId="230C30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9" w:type="pct"/>
            <w:tcBorders>
              <w:top w:val="nil"/>
              <w:bottom w:val="nil"/>
              <w:right w:val="nil"/>
              <w:tl2br w:val="nil"/>
              <w:tr2bl w:val="nil"/>
            </w:tcBorders>
            <w:noWrap w:val="0"/>
            <w:vAlign w:val="center"/>
          </w:tcPr>
          <w:p w14:paraId="5B2B6968">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i w:val="0"/>
                <w:iCs w:val="0"/>
                <w:caps w:val="0"/>
                <w:color w:val="000000"/>
                <w:spacing w:val="0"/>
                <w:kern w:val="0"/>
                <w:sz w:val="20"/>
                <w:szCs w:val="20"/>
                <w:lang w:val="en-US" w:eastAsia="zh-CN" w:bidi="ar"/>
              </w:rPr>
              <w:t>Intensity of R&amp;D investment</w:t>
            </w:r>
          </w:p>
        </w:tc>
        <w:tc>
          <w:tcPr>
            <w:tcW w:w="742" w:type="pct"/>
            <w:tcBorders>
              <w:top w:val="nil"/>
              <w:left w:val="nil"/>
              <w:bottom w:val="nil"/>
              <w:right w:val="nil"/>
              <w:tl2br w:val="nil"/>
              <w:tr2bl w:val="nil"/>
            </w:tcBorders>
            <w:noWrap w:val="0"/>
            <w:vAlign w:val="center"/>
          </w:tcPr>
          <w:p w14:paraId="70750E06">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Ratio of R&amp;D expenditure to operating revenue (%)</w:t>
            </w:r>
          </w:p>
        </w:tc>
        <w:tc>
          <w:tcPr>
            <w:tcW w:w="575" w:type="pct"/>
            <w:tcBorders>
              <w:top w:val="nil"/>
              <w:left w:val="nil"/>
              <w:bottom w:val="nil"/>
              <w:right w:val="nil"/>
              <w:tl2br w:val="nil"/>
              <w:tr2bl w:val="nil"/>
            </w:tcBorders>
            <w:noWrap w:val="0"/>
            <w:vAlign w:val="center"/>
          </w:tcPr>
          <w:p w14:paraId="08C6D0F2">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0.0017</w:t>
            </w:r>
          </w:p>
        </w:tc>
        <w:tc>
          <w:tcPr>
            <w:tcW w:w="592" w:type="pct"/>
            <w:tcBorders>
              <w:top w:val="nil"/>
              <w:left w:val="nil"/>
              <w:bottom w:val="nil"/>
              <w:right w:val="nil"/>
              <w:tl2br w:val="nil"/>
              <w:tr2bl w:val="nil"/>
            </w:tcBorders>
            <w:noWrap w:val="0"/>
            <w:vAlign w:val="center"/>
          </w:tcPr>
          <w:p w14:paraId="548DF55F">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0.781</w:t>
            </w:r>
          </w:p>
        </w:tc>
        <w:tc>
          <w:tcPr>
            <w:tcW w:w="414" w:type="pct"/>
            <w:tcBorders>
              <w:top w:val="nil"/>
              <w:left w:val="nil"/>
              <w:bottom w:val="nil"/>
              <w:right w:val="nil"/>
              <w:tl2br w:val="nil"/>
              <w:tr2bl w:val="nil"/>
            </w:tcBorders>
            <w:noWrap w:val="0"/>
            <w:vAlign w:val="center"/>
          </w:tcPr>
          <w:p w14:paraId="1A526539">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0.093</w:t>
            </w:r>
          </w:p>
        </w:tc>
        <w:tc>
          <w:tcPr>
            <w:tcW w:w="557" w:type="pct"/>
            <w:tcBorders>
              <w:top w:val="nil"/>
              <w:left w:val="nil"/>
              <w:bottom w:val="nil"/>
              <w:right w:val="nil"/>
              <w:tl2br w:val="nil"/>
              <w:tr2bl w:val="nil"/>
            </w:tcBorders>
            <w:noWrap w:val="0"/>
            <w:vAlign w:val="center"/>
          </w:tcPr>
          <w:p w14:paraId="2217FA89">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0.107</w:t>
            </w:r>
          </w:p>
        </w:tc>
        <w:tc>
          <w:tcPr>
            <w:tcW w:w="645" w:type="pct"/>
            <w:tcBorders>
              <w:top w:val="nil"/>
              <w:left w:val="nil"/>
              <w:bottom w:val="nil"/>
              <w:right w:val="nil"/>
              <w:tl2br w:val="nil"/>
              <w:tr2bl w:val="nil"/>
            </w:tcBorders>
            <w:noWrap w:val="0"/>
            <w:vAlign w:val="center"/>
          </w:tcPr>
          <w:p w14:paraId="7875B948">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cs="Times New Roman"/>
                <w:sz w:val="20"/>
                <w:szCs w:val="20"/>
                <w:vertAlign w:val="baseline"/>
                <w:lang w:val="en-US" w:eastAsia="zh-CN"/>
              </w:rPr>
              <w:t>Take the 25th, 50th and 75th percentiles of the charitable donation ratio as three anchors, namely: Anchor 1 = 0; Anchor 2 = 0.0002; Anchor 3 = 0.0005</w:t>
            </w:r>
          </w:p>
        </w:tc>
        <w:tc>
          <w:tcPr>
            <w:tcW w:w="762" w:type="pct"/>
            <w:tcBorders>
              <w:top w:val="nil"/>
              <w:left w:val="nil"/>
              <w:bottom w:val="nil"/>
              <w:tl2br w:val="nil"/>
              <w:tr2bl w:val="nil"/>
            </w:tcBorders>
            <w:shd w:val="clear" w:color="auto" w:fill="auto"/>
            <w:noWrap w:val="0"/>
            <w:vAlign w:val="center"/>
          </w:tcPr>
          <w:p w14:paraId="4B767232">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sz w:val="20"/>
                <w:szCs w:val="20"/>
                <w:vertAlign w:val="baseline"/>
                <w:lang w:val="en-US" w:eastAsia="zh-CN"/>
              </w:rPr>
              <w:t>2023Annual Corporate Financial Reports</w:t>
            </w:r>
          </w:p>
        </w:tc>
      </w:tr>
      <w:tr w14:paraId="16E9C2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9" w:type="pct"/>
            <w:tcBorders>
              <w:top w:val="nil"/>
              <w:bottom w:val="nil"/>
              <w:right w:val="nil"/>
              <w:tl2br w:val="nil"/>
              <w:tr2bl w:val="nil"/>
            </w:tcBorders>
            <w:noWrap w:val="0"/>
            <w:vAlign w:val="center"/>
          </w:tcPr>
          <w:p w14:paraId="39B40AF0">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i w:val="0"/>
                <w:iCs w:val="0"/>
                <w:caps w:val="0"/>
                <w:color w:val="000000"/>
                <w:spacing w:val="0"/>
                <w:kern w:val="0"/>
                <w:sz w:val="20"/>
                <w:szCs w:val="20"/>
                <w:lang w:val="en-US" w:eastAsia="zh-CN" w:bidi="ar"/>
              </w:rPr>
              <w:t>Green patent beholding</w:t>
            </w:r>
          </w:p>
        </w:tc>
        <w:tc>
          <w:tcPr>
            <w:tcW w:w="742" w:type="pct"/>
            <w:tcBorders>
              <w:top w:val="nil"/>
              <w:left w:val="nil"/>
              <w:bottom w:val="nil"/>
              <w:right w:val="nil"/>
              <w:tl2br w:val="nil"/>
              <w:tr2bl w:val="nil"/>
            </w:tcBorders>
            <w:noWrap w:val="0"/>
            <w:vAlign w:val="center"/>
          </w:tcPr>
          <w:p w14:paraId="5B16C8A9">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Quantity (units)</w:t>
            </w:r>
          </w:p>
        </w:tc>
        <w:tc>
          <w:tcPr>
            <w:tcW w:w="575" w:type="pct"/>
            <w:tcBorders>
              <w:top w:val="nil"/>
              <w:left w:val="nil"/>
              <w:bottom w:val="nil"/>
              <w:right w:val="nil"/>
              <w:tl2br w:val="nil"/>
              <w:tr2bl w:val="nil"/>
            </w:tcBorders>
            <w:noWrap w:val="0"/>
            <w:vAlign w:val="center"/>
          </w:tcPr>
          <w:p w14:paraId="75E93345">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w:t>
            </w:r>
          </w:p>
        </w:tc>
        <w:tc>
          <w:tcPr>
            <w:tcW w:w="592" w:type="pct"/>
            <w:tcBorders>
              <w:top w:val="nil"/>
              <w:left w:val="nil"/>
              <w:bottom w:val="nil"/>
              <w:right w:val="nil"/>
              <w:tl2br w:val="nil"/>
              <w:tr2bl w:val="nil"/>
            </w:tcBorders>
            <w:noWrap w:val="0"/>
            <w:vAlign w:val="center"/>
          </w:tcPr>
          <w:p w14:paraId="60EFA14F">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1005</w:t>
            </w:r>
          </w:p>
        </w:tc>
        <w:tc>
          <w:tcPr>
            <w:tcW w:w="414" w:type="pct"/>
            <w:tcBorders>
              <w:top w:val="nil"/>
              <w:left w:val="nil"/>
              <w:bottom w:val="nil"/>
              <w:right w:val="nil"/>
              <w:tl2br w:val="nil"/>
              <w:tr2bl w:val="nil"/>
            </w:tcBorders>
            <w:noWrap w:val="0"/>
            <w:vAlign w:val="center"/>
          </w:tcPr>
          <w:p w14:paraId="119A316D">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63.375</w:t>
            </w:r>
          </w:p>
        </w:tc>
        <w:tc>
          <w:tcPr>
            <w:tcW w:w="557" w:type="pct"/>
            <w:tcBorders>
              <w:top w:val="nil"/>
              <w:left w:val="nil"/>
              <w:bottom w:val="nil"/>
              <w:right w:val="nil"/>
              <w:tl2br w:val="nil"/>
              <w:tr2bl w:val="nil"/>
            </w:tcBorders>
            <w:noWrap w:val="0"/>
            <w:vAlign w:val="center"/>
          </w:tcPr>
          <w:p w14:paraId="57E9B643">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146.424</w:t>
            </w:r>
          </w:p>
        </w:tc>
        <w:tc>
          <w:tcPr>
            <w:tcW w:w="645" w:type="pct"/>
            <w:tcBorders>
              <w:top w:val="nil"/>
              <w:left w:val="nil"/>
              <w:bottom w:val="nil"/>
              <w:right w:val="nil"/>
              <w:tl2br w:val="nil"/>
              <w:tr2bl w:val="nil"/>
            </w:tcBorders>
            <w:noWrap w:val="0"/>
            <w:vAlign w:val="center"/>
          </w:tcPr>
          <w:p w14:paraId="149B0853">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cs="Times New Roman"/>
                <w:sz w:val="20"/>
                <w:szCs w:val="20"/>
                <w:vertAlign w:val="baseline"/>
                <w:lang w:val="en-US" w:eastAsia="zh-CN"/>
              </w:rPr>
              <w:t>Take the 25th, 50th and 75th percentiles of R&amp;D investment intensity as three anchors, namely: Anchor 1 = 0.0362; Anchor 2 = 0.05665; Anchor 3 = 0.11945</w:t>
            </w:r>
          </w:p>
        </w:tc>
        <w:tc>
          <w:tcPr>
            <w:tcW w:w="762" w:type="pct"/>
            <w:tcBorders>
              <w:top w:val="nil"/>
              <w:left w:val="nil"/>
              <w:bottom w:val="nil"/>
              <w:tl2br w:val="nil"/>
              <w:tr2bl w:val="nil"/>
            </w:tcBorders>
            <w:shd w:val="clear" w:color="auto" w:fill="auto"/>
            <w:noWrap w:val="0"/>
            <w:vAlign w:val="center"/>
          </w:tcPr>
          <w:p w14:paraId="20A9B996">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i w:val="0"/>
                <w:iCs w:val="0"/>
                <w:caps w:val="0"/>
                <w:spacing w:val="0"/>
                <w:sz w:val="20"/>
                <w:szCs w:val="20"/>
                <w:shd w:val="clear" w:color="auto" w:fill="FFFFFF"/>
                <w:lang w:val="en-US" w:eastAsia="zh-CN"/>
              </w:rPr>
              <w:t>National Intellectual Property Administration of China</w:t>
            </w:r>
          </w:p>
        </w:tc>
      </w:tr>
      <w:tr w14:paraId="0F1FBA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9" w:type="pct"/>
            <w:tcBorders>
              <w:top w:val="nil"/>
              <w:bottom w:val="single" w:color="auto" w:sz="12" w:space="0"/>
              <w:right w:val="nil"/>
              <w:tl2br w:val="nil"/>
              <w:tr2bl w:val="nil"/>
            </w:tcBorders>
            <w:noWrap w:val="0"/>
            <w:vAlign w:val="center"/>
          </w:tcPr>
          <w:p w14:paraId="2ACACF89">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i w:val="0"/>
                <w:iCs w:val="0"/>
                <w:caps w:val="0"/>
                <w:color w:val="000000"/>
                <w:spacing w:val="0"/>
                <w:kern w:val="0"/>
                <w:sz w:val="20"/>
                <w:szCs w:val="20"/>
                <w:lang w:val="en-US" w:eastAsia="zh-CN" w:bidi="ar"/>
              </w:rPr>
              <w:t>Employee compensation ratio</w:t>
            </w:r>
          </w:p>
        </w:tc>
        <w:tc>
          <w:tcPr>
            <w:tcW w:w="742" w:type="pct"/>
            <w:tcBorders>
              <w:top w:val="nil"/>
              <w:left w:val="nil"/>
              <w:bottom w:val="single" w:color="auto" w:sz="12" w:space="0"/>
              <w:right w:val="nil"/>
              <w:tl2br w:val="nil"/>
              <w:tr2bl w:val="nil"/>
            </w:tcBorders>
            <w:noWrap w:val="0"/>
            <w:vAlign w:val="center"/>
          </w:tcPr>
          <w:p w14:paraId="1705EB93">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Ratio of total employee compensation to operating revenue (%)</w:t>
            </w:r>
          </w:p>
        </w:tc>
        <w:tc>
          <w:tcPr>
            <w:tcW w:w="575" w:type="pct"/>
            <w:tcBorders>
              <w:top w:val="nil"/>
              <w:left w:val="nil"/>
              <w:bottom w:val="single" w:color="auto" w:sz="12" w:space="0"/>
              <w:right w:val="nil"/>
              <w:tl2br w:val="nil"/>
              <w:tr2bl w:val="nil"/>
            </w:tcBorders>
            <w:noWrap w:val="0"/>
            <w:vAlign w:val="center"/>
          </w:tcPr>
          <w:p w14:paraId="28344E3C">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0.0023</w:t>
            </w:r>
          </w:p>
        </w:tc>
        <w:tc>
          <w:tcPr>
            <w:tcW w:w="592" w:type="pct"/>
            <w:tcBorders>
              <w:top w:val="nil"/>
              <w:left w:val="nil"/>
              <w:bottom w:val="single" w:color="auto" w:sz="12" w:space="0"/>
              <w:right w:val="nil"/>
              <w:tl2br w:val="nil"/>
              <w:tr2bl w:val="nil"/>
            </w:tcBorders>
            <w:noWrap w:val="0"/>
            <w:vAlign w:val="center"/>
          </w:tcPr>
          <w:p w14:paraId="3F11EF0B">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0.896</w:t>
            </w:r>
          </w:p>
        </w:tc>
        <w:tc>
          <w:tcPr>
            <w:tcW w:w="414" w:type="pct"/>
            <w:tcBorders>
              <w:top w:val="nil"/>
              <w:left w:val="nil"/>
              <w:bottom w:val="single" w:color="auto" w:sz="12" w:space="0"/>
              <w:right w:val="nil"/>
              <w:tl2br w:val="nil"/>
              <w:tr2bl w:val="nil"/>
            </w:tcBorders>
            <w:noWrap w:val="0"/>
            <w:vAlign w:val="center"/>
          </w:tcPr>
          <w:p w14:paraId="219DD85F">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0.198</w:t>
            </w:r>
          </w:p>
        </w:tc>
        <w:tc>
          <w:tcPr>
            <w:tcW w:w="557" w:type="pct"/>
            <w:tcBorders>
              <w:top w:val="nil"/>
              <w:left w:val="nil"/>
              <w:bottom w:val="single" w:color="auto" w:sz="12" w:space="0"/>
              <w:right w:val="nil"/>
              <w:tl2br w:val="nil"/>
              <w:tr2bl w:val="nil"/>
            </w:tcBorders>
            <w:noWrap w:val="0"/>
            <w:vAlign w:val="center"/>
          </w:tcPr>
          <w:p w14:paraId="496DA4D7">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eastAsia="宋体" w:cs="Times New Roman"/>
                <w:sz w:val="20"/>
                <w:szCs w:val="20"/>
                <w:vertAlign w:val="baseline"/>
                <w:lang w:val="en-US" w:eastAsia="zh-CN"/>
              </w:rPr>
              <w:t>0.172</w:t>
            </w:r>
          </w:p>
        </w:tc>
        <w:tc>
          <w:tcPr>
            <w:tcW w:w="645" w:type="pct"/>
            <w:tcBorders>
              <w:top w:val="nil"/>
              <w:left w:val="nil"/>
              <w:bottom w:val="single" w:color="auto" w:sz="12" w:space="0"/>
              <w:right w:val="nil"/>
              <w:tl2br w:val="nil"/>
              <w:tr2bl w:val="nil"/>
            </w:tcBorders>
            <w:noWrap w:val="0"/>
            <w:vAlign w:val="center"/>
          </w:tcPr>
          <w:p w14:paraId="2BEB9B95">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sz w:val="20"/>
                <w:szCs w:val="20"/>
                <w:vertAlign w:val="baseline"/>
                <w:lang w:val="en-US" w:eastAsia="zh-CN"/>
              </w:rPr>
            </w:pPr>
            <w:r>
              <w:rPr>
                <w:rFonts w:hint="default" w:ascii="Times New Roman" w:hAnsi="Times New Roman" w:cs="Times New Roman"/>
                <w:sz w:val="20"/>
                <w:szCs w:val="20"/>
                <w:vertAlign w:val="baseline"/>
                <w:lang w:val="en-US" w:eastAsia="zh-CN"/>
              </w:rPr>
              <w:t>Take the 25th, 50th and 75th percentiles of green patents as three anchors, namely: Anchor 1 = 1; Anchor 2 = 11; Anchor 3 = 51.25</w:t>
            </w:r>
          </w:p>
        </w:tc>
        <w:tc>
          <w:tcPr>
            <w:tcW w:w="762" w:type="pct"/>
            <w:tcBorders>
              <w:top w:val="nil"/>
              <w:left w:val="nil"/>
              <w:bottom w:val="single" w:color="auto" w:sz="12" w:space="0"/>
              <w:tl2br w:val="nil"/>
              <w:tr2bl w:val="nil"/>
            </w:tcBorders>
            <w:shd w:val="clear" w:color="auto" w:fill="auto"/>
            <w:noWrap w:val="0"/>
            <w:vAlign w:val="center"/>
          </w:tcPr>
          <w:p w14:paraId="45521FB6">
            <w:pPr>
              <w:keepNext/>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kern w:val="2"/>
                <w:sz w:val="20"/>
                <w:szCs w:val="20"/>
                <w:vertAlign w:val="baseline"/>
                <w:lang w:val="en-US" w:eastAsia="zh-CN" w:bidi="ar-SA"/>
              </w:rPr>
            </w:pPr>
            <w:r>
              <w:rPr>
                <w:rFonts w:hint="default" w:ascii="Times New Roman" w:hAnsi="Times New Roman" w:eastAsia="宋体" w:cs="Times New Roman"/>
                <w:sz w:val="20"/>
                <w:szCs w:val="20"/>
                <w:vertAlign w:val="baseline"/>
                <w:lang w:val="en-US" w:eastAsia="zh-CN"/>
              </w:rPr>
              <w:t>2023Annual Corporate Financial Reports</w:t>
            </w:r>
          </w:p>
        </w:tc>
      </w:tr>
    </w:tbl>
    <w:p w14:paraId="20C4C1BB">
      <w:pPr>
        <w:ind w:left="0" w:leftChars="0" w:firstLine="0" w:firstLineChars="0"/>
        <w:rPr>
          <w:rFonts w:hint="eastAsia" w:eastAsia="宋体"/>
          <w:lang w:val="en-US" w:eastAsia="zh-CN"/>
        </w:rPr>
      </w:pPr>
      <w:r>
        <w:rPr>
          <w:rFonts w:hint="eastAsia"/>
          <w:b/>
          <w:bCs/>
        </w:rPr>
        <w:t>Coding scheme supplement</w:t>
      </w:r>
      <w:r>
        <w:rPr>
          <w:rFonts w:hint="eastAsia"/>
          <w:b/>
          <w:bCs/>
          <w:lang w:val="en-US" w:eastAsia="zh-CN"/>
        </w:rPr>
        <w:t>:</w:t>
      </w:r>
    </w:p>
    <w:p w14:paraId="79E67AF2">
      <w:pPr>
        <w:rPr>
          <w:rFonts w:hint="eastAsia"/>
        </w:rPr>
      </w:pPr>
      <w:r>
        <w:rPr>
          <w:rFonts w:hint="eastAsia"/>
        </w:rPr>
        <w:t>For each variable in this study, descriptive statistics (Minimum, Maximum, Mean, Standard Deviation) correspond to raw uncalibrated values before fsQCA transformation.</w:t>
      </w:r>
    </w:p>
    <w:p w14:paraId="08507E25">
      <w:pPr>
        <w:rPr>
          <w:rFonts w:hint="eastAsia"/>
        </w:rPr>
      </w:pPr>
    </w:p>
    <w:p w14:paraId="3845F2A1">
      <w:pPr>
        <w:rPr>
          <w:rFonts w:hint="eastAsia"/>
        </w:rPr>
      </w:pPr>
      <w:r>
        <w:rPr>
          <w:rFonts w:hint="eastAsia"/>
        </w:rPr>
        <w:t>1. Corporate Potential Ranking: Ordinal variable. Values 1, 2, 3, 4 represent Top</w:t>
      </w:r>
      <w:r>
        <w:rPr>
          <w:rFonts w:hint="eastAsia"/>
          <w:lang w:val="en-US" w:eastAsia="zh-CN"/>
        </w:rPr>
        <w:t>-</w:t>
      </w:r>
      <w:r>
        <w:rPr>
          <w:rFonts w:hint="eastAsia"/>
        </w:rPr>
        <w:t>20, Top</w:t>
      </w:r>
      <w:r>
        <w:rPr>
          <w:rFonts w:hint="eastAsia"/>
          <w:lang w:val="en-US" w:eastAsia="zh-CN"/>
        </w:rPr>
        <w:t>-</w:t>
      </w:r>
      <w:r>
        <w:rPr>
          <w:rFonts w:hint="eastAsia"/>
        </w:rPr>
        <w:t>50, Top</w:t>
      </w:r>
      <w:r>
        <w:rPr>
          <w:rFonts w:hint="eastAsia"/>
          <w:lang w:val="en-US" w:eastAsia="zh-CN"/>
        </w:rPr>
        <w:t>-</w:t>
      </w:r>
      <w:r>
        <w:rPr>
          <w:rFonts w:hint="eastAsia"/>
        </w:rPr>
        <w:t>100, Top</w:t>
      </w:r>
      <w:r>
        <w:rPr>
          <w:rFonts w:hint="eastAsia"/>
          <w:lang w:val="en-US" w:eastAsia="zh-CN"/>
        </w:rPr>
        <w:t>-</w:t>
      </w:r>
      <w:r>
        <w:rPr>
          <w:rFonts w:hint="eastAsia"/>
        </w:rPr>
        <w:t>250 most</w:t>
      </w:r>
      <w:r>
        <w:rPr>
          <w:rFonts w:hint="eastAsia"/>
          <w:lang w:val="en-US" w:eastAsia="zh-CN"/>
        </w:rPr>
        <w:t>-</w:t>
      </w:r>
      <w:r>
        <w:rPr>
          <w:rFonts w:hint="eastAsia"/>
        </w:rPr>
        <w:t>potential enterprises respectively. Fuzzy</w:t>
      </w:r>
      <w:r>
        <w:rPr>
          <w:rFonts w:hint="eastAsia"/>
          <w:lang w:val="en-US" w:eastAsia="zh-CN"/>
        </w:rPr>
        <w:t>-</w:t>
      </w:r>
      <w:r>
        <w:rPr>
          <w:rFonts w:hint="eastAsia"/>
        </w:rPr>
        <w:t>membership degrees are further assigned to these four ordinal categories.</w:t>
      </w:r>
    </w:p>
    <w:p w14:paraId="0B0C0844">
      <w:pPr>
        <w:rPr>
          <w:rFonts w:hint="eastAsia"/>
        </w:rPr>
      </w:pPr>
      <w:r>
        <w:rPr>
          <w:rFonts w:hint="eastAsia"/>
        </w:rPr>
        <w:t>2.Continuous ratio</w:t>
      </w:r>
      <w:r>
        <w:rPr>
          <w:rFonts w:hint="eastAsia"/>
          <w:lang w:val="en-US" w:eastAsia="zh-CN"/>
        </w:rPr>
        <w:t>-</w:t>
      </w:r>
      <w:r>
        <w:rPr>
          <w:rFonts w:hint="eastAsia"/>
        </w:rPr>
        <w:t>type variables (Proportion of female directors, Proportion of independent directors, Proportion of charitable donations, Intensity of R&amp;D investment, Employee compensation ratio): Values represent proportional ratios. For example, 0.141 indicates 14.1 %.</w:t>
      </w:r>
    </w:p>
    <w:p w14:paraId="7B13239B">
      <w:pPr>
        <w:rPr>
          <w:rFonts w:hint="eastAsia"/>
        </w:rPr>
      </w:pPr>
      <w:r>
        <w:rPr>
          <w:rFonts w:hint="eastAsia"/>
        </w:rPr>
        <w:t>3.Green patent beholding: Count variable, unit: number of green patents.</w:t>
      </w:r>
    </w:p>
    <w:p w14:paraId="29DB10F9">
      <w:pPr>
        <w:rPr>
          <w:rFonts w:hint="eastAsia"/>
        </w:rPr>
      </w:pPr>
    </w:p>
    <w:p w14:paraId="5B1D6C8A">
      <w:pPr>
        <w:ind w:left="0" w:leftChars="0" w:firstLine="0" w:firstLineChars="0"/>
        <w:rPr>
          <w:rFonts w:hint="eastAsia" w:eastAsia="宋体"/>
          <w:b/>
          <w:bCs/>
          <w:lang w:val="en-US" w:eastAsia="zh-CN"/>
        </w:rPr>
      </w:pPr>
      <w:r>
        <w:rPr>
          <w:rFonts w:hint="eastAsia"/>
          <w:b/>
          <w:bCs/>
        </w:rPr>
        <w:t>Missing</w:t>
      </w:r>
      <w:r>
        <w:rPr>
          <w:rFonts w:hint="eastAsia"/>
          <w:b/>
          <w:bCs/>
          <w:lang w:val="en-US" w:eastAsia="zh-CN"/>
        </w:rPr>
        <w:t>-</w:t>
      </w:r>
      <w:r>
        <w:rPr>
          <w:rFonts w:hint="eastAsia"/>
          <w:b/>
          <w:bCs/>
        </w:rPr>
        <w:t>value treatment</w:t>
      </w:r>
      <w:r>
        <w:rPr>
          <w:rFonts w:hint="eastAsia"/>
          <w:b/>
          <w:bCs/>
          <w:lang w:val="en-US" w:eastAsia="zh-CN"/>
        </w:rPr>
        <w:t>:</w:t>
      </w:r>
    </w:p>
    <w:p w14:paraId="54B8A20C">
      <w:pPr>
        <w:rPr>
          <w:rFonts w:hint="eastAsia"/>
        </w:rPr>
      </w:pPr>
      <w:r>
        <w:rPr>
          <w:rFonts w:hint="eastAsia"/>
        </w:rPr>
        <w:t>Observations containing missing values on core variables used for fsQCA analysis are directly dropped from the analytical sample. No imputation technique is adopted for missing entries. Only complete cases are retained for subsequent fuzzy</w:t>
      </w:r>
      <w:r>
        <w:rPr>
          <w:rFonts w:hint="eastAsia"/>
          <w:lang w:val="en-US" w:eastAsia="zh-CN"/>
        </w:rPr>
        <w:t>-</w:t>
      </w:r>
      <w:r>
        <w:rPr>
          <w:rFonts w:hint="eastAsia"/>
        </w:rPr>
        <w:t>set calibration and configurational analysis.</w:t>
      </w:r>
    </w:p>
    <w:p w14:paraId="0789DB98">
      <w:pPr>
        <w:rPr>
          <w:rFonts w:hint="eastAsia"/>
        </w:rPr>
      </w:pPr>
    </w:p>
    <w:p w14:paraId="46B4EFA9">
      <w:pPr>
        <w:ind w:left="0" w:leftChars="0" w:firstLine="0" w:firstLineChars="0"/>
        <w:rPr>
          <w:rFonts w:hint="eastAsia"/>
        </w:rPr>
      </w:pPr>
      <w:r>
        <w:rPr>
          <w:rFonts w:hint="eastAsia"/>
          <w:b/>
          <w:bCs/>
        </w:rPr>
        <w:t>Variable transformation (fsQCA calibration procedure)</w:t>
      </w:r>
      <w:r>
        <w:rPr>
          <w:rFonts w:hint="eastAsia"/>
          <w:b/>
          <w:bCs/>
          <w:lang w:val="en-US" w:eastAsia="zh-CN"/>
        </w:rPr>
        <w:t>:</w:t>
      </w:r>
    </w:p>
    <w:p w14:paraId="41C53B3A">
      <w:pPr>
        <w:pStyle w:val="2"/>
        <w:keepNext w:val="0"/>
        <w:keepLines w:val="0"/>
        <w:widowControl/>
        <w:suppressLineNumbers w:val="0"/>
        <w:rPr>
          <w:rFonts w:hint="eastAsia"/>
        </w:rPr>
      </w:pPr>
      <w:r>
        <w:rPr>
          <w:rFonts w:hint="default" w:ascii="Times New Roman" w:hAnsi="Times New Roman" w:cs="Times New Roman"/>
          <w:sz w:val="21"/>
          <w:szCs w:val="21"/>
        </w:rPr>
        <w:t>Original raw indicators were transformed into fuzzy</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set membership scores ranging from 0 to 1 using the direct calibration function built‑in fsQCA 3.0 software. The S</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shaped logistic transformation function was applied:</w:t>
      </w:r>
      <w:r>
        <w:rPr>
          <w:rFonts w:hint="eastAsia"/>
        </w:rPr>
        <w:br w:type="textWrapping"/>
      </w:r>
      <m:oMathPara>
        <m:oMath>
          <m:r>
            <m:rPr/>
            <w:rPr>
              <w:rFonts w:hint="default" w:ascii="Cambria Math" w:hAnsi="Cambria Math" w:eastAsia="Consolas"/>
            </w:rPr>
            <m:t>μ(x)=</m:t>
          </m:r>
          <m:f>
            <m:fPr>
              <m:ctrlPr>
                <w:rPr>
                  <w:rFonts w:hint="default" w:ascii="Cambria Math" w:hAnsi="Cambria Math" w:eastAsia="Consolas"/>
                </w:rPr>
              </m:ctrlPr>
            </m:fPr>
            <m:num>
              <m:r>
                <m:rPr/>
                <w:rPr>
                  <w:rFonts w:hint="default" w:ascii="Cambria Math" w:hAnsi="Cambria Math" w:eastAsia="Consolas"/>
                </w:rPr>
                <m:t>1</m:t>
              </m:r>
              <m:ctrlPr>
                <w:rPr>
                  <w:rFonts w:ascii="Cambria Math" w:hAnsi="Cambria Math" w:eastAsia="Consolas"/>
                </w:rPr>
              </m:ctrlPr>
            </m:num>
            <m:den>
              <m:r>
                <m:rPr/>
                <w:rPr>
                  <w:rFonts w:hint="default" w:ascii="Cambria Math" w:hAnsi="Cambria Math" w:eastAsia="Consolas"/>
                </w:rPr>
                <m:t>1+exp</m:t>
              </m:r>
              <m:d>
                <m:dPr>
                  <m:begChr m:val="["/>
                  <m:endChr m:val="]"/>
                  <m:ctrlPr>
                    <w:rPr>
                      <w:rFonts w:hint="default" w:ascii="Cambria Math" w:hAnsi="Cambria Math" w:eastAsia="Consolas"/>
                    </w:rPr>
                  </m:ctrlPr>
                </m:dPr>
                <m:e>
                  <m:r>
                    <m:rPr/>
                    <w:rPr>
                      <w:rFonts w:hint="default" w:ascii="Cambria Math" w:hAnsi="Cambria Math" w:eastAsia="Consolas"/>
                    </w:rPr>
                    <m:t>−k</m:t>
                  </m:r>
                  <m:f>
                    <m:fPr>
                      <m:ctrlPr>
                        <w:rPr>
                          <w:rFonts w:hint="default" w:ascii="Cambria Math" w:hAnsi="Cambria Math" w:eastAsia="Consolas"/>
                        </w:rPr>
                      </m:ctrlPr>
                    </m:fPr>
                    <m:num>
                      <m:r>
                        <m:rPr/>
                        <w:rPr>
                          <w:rFonts w:hint="default" w:ascii="Cambria Math" w:hAnsi="Cambria Math" w:eastAsia="Consolas"/>
                        </w:rPr>
                        <m:t>(x−c)</m:t>
                      </m:r>
                      <m:ctrlPr>
                        <w:rPr>
                          <w:rFonts w:ascii="Cambria Math" w:hAnsi="Cambria Math" w:eastAsia="Consolas"/>
                        </w:rPr>
                      </m:ctrlPr>
                    </m:num>
                    <m:den>
                      <m:r>
                        <m:rPr/>
                        <w:rPr>
                          <w:rFonts w:hint="default" w:ascii="Cambria Math" w:hAnsi="Cambria Math" w:eastAsia="Consolas"/>
                        </w:rPr>
                        <m:t>(i−e)</m:t>
                      </m:r>
                      <m:ctrlPr>
                        <w:rPr>
                          <w:rFonts w:ascii="Cambria Math" w:hAnsi="Cambria Math" w:eastAsia="Consolas"/>
                        </w:rPr>
                      </m:ctrlPr>
                    </m:den>
                  </m:f>
                  <m:ctrlPr>
                    <w:rPr>
                      <w:rFonts w:hint="default" w:ascii="Cambria Math" w:hAnsi="Cambria Math" w:eastAsia="Consolas"/>
                    </w:rPr>
                  </m:ctrlPr>
                </m:e>
              </m:d>
              <m:ctrlPr>
                <w:rPr>
                  <w:rFonts w:hint="default" w:ascii="Cambria Math" w:hAnsi="Cambria Math" w:eastAsia="Consolas"/>
                </w:rPr>
              </m:ctrlPr>
            </m:den>
          </m:f>
        </m:oMath>
      </m:oMathPara>
    </w:p>
    <w:p w14:paraId="524ECCB6">
      <w:pPr>
        <w:rPr>
          <w:rFonts w:hint="eastAsia"/>
        </w:rPr>
      </w:pPr>
      <w:r>
        <w:rPr>
          <w:rFonts w:hint="eastAsia"/>
        </w:rPr>
        <w:t>Where i denotes the raw</w:t>
      </w:r>
      <w:r>
        <w:rPr>
          <w:rFonts w:hint="eastAsia"/>
          <w:lang w:val="en-US" w:eastAsia="zh-CN"/>
        </w:rPr>
        <w:t>-</w:t>
      </w:r>
      <w:r>
        <w:rPr>
          <w:rFonts w:hint="eastAsia"/>
        </w:rPr>
        <w:t>value anchor for full membership, c is the crossover</w:t>
      </w:r>
      <w:r>
        <w:rPr>
          <w:rFonts w:hint="eastAsia"/>
          <w:lang w:val="en-US" w:eastAsia="zh-CN"/>
        </w:rPr>
        <w:t>-</w:t>
      </w:r>
      <w:r>
        <w:rPr>
          <w:rFonts w:hint="eastAsia"/>
        </w:rPr>
        <w:t>point anchor (membership = 0.5), and e is the anchor for full non‑membership; coefficient k is algorithmically determined by fsQCA based o</w:t>
      </w:r>
      <w:bookmarkStart w:id="0" w:name="_GoBack"/>
      <w:bookmarkEnd w:id="0"/>
      <w:r>
        <w:rPr>
          <w:rFonts w:hint="eastAsia"/>
        </w:rPr>
        <w:t>n the three qualitative anchors.</w:t>
      </w:r>
    </w:p>
    <w:p w14:paraId="7C5E6F13">
      <w:pPr>
        <w:rPr>
          <w:rFonts w:hint="eastAsia"/>
        </w:rPr>
      </w:pPr>
    </w:p>
    <w:p w14:paraId="3505A4A3">
      <w:pPr>
        <w:rPr>
          <w:rFonts w:hint="eastAsia"/>
        </w:rPr>
      </w:pPr>
      <w:r>
        <w:rPr>
          <w:rFonts w:hint="eastAsia"/>
        </w:rPr>
        <w:t>Boundary rules:</w:t>
      </w:r>
    </w:p>
    <w:p w14:paraId="5099EC92">
      <w:pPr>
        <w:rPr>
          <w:rFonts w:hint="eastAsia" w:eastAsia="宋体"/>
          <w:lang w:eastAsia="zh-CN"/>
        </w:rPr>
      </w:pPr>
      <w:r>
        <w:rPr>
          <w:rFonts w:hint="eastAsia" w:eastAsia="宋体"/>
          <w:lang w:eastAsia="zh-CN"/>
        </w:rPr>
        <w:drawing>
          <wp:inline distT="0" distB="0" distL="114300" distR="114300">
            <wp:extent cx="5271770" cy="618490"/>
            <wp:effectExtent l="0" t="0" r="5080" b="10160"/>
            <wp:docPr id="2" name="图片 2" descr="602cdc86-55da-4b34-8f30-f845dfdaf7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02cdc86-55da-4b34-8f30-f845dfdaf7bc"/>
                    <pic:cNvPicPr>
                      <a:picLocks noChangeAspect="1"/>
                    </pic:cNvPicPr>
                  </pic:nvPicPr>
                  <pic:blipFill>
                    <a:blip r:embed="rId6"/>
                    <a:stretch>
                      <a:fillRect/>
                    </a:stretch>
                  </pic:blipFill>
                  <pic:spPr>
                    <a:xfrm>
                      <a:off x="0" y="0"/>
                      <a:ext cx="5271770" cy="618490"/>
                    </a:xfrm>
                    <a:prstGeom prst="rect">
                      <a:avLst/>
                    </a:prstGeom>
                  </pic:spPr>
                </pic:pic>
              </a:graphicData>
            </a:graphic>
          </wp:inline>
        </w:drawing>
      </w:r>
    </w:p>
    <w:p w14:paraId="6CABCF92">
      <w:pPr>
        <w:rPr>
          <w:rFonts w:hint="eastAsia"/>
        </w:rPr>
      </w:pPr>
      <w:r>
        <w:rPr>
          <w:rFonts w:hint="eastAsia"/>
        </w:rPr>
        <w:t>Three qualitative anchors (full membership, crossover point, full non</w:t>
      </w:r>
      <w:r>
        <w:rPr>
          <w:rFonts w:hint="eastAsia"/>
          <w:lang w:val="en-US" w:eastAsia="zh-CN"/>
        </w:rPr>
        <w:t>-</w:t>
      </w:r>
      <w:r>
        <w:rPr>
          <w:rFonts w:hint="eastAsia"/>
        </w:rPr>
        <w:t>membership) for each variable are reported in the Calibration method column of the above variable table. The resulting 0</w:t>
      </w:r>
      <w:r>
        <w:rPr>
          <w:rFonts w:hint="eastAsia"/>
          <w:lang w:val="en-US" w:eastAsia="zh-CN"/>
        </w:rPr>
        <w:t>-</w:t>
      </w:r>
      <w:r>
        <w:rPr>
          <w:rFonts w:hint="eastAsia"/>
        </w:rPr>
        <w:t>1 membership‑score variables were used for subsequent necessity analysis and truth‑table construction. Cases generating a membership score exactly equal to 0.5 were adjusted to 0.501 to avoid computational issues during fsQCA analysis.</w:t>
      </w:r>
    </w:p>
    <w:p w14:paraId="23FF2E0B">
      <w:pPr>
        <w:rPr>
          <w:rFonts w:hint="eastAsia"/>
        </w:rPr>
      </w:pPr>
      <w:r>
        <w:rPr>
          <w:rFonts w:hint="eastAsia"/>
        </w:rPr>
        <w:t xml:space="preserve"> Note: The anchors listed in the table are thresholds on the original raw</w:t>
      </w:r>
      <w:r>
        <w:rPr>
          <w:rFonts w:hint="eastAsia"/>
          <w:lang w:val="en-US" w:eastAsia="zh-CN"/>
        </w:rPr>
        <w:t>-</w:t>
      </w:r>
      <w:r>
        <w:rPr>
          <w:rFonts w:hint="eastAsia"/>
        </w:rPr>
        <w:t>variable scale, rather than fuzzy</w:t>
      </w:r>
      <w:r>
        <w:rPr>
          <w:rFonts w:hint="eastAsia"/>
          <w:lang w:val="en-US" w:eastAsia="zh-CN"/>
        </w:rPr>
        <w:t>-</w:t>
      </w:r>
      <w:r>
        <w:rPr>
          <w:rFonts w:hint="eastAsia"/>
        </w:rPr>
        <w:t>set membership scores.</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auto"/>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B8065E"/>
    <w:rsid w:val="14CB1EAE"/>
    <w:rsid w:val="25B8065E"/>
    <w:rsid w:val="30372F27"/>
    <w:rsid w:val="78177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636" w:firstLineChars="200"/>
      <w:jc w:val="both"/>
    </w:pPr>
    <w:rPr>
      <w:rFonts w:ascii="Times New Roman" w:hAnsi="Times New Roman" w:eastAsia="宋体" w:cstheme="minorBidi"/>
      <w:kern w:val="2"/>
      <w:sz w:val="21"/>
      <w:szCs w:val="20"/>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TML Code"/>
    <w:basedOn w:val="5"/>
    <w:uiPriority w:val="0"/>
    <w:rPr>
      <w:rFonts w:ascii="Courier New" w:hAnsi="Courier New"/>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620</Words>
  <Characters>3633</Characters>
  <Lines>0</Lines>
  <Paragraphs>0</Paragraphs>
  <TotalTime>8</TotalTime>
  <ScaleCrop>false</ScaleCrop>
  <LinksUpToDate>false</LinksUpToDate>
  <CharactersWithSpaces>4170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2026-08-20T12:13:00Z</dcterms:created>
  <dc:creator>往生</dc:creator>
  <cp:lastModifiedBy>往生</cp:lastModifiedBy>
  <dcterms:modified xsi:type="dcterms:W3CDTF">2026-08-24T12:56:30Z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06EDFCFBDE0D4725B5C18049A930F582_11</vt:lpwstr>
  </property>
  <property fmtid="{D5CDD505-2E9C-101B-9397-08002B2CF9AE}" pid="4" name="KSOTemplateDocerSaveRecord">
    <vt:lpwstr>eyJoZGlkIjoiNTU1YTQ3ZjIzZDUxZThmODRhMmU5NTQ1YWYwMmE5YTEiLCJ1c2VySWQiOiI4NzIxNjkwMjAifQ==</vt:lpwstr>
  </property>
</Properties>
</file>