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2D9" w:rsidRPr="007A0C55" w:rsidRDefault="00CB02D9" w:rsidP="00CB02D9">
      <w:pPr>
        <w:pStyle w:val="Default"/>
        <w:jc w:val="both"/>
      </w:pPr>
      <w:r w:rsidRPr="007A0C55">
        <w:rPr>
          <w:b/>
          <w:color w:val="auto"/>
        </w:rPr>
        <w:t>Table</w:t>
      </w:r>
      <w:r w:rsidRPr="007A0C55">
        <w:rPr>
          <w:b/>
        </w:rPr>
        <w:t xml:space="preserve"> </w:t>
      </w:r>
      <w:r w:rsidR="00CA7032">
        <w:rPr>
          <w:rFonts w:hint="eastAsia"/>
          <w:b/>
        </w:rPr>
        <w:t>S</w:t>
      </w:r>
      <w:r w:rsidRPr="007A0C55">
        <w:rPr>
          <w:b/>
        </w:rPr>
        <w:t>1 Primer and Probe Sequences</w:t>
      </w:r>
    </w:p>
    <w:tbl>
      <w:tblPr>
        <w:tblW w:w="0" w:type="auto"/>
        <w:tblLayout w:type="fixed"/>
        <w:tblLook w:val="0000"/>
      </w:tblPr>
      <w:tblGrid>
        <w:gridCol w:w="2062"/>
        <w:gridCol w:w="6460"/>
      </w:tblGrid>
      <w:tr w:rsidR="00CB02D9" w:rsidRPr="007A0C55" w:rsidTr="00C503D4">
        <w:trPr>
          <w:trHeight w:val="300"/>
        </w:trPr>
        <w:tc>
          <w:tcPr>
            <w:tcW w:w="8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NTRK3</w:t>
            </w:r>
            <w:r w:rsidRPr="007A0C5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MethyLight Primer and Probe</w:t>
            </w:r>
          </w:p>
        </w:tc>
      </w:tr>
      <w:tr w:rsidR="00CB02D9" w:rsidRPr="007A0C55" w:rsidTr="00C503D4">
        <w:trPr>
          <w:trHeight w:val="300"/>
        </w:trPr>
        <w:tc>
          <w:tcPr>
            <w:tcW w:w="20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CB02D9" w:rsidRPr="007A0C55" w:rsidRDefault="00CB02D9" w:rsidP="007A0C55">
            <w:pPr>
              <w:ind w:firstLineChars="100" w:firstLine="24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64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CB02D9" w:rsidRPr="007A0C55" w:rsidRDefault="00CB02D9" w:rsidP="00C503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CGGCGTTCGCGATGGT</w:t>
            </w:r>
          </w:p>
        </w:tc>
      </w:tr>
      <w:tr w:rsidR="00CB02D9" w:rsidRPr="007A0C55" w:rsidTr="00C503D4">
        <w:trPr>
          <w:trHeight w:val="300"/>
        </w:trPr>
        <w:tc>
          <w:tcPr>
            <w:tcW w:w="2062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B02D9" w:rsidRPr="007A0C55" w:rsidRDefault="00CB02D9" w:rsidP="007A0C55">
            <w:pPr>
              <w:ind w:firstLineChars="100" w:firstLine="24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Reverse </w:t>
            </w:r>
          </w:p>
        </w:tc>
        <w:tc>
          <w:tcPr>
            <w:tcW w:w="646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B02D9" w:rsidRPr="007A0C55" w:rsidRDefault="00CB02D9" w:rsidP="00C503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ACCTTTAAAACGCCGAACGAT</w:t>
            </w:r>
          </w:p>
        </w:tc>
      </w:tr>
      <w:tr w:rsidR="00CB02D9" w:rsidRPr="007A0C55" w:rsidTr="00C503D4">
        <w:trPr>
          <w:trHeight w:val="300"/>
        </w:trPr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B02D9" w:rsidRPr="007A0C55" w:rsidRDefault="00CB02D9" w:rsidP="007A0C55">
            <w:pPr>
              <w:ind w:firstLineChars="100" w:firstLine="24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Probe</w:t>
            </w:r>
          </w:p>
        </w:tc>
        <w:tc>
          <w:tcPr>
            <w:tcW w:w="64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B02D9" w:rsidRPr="007A0C55" w:rsidRDefault="00CB02D9" w:rsidP="00C503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6FAM-TTAGACGTTGAAGGATTTTGTA-MGBNFQ</w:t>
            </w:r>
          </w:p>
        </w:tc>
      </w:tr>
    </w:tbl>
    <w:p w:rsidR="00CB02D9" w:rsidRPr="007A0C55" w:rsidRDefault="00CB02D9" w:rsidP="00CB02D9">
      <w:pPr>
        <w:rPr>
          <w:rFonts w:ascii="Times New Roman" w:hAnsi="Times New Roman"/>
          <w:sz w:val="24"/>
          <w:szCs w:val="24"/>
        </w:rPr>
      </w:pPr>
      <w:r w:rsidRPr="007A0C55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0" w:type="auto"/>
        <w:tblLayout w:type="fixed"/>
        <w:tblLook w:val="0000"/>
      </w:tblPr>
      <w:tblGrid>
        <w:gridCol w:w="2062"/>
        <w:gridCol w:w="6460"/>
      </w:tblGrid>
      <w:tr w:rsidR="00CB02D9" w:rsidRPr="007A0C55" w:rsidTr="00C503D4">
        <w:trPr>
          <w:trHeight w:val="300"/>
        </w:trPr>
        <w:tc>
          <w:tcPr>
            <w:tcW w:w="8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42D16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Alu-C4</w:t>
            </w:r>
            <w:r w:rsidRPr="007A0C5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MethyLight</w:t>
            </w:r>
            <w:r w:rsidRPr="007A0C5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A0C5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Primer and Probe</w:t>
            </w:r>
          </w:p>
        </w:tc>
      </w:tr>
      <w:tr w:rsidR="00CB02D9" w:rsidRPr="007A0C55" w:rsidTr="00C503D4">
        <w:trPr>
          <w:trHeight w:val="300"/>
        </w:trPr>
        <w:tc>
          <w:tcPr>
            <w:tcW w:w="20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B02D9" w:rsidRPr="007A0C55" w:rsidRDefault="00CB02D9" w:rsidP="007A0C55">
            <w:pPr>
              <w:ind w:firstLineChars="100" w:firstLine="24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64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B02D9" w:rsidRPr="007A0C55" w:rsidRDefault="00CB02D9" w:rsidP="00C503D4">
            <w:pPr>
              <w:spacing w:line="360" w:lineRule="exac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GGTTAGGTATAGTGGTTTATATTTGTAATTTTAGTA</w:t>
            </w:r>
          </w:p>
        </w:tc>
      </w:tr>
      <w:tr w:rsidR="00CB02D9" w:rsidRPr="007A0C55" w:rsidTr="00C503D4">
        <w:trPr>
          <w:trHeight w:val="300"/>
        </w:trPr>
        <w:tc>
          <w:tcPr>
            <w:tcW w:w="2062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B02D9" w:rsidRPr="007A0C55" w:rsidRDefault="00CB02D9" w:rsidP="007A0C55">
            <w:pPr>
              <w:ind w:firstLineChars="100" w:firstLine="24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646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B02D9" w:rsidRPr="007A0C55" w:rsidRDefault="00CB02D9" w:rsidP="00C503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ATTAACTAAACTAATCTTAAACTCCTAACCTCA</w:t>
            </w:r>
          </w:p>
        </w:tc>
      </w:tr>
      <w:tr w:rsidR="00CB02D9" w:rsidRPr="007A0C55" w:rsidTr="00C503D4">
        <w:trPr>
          <w:trHeight w:val="300"/>
        </w:trPr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B02D9" w:rsidRPr="007A0C55" w:rsidRDefault="00CB02D9" w:rsidP="007A0C55">
            <w:pPr>
              <w:ind w:firstLineChars="100" w:firstLine="24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Probe</w:t>
            </w:r>
          </w:p>
        </w:tc>
        <w:tc>
          <w:tcPr>
            <w:tcW w:w="64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B02D9" w:rsidRPr="007A0C55" w:rsidRDefault="00CB02D9" w:rsidP="00C503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C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VIC-CCTACCTTAACCTCCC-MGBNFQ</w:t>
            </w:r>
          </w:p>
        </w:tc>
      </w:tr>
    </w:tbl>
    <w:p w:rsidR="00CB02D9" w:rsidRPr="007A0C55" w:rsidRDefault="00CB02D9" w:rsidP="00CB02D9">
      <w:pPr>
        <w:rPr>
          <w:rFonts w:ascii="Times New Roman" w:hAnsi="Times New Roman"/>
          <w:sz w:val="24"/>
          <w:szCs w:val="24"/>
        </w:rPr>
      </w:pPr>
      <w:r w:rsidRPr="007A0C55">
        <w:rPr>
          <w:rFonts w:ascii="Times New Roman" w:hAnsi="Times New Roman"/>
          <w:sz w:val="24"/>
          <w:szCs w:val="24"/>
        </w:rPr>
        <w:t xml:space="preserve"> </w:t>
      </w:r>
    </w:p>
    <w:p w:rsidR="00CB02D9" w:rsidRPr="007A0C55" w:rsidRDefault="00CB02D9" w:rsidP="00CB02D9">
      <w:pPr>
        <w:pStyle w:val="Default"/>
        <w:jc w:val="both"/>
      </w:pPr>
    </w:p>
    <w:p w:rsidR="00C9659B" w:rsidRDefault="00CB02D9" w:rsidP="00C9659B">
      <w:pPr>
        <w:pStyle w:val="EndNoteBibliography"/>
        <w:rPr>
          <w:rFonts w:ascii="Times New Roman" w:hAnsi="Times New Roman"/>
          <w:sz w:val="24"/>
          <w:szCs w:val="24"/>
        </w:rPr>
      </w:pPr>
      <w:r w:rsidRPr="007A0C55">
        <w:rPr>
          <w:b/>
        </w:rPr>
        <w:br w:type="page"/>
      </w:r>
      <w:r w:rsidR="00C9659B"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 xml:space="preserve">Table S2 </w:t>
      </w:r>
      <w:r w:rsidR="00C9659B" w:rsidRPr="00C9659B">
        <w:rPr>
          <w:rFonts w:ascii="Times New Roman" w:hAnsi="Times New Roman" w:hint="eastAsia"/>
          <w:b/>
          <w:sz w:val="24"/>
          <w:szCs w:val="24"/>
        </w:rPr>
        <w:t>The</w:t>
      </w:r>
      <w:r w:rsidR="00C9659B" w:rsidRPr="00C9659B">
        <w:rPr>
          <w:rFonts w:ascii="Times New Roman" w:hAnsi="Times New Roman"/>
          <w:b/>
          <w:sz w:val="24"/>
          <w:szCs w:val="24"/>
        </w:rPr>
        <w:t xml:space="preserve"> mean methylation of </w:t>
      </w:r>
      <w:r w:rsidR="00C9659B" w:rsidRPr="00C9659B">
        <w:rPr>
          <w:rFonts w:ascii="Times New Roman" w:hAnsi="Times New Roman" w:hint="eastAsia"/>
          <w:b/>
          <w:i/>
          <w:sz w:val="24"/>
          <w:szCs w:val="24"/>
        </w:rPr>
        <w:t>NTRKs</w:t>
      </w:r>
      <w:r w:rsidR="00C9659B" w:rsidRPr="00C9659B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C9659B" w:rsidRPr="00C9659B">
        <w:rPr>
          <w:rFonts w:ascii="Times New Roman" w:hAnsi="Times New Roman"/>
          <w:b/>
          <w:sz w:val="24"/>
          <w:szCs w:val="24"/>
        </w:rPr>
        <w:t xml:space="preserve">promoter in CRC samples </w:t>
      </w:r>
      <w:r w:rsidR="00C9659B" w:rsidRPr="00C9659B">
        <w:rPr>
          <w:rFonts w:ascii="Times New Roman" w:hAnsi="Times New Roman" w:hint="eastAsia"/>
          <w:b/>
          <w:sz w:val="24"/>
          <w:szCs w:val="24"/>
        </w:rPr>
        <w:t xml:space="preserve">and </w:t>
      </w:r>
      <w:r w:rsidR="00C9659B" w:rsidRPr="00C9659B">
        <w:rPr>
          <w:rFonts w:ascii="Times New Roman" w:hAnsi="Times New Roman"/>
          <w:b/>
          <w:sz w:val="24"/>
          <w:szCs w:val="24"/>
        </w:rPr>
        <w:t>normal mucosae</w:t>
      </w:r>
      <w:r w:rsidR="00C9659B" w:rsidRPr="00C9659B">
        <w:rPr>
          <w:rFonts w:ascii="Times New Roman" w:hAnsi="Times New Roman" w:hint="eastAsia"/>
          <w:b/>
          <w:sz w:val="24"/>
          <w:szCs w:val="24"/>
        </w:rPr>
        <w:t xml:space="preserve"> in FHCRC cohort</w:t>
      </w:r>
    </w:p>
    <w:tbl>
      <w:tblPr>
        <w:tblW w:w="8804" w:type="dxa"/>
        <w:tblInd w:w="93" w:type="dxa"/>
        <w:tblLook w:val="0000"/>
      </w:tblPr>
      <w:tblGrid>
        <w:gridCol w:w="2283"/>
        <w:gridCol w:w="1985"/>
        <w:gridCol w:w="2693"/>
        <w:gridCol w:w="1843"/>
      </w:tblGrid>
      <w:tr w:rsidR="00C9659B" w:rsidTr="00E452B5">
        <w:trPr>
          <w:trHeight w:val="285"/>
        </w:trPr>
        <w:tc>
          <w:tcPr>
            <w:tcW w:w="228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9659B" w:rsidRPr="00582491" w:rsidRDefault="00C9659B" w:rsidP="00E452B5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</w:pPr>
            <w:r w:rsidRPr="00284497">
              <w:rPr>
                <w:rFonts w:ascii="Times New Roman" w:hAnsi="Times New Roman" w:hint="eastAsia"/>
                <w:b/>
                <w:bCs/>
                <w:i/>
                <w:kern w:val="0"/>
                <w:sz w:val="24"/>
                <w:szCs w:val="24"/>
              </w:rPr>
              <w:t>NTRKs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9659B" w:rsidRPr="00582491" w:rsidRDefault="00C9659B" w:rsidP="00E452B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582491">
              <w:rPr>
                <w:rFonts w:ascii="Times New Roman" w:hAnsi="Times New Roman" w:hint="eastAsia"/>
                <w:b/>
                <w:sz w:val="24"/>
                <w:szCs w:val="24"/>
              </w:rPr>
              <w:t>The</w:t>
            </w:r>
            <w:r w:rsidRPr="00582491">
              <w:rPr>
                <w:rFonts w:ascii="Times New Roman" w:hAnsi="Times New Roman"/>
                <w:b/>
                <w:sz w:val="24"/>
                <w:szCs w:val="24"/>
              </w:rPr>
              <w:t xml:space="preserve"> mean methylation of </w:t>
            </w:r>
            <w:r w:rsidRPr="00284497">
              <w:rPr>
                <w:rFonts w:ascii="Times New Roman" w:hAnsi="Times New Roman" w:hint="eastAsia"/>
                <w:b/>
                <w:i/>
                <w:sz w:val="24"/>
                <w:szCs w:val="24"/>
              </w:rPr>
              <w:t>NTRKs</w:t>
            </w:r>
            <w:r w:rsidRPr="00582491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 w:rsidRPr="00582491">
              <w:rPr>
                <w:rFonts w:ascii="Times New Roman" w:hAnsi="Times New Roman"/>
                <w:b/>
                <w:sz w:val="24"/>
                <w:szCs w:val="24"/>
              </w:rPr>
              <w:t>promoter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9659B" w:rsidRDefault="00F155C9" w:rsidP="00E452B5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b/>
                <w:bCs/>
                <w:i/>
                <w:iCs/>
                <w:kern w:val="0"/>
                <w:sz w:val="24"/>
                <w:szCs w:val="24"/>
              </w:rPr>
              <w:t xml:space="preserve"> </w:t>
            </w:r>
            <w:r w:rsidRPr="00F155C9">
              <w:rPr>
                <w:rFonts w:ascii="Times New Roman" w:hAnsi="Times New Roman" w:hint="eastAsia"/>
                <w:b/>
                <w:bCs/>
                <w:iCs/>
                <w:kern w:val="0"/>
                <w:sz w:val="24"/>
                <w:szCs w:val="24"/>
              </w:rPr>
              <w:t>value</w:t>
            </w:r>
          </w:p>
        </w:tc>
      </w:tr>
      <w:tr w:rsidR="00C9659B" w:rsidTr="00E452B5">
        <w:trPr>
          <w:trHeight w:val="285"/>
        </w:trPr>
        <w:tc>
          <w:tcPr>
            <w:tcW w:w="228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C9659B" w:rsidRDefault="00C9659B" w:rsidP="00E452B5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cancer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9659B" w:rsidRPr="00582491" w:rsidRDefault="00C9659B" w:rsidP="00E452B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582491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normal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C9659B" w:rsidRDefault="00C9659B" w:rsidP="00E452B5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</w:p>
        </w:tc>
      </w:tr>
      <w:tr w:rsidR="00C9659B" w:rsidTr="00E452B5">
        <w:trPr>
          <w:trHeight w:val="315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284497"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  <w:t>NTRK1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0.444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0.397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0.012 </w:t>
            </w:r>
          </w:p>
        </w:tc>
      </w:tr>
      <w:tr w:rsidR="00C9659B" w:rsidTr="00E452B5">
        <w:trPr>
          <w:trHeight w:val="315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284497"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  <w:t>NTRK2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0.251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0.167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&lt; 0.001</w:t>
            </w:r>
          </w:p>
        </w:tc>
      </w:tr>
      <w:tr w:rsidR="00C9659B" w:rsidTr="00E452B5">
        <w:trPr>
          <w:trHeight w:val="315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284497"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  <w:t>NTRK3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0.395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0.144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9659B" w:rsidRDefault="00C9659B" w:rsidP="00E452B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&lt; 0.001</w:t>
            </w:r>
          </w:p>
        </w:tc>
      </w:tr>
    </w:tbl>
    <w:p w:rsidR="00C9659B" w:rsidRPr="00582491" w:rsidRDefault="00C9659B" w:rsidP="00C9659B">
      <w:pPr>
        <w:pStyle w:val="EndNoteBibliography"/>
        <w:rPr>
          <w:rFonts w:ascii="Times New Roman" w:hAnsi="Times New Roman"/>
          <w:sz w:val="24"/>
          <w:szCs w:val="24"/>
        </w:rPr>
      </w:pPr>
    </w:p>
    <w:p w:rsidR="00C9659B" w:rsidRDefault="00C9659B">
      <w:pPr>
        <w:widowControl/>
        <w:jc w:val="left"/>
        <w:rPr>
          <w:rFonts w:ascii="Times New Roman" w:hAnsi="Times New Roman"/>
          <w:b/>
          <w:color w:val="000000"/>
          <w:kern w:val="0"/>
          <w:sz w:val="24"/>
          <w:szCs w:val="24"/>
        </w:rPr>
      </w:pPr>
      <w:r>
        <w:rPr>
          <w:b/>
        </w:rPr>
        <w:br w:type="page"/>
      </w:r>
    </w:p>
    <w:p w:rsidR="00C503D4" w:rsidRPr="00C503D4" w:rsidRDefault="00C503D4" w:rsidP="00C503D4">
      <w:pPr>
        <w:pStyle w:val="Default"/>
        <w:jc w:val="both"/>
        <w:rPr>
          <w:b/>
        </w:rPr>
      </w:pPr>
      <w:r w:rsidRPr="007A0C55">
        <w:rPr>
          <w:b/>
          <w:color w:val="auto"/>
        </w:rPr>
        <w:lastRenderedPageBreak/>
        <w:t xml:space="preserve">Table </w:t>
      </w:r>
      <w:r>
        <w:rPr>
          <w:rFonts w:hint="eastAsia"/>
          <w:b/>
          <w:color w:val="auto"/>
        </w:rPr>
        <w:t>S</w:t>
      </w:r>
      <w:r w:rsidR="00C9659B">
        <w:rPr>
          <w:rFonts w:hint="eastAsia"/>
          <w:b/>
          <w:color w:val="auto"/>
        </w:rPr>
        <w:t>3</w:t>
      </w:r>
      <w:r w:rsidRPr="007A0C55">
        <w:rPr>
          <w:b/>
          <w:color w:val="auto"/>
        </w:rPr>
        <w:t xml:space="preserve"> </w:t>
      </w:r>
      <w:r w:rsidRPr="00C503D4">
        <w:rPr>
          <w:b/>
        </w:rPr>
        <w:t>Univariate Cox analysis of probes targeting NTRKs gene in TCGA-COADREAD cohort</w:t>
      </w:r>
    </w:p>
    <w:tbl>
      <w:tblPr>
        <w:tblW w:w="7968" w:type="dxa"/>
        <w:tblInd w:w="93" w:type="dxa"/>
        <w:tblLook w:val="04A0"/>
      </w:tblPr>
      <w:tblGrid>
        <w:gridCol w:w="1403"/>
        <w:gridCol w:w="1080"/>
        <w:gridCol w:w="2068"/>
        <w:gridCol w:w="1843"/>
        <w:gridCol w:w="1769"/>
      </w:tblGrid>
      <w:tr w:rsidR="00F00CC7" w:rsidRPr="00F00CC7" w:rsidTr="00F155C9">
        <w:trPr>
          <w:trHeight w:val="330"/>
        </w:trPr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Probe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155C9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G</w:t>
            </w:r>
            <w:r w:rsidR="00F00CC7"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ene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155C9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R</w:t>
            </w:r>
            <w:r w:rsidR="00F00CC7"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elation to CpGI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155C9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 w:hint="eastAsia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F00CC7"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value.adjusted</w:t>
            </w:r>
          </w:p>
        </w:tc>
        <w:tc>
          <w:tcPr>
            <w:tcW w:w="15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155C9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H</w:t>
            </w:r>
            <w:r w:rsidR="00F00CC7"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azard.adjusted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cg27034819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0.0001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2.2500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cg05901579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0.0003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2.2500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cg21956337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2.0000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cg11525479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0.0029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1.9600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cg00008446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1.8500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cg24845595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1.8400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cg03055346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0.0043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2.4400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cg26575633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0.0049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2.3500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cg20664238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1.8907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cg14829066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0.0065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1.9000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cg18534318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0.0089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0.4720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cg09936845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1.8100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cg01009697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0.0108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0.5079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cg02049180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0.0108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0.4178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cg26687119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1.8812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cg19237923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0.0136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2.2532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cg07252731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0.0139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1.6856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cg13504245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0.0139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1.8748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cg26232187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0.0154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1.7106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cg12039611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S_Shelf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0.0187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0.4754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cg08921491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0.0189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1.7881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cg08474334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0.0202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1.8334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cg19084362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N_Shelf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0.0204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2.2163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cg03888033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0.0205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2.3098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cg11286436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0.0214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1.7265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cg03049917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0.0233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0.5854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cg04920689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0.0244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1.6416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cg27314669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S_Shelf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0.0249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0.5727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cg22402007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0.0259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1.6160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cg18055585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0.0269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0.6134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cg11108676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0.0275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1.6268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cg11793699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0.0307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1.6056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cg07418114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0.0328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1.5771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cg04104526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0.0336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1.5772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cg09902251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0.0356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1.5654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cg01357370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0.0357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2.8127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cg24867618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0.0360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1.5844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cg03390245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0.0366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1.6443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cg26158180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0.0412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1.7764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cg14447193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0.0420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0.6448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cg11742207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0.0426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1.5625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cg02619408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0.0435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1.5392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cg08728702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0.0451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1.6133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cg00626119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0.0522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1.5401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cg25699759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0.0537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0.6586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cg04627496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0.0557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1.5084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cg25306584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0.0565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1.5384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cg09888330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0.0575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1.5223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cg14384532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0.0576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1.6462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cg12499211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S_Shelf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0.0582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1.6628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cg13965062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0.0604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2.1721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cg00577202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0.0606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1.5233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cg10981464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0.0615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1.6966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cg00145961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0.0625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0.6318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cg00242627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0.0661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1.4829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cg26328483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0.0670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0.6739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cg11177059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0.0702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1.5118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cg24707200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S_Shelf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0.0730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1.4850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cg12710376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0.0731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0.6436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cg01292475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0.0828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1.7785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cg16065473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0.0862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1.4988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cg20041152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N_Shelf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0.0957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1.4337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cg08470639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0.0960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1.6450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cg12995941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0.0970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0.6956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cg26428727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0.1005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0.6792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cg16438688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0.1012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1.5543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cg03610604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0.1058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1.4308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cg03438943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0.1110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0.7114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cg10002133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0.1140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1.4135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cg13620631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0.1143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1.4020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cg09963892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0.1153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0.6925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cg25827666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0.1252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1.4422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cg11147094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0.1261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0.6924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cg02039214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0.1300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0.6042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cg18649438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0.1368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0.7268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cg03628748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0.1399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1.4464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cg15568960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0.1447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0.6753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cg24251942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0.1513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0.7104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cg13773705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0.1550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1.5110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cg25630380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0.1595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0.7226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cg04704219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0.1664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0.7360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cg14273545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0.1670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0.7381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cg24438909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0.1670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0.7301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cg13698224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0.1675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0.7190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cg05012697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0.1775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1.4509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cg00786657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0.1798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1.3342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cg09926027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0.1805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1.3910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cg13654445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0.1892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0.7543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cg20673279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0.1896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0.6833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cg10811945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0.1911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1.3940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cg20839149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S_Shelf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0.2029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0.7519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cg01441387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OpenSea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0.2243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1.2971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cg13723118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0.2700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1.2678 </w:t>
            </w:r>
          </w:p>
        </w:tc>
      </w:tr>
      <w:tr w:rsidR="00F00CC7" w:rsidRPr="00F00CC7" w:rsidTr="00F155C9">
        <w:trPr>
          <w:trHeight w:val="315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cg04415780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0.2783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1.2749 </w:t>
            </w:r>
          </w:p>
        </w:tc>
      </w:tr>
      <w:tr w:rsidR="00F00CC7" w:rsidRPr="00F00CC7" w:rsidTr="00F155C9">
        <w:trPr>
          <w:trHeight w:val="330"/>
        </w:trPr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cg09539438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Island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0.3129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CC7" w:rsidRPr="00F00CC7" w:rsidRDefault="00F00CC7" w:rsidP="00F00CC7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00CC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1.2417 </w:t>
            </w:r>
          </w:p>
        </w:tc>
      </w:tr>
    </w:tbl>
    <w:p w:rsidR="00C503D4" w:rsidRPr="007A0C55" w:rsidRDefault="00C503D4" w:rsidP="00C503D4">
      <w:pPr>
        <w:pStyle w:val="Default"/>
        <w:jc w:val="both"/>
        <w:rPr>
          <w:color w:val="auto"/>
        </w:rPr>
      </w:pPr>
    </w:p>
    <w:p w:rsidR="00C503D4" w:rsidRDefault="00C503D4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b/>
        </w:rPr>
        <w:br w:type="page"/>
      </w:r>
    </w:p>
    <w:p w:rsidR="00CB02D9" w:rsidRPr="007A0C55" w:rsidRDefault="00CB02D9" w:rsidP="00CB02D9">
      <w:pPr>
        <w:pStyle w:val="Default"/>
        <w:jc w:val="both"/>
        <w:rPr>
          <w:b/>
          <w:color w:val="auto"/>
        </w:rPr>
      </w:pPr>
      <w:r w:rsidRPr="007A0C55">
        <w:rPr>
          <w:b/>
          <w:color w:val="auto"/>
        </w:rPr>
        <w:lastRenderedPageBreak/>
        <w:t xml:space="preserve">Table </w:t>
      </w:r>
      <w:r w:rsidR="00CA7032">
        <w:rPr>
          <w:rFonts w:hint="eastAsia"/>
          <w:b/>
          <w:color w:val="auto"/>
        </w:rPr>
        <w:t>S</w:t>
      </w:r>
      <w:r w:rsidR="00C9659B">
        <w:rPr>
          <w:rFonts w:hint="eastAsia"/>
          <w:b/>
          <w:color w:val="auto"/>
        </w:rPr>
        <w:t>4</w:t>
      </w:r>
      <w:r w:rsidRPr="007A0C55">
        <w:rPr>
          <w:b/>
          <w:color w:val="auto"/>
        </w:rPr>
        <w:t xml:space="preserve"> Sensitivity analysis excluding patients with CIMP-positive status</w:t>
      </w:r>
    </w:p>
    <w:tbl>
      <w:tblPr>
        <w:tblW w:w="9539" w:type="dxa"/>
        <w:tblInd w:w="108" w:type="dxa"/>
        <w:tblLook w:val="04A0"/>
      </w:tblPr>
      <w:tblGrid>
        <w:gridCol w:w="3119"/>
        <w:gridCol w:w="1006"/>
        <w:gridCol w:w="1340"/>
        <w:gridCol w:w="914"/>
        <w:gridCol w:w="992"/>
        <w:gridCol w:w="2168"/>
      </w:tblGrid>
      <w:tr w:rsidR="00CB02D9" w:rsidRPr="007A0C55" w:rsidTr="007A0C55">
        <w:trPr>
          <w:trHeight w:val="300"/>
        </w:trPr>
        <w:tc>
          <w:tcPr>
            <w:tcW w:w="31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  <w:r w:rsidRPr="007A0C55">
              <w:rPr>
                <w:rFonts w:ascii="Times New Roman" w:hAnsi="Times New Roman"/>
                <w:b/>
                <w:kern w:val="0"/>
                <w:sz w:val="24"/>
                <w:szCs w:val="24"/>
              </w:rPr>
              <w:t>Variables</w:t>
            </w:r>
          </w:p>
        </w:tc>
        <w:tc>
          <w:tcPr>
            <w:tcW w:w="6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Disease-free Survival</w:t>
            </w: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4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Multivariate</w:t>
            </w: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F155C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  <w:t>P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HR[95%CI]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F155C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  <w:t>P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HR[95%CI]</w:t>
            </w: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  <w:t>NTRK3</w:t>
            </w: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hypermethylation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0.016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2.229(1.158, 4.293)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0.003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2.806(1.432, 5.500)</w:t>
            </w: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Older age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0.018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1.870(1.111, 3.147)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0.029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1.793(1.063, 3.025)</w:t>
            </w: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Male (vs. female)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0.582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1.154(0.692, 1.924)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Rectal tumor (vs. colon tumor)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0.283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1.314(0.798, 2.162)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Tumor size ≥ 4.5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0.088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1.576(0.934, 2.658)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Poor differentiation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0.385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1.296(0.722, 2.325)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Lymphovascular invasion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0.188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1.760(0.758, 4.088)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Perineural invasion 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0.314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1.500(0.681, 3.302)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Advanced TNM stage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2.244(1.356, 3.713)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2.497(1.493, 4.179)</w:t>
            </w: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MSI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0.596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1.185(0.633, 2.218)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  <w:t>KRAS</w:t>
            </w: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mutation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0.071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1.689(0.957, 2.982)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  <w:t>BRAF</w:t>
            </w: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mutation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0.075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3.643(0.879, 15.095)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Ki-67 &gt; 25%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0.289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0.723(0.397, 1.316)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842D16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CA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19-9 &gt; 37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0.070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1.852(0.951, 3.605)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CEA &gt; 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0.061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>1.708(0.977, 2.987)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B02D9" w:rsidRPr="007A0C55" w:rsidRDefault="00CB02D9" w:rsidP="00CB02D9">
      <w:pPr>
        <w:pStyle w:val="Default"/>
        <w:jc w:val="both"/>
        <w:rPr>
          <w:color w:val="auto"/>
        </w:rPr>
      </w:pPr>
    </w:p>
    <w:p w:rsidR="00CB02D9" w:rsidRPr="007A0C55" w:rsidRDefault="00CB02D9" w:rsidP="00CB02D9">
      <w:pPr>
        <w:pStyle w:val="Default"/>
        <w:jc w:val="both"/>
        <w:rPr>
          <w:b/>
          <w:color w:val="auto"/>
        </w:rPr>
      </w:pPr>
      <w:r w:rsidRPr="007A0C55">
        <w:rPr>
          <w:color w:val="auto"/>
        </w:rPr>
        <w:br w:type="page"/>
      </w:r>
      <w:r w:rsidRPr="007A0C55">
        <w:rPr>
          <w:b/>
          <w:color w:val="auto"/>
        </w:rPr>
        <w:lastRenderedPageBreak/>
        <w:t xml:space="preserve">Table </w:t>
      </w:r>
      <w:r w:rsidR="00CA7032">
        <w:rPr>
          <w:rFonts w:hint="eastAsia"/>
          <w:b/>
          <w:color w:val="auto"/>
        </w:rPr>
        <w:t>S</w:t>
      </w:r>
      <w:r w:rsidR="00C9659B">
        <w:rPr>
          <w:rFonts w:hint="eastAsia"/>
          <w:b/>
          <w:color w:val="auto"/>
        </w:rPr>
        <w:t>5</w:t>
      </w:r>
      <w:r w:rsidRPr="007A0C55">
        <w:rPr>
          <w:b/>
          <w:color w:val="auto"/>
        </w:rPr>
        <w:t xml:space="preserve"> Sensitivity analysis excluding patients with MSI</w:t>
      </w:r>
    </w:p>
    <w:tbl>
      <w:tblPr>
        <w:tblW w:w="9639" w:type="dxa"/>
        <w:tblInd w:w="108" w:type="dxa"/>
        <w:tblLook w:val="04A0"/>
      </w:tblPr>
      <w:tblGrid>
        <w:gridCol w:w="3118"/>
        <w:gridCol w:w="1007"/>
        <w:gridCol w:w="1340"/>
        <w:gridCol w:w="1056"/>
        <w:gridCol w:w="992"/>
        <w:gridCol w:w="2126"/>
      </w:tblGrid>
      <w:tr w:rsidR="00CB02D9" w:rsidRPr="007A0C55" w:rsidTr="007A0C55">
        <w:trPr>
          <w:trHeight w:val="300"/>
        </w:trPr>
        <w:tc>
          <w:tcPr>
            <w:tcW w:w="31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  <w:r w:rsidRPr="007A0C55">
              <w:rPr>
                <w:rFonts w:ascii="Times New Roman" w:hAnsi="Times New Roman"/>
                <w:b/>
                <w:kern w:val="0"/>
                <w:sz w:val="24"/>
                <w:szCs w:val="24"/>
              </w:rPr>
              <w:t>Variables</w:t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Disease-free Survival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Multivariate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F155C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  <w:t>P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HR[95%CI]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F155C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  <w:t>P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HR[95%CI]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NTRK3</w:t>
            </w: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hypermethylation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0.027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2.729(1.120, 6.653)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3.483(1.391, 8.717)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Older age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0.011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2.575(1.248, 5.316)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2.237(1.071, 4.676)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Male (vs. female)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0.150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1.672(0.831, 3.367)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7A0C5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Rectal tumor (vs. colon tumor)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02D9" w:rsidRPr="007A0C55" w:rsidRDefault="00CB02D9" w:rsidP="007A0C55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0.741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02D9" w:rsidRPr="007A0C55" w:rsidRDefault="00CB02D9" w:rsidP="007A0C55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0.889(0.442, 1.787)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7A0C5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7A0C55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Tumor size ≥ 4.5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0.124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1.746(0.859, 3.552)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Poor differentiation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0.144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1.837(0.812, 4.153)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Lymphovascular invasion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0.142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2.192(0.769, 6.245)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Perineural invasion 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0.967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1.031(0.246, 4.329)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Advanced TNM stage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0.015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2.370(1.183, 4.750)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0.140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2.432(1.193, 4.957)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CIMP positive status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0.685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0.049(0, 107099.072)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KRAS</w:t>
            </w: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mutation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0.324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1.439(0.699, 2.963)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BRAF</w:t>
            </w: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mutation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0.794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1.304(0.178, 9.576)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Ki-67 &gt; 25%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0.551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0.809(0.402, 1.626)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842D16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CA</w:t>
            </w:r>
            <w:r w:rsidR="00CB02D9"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19-9 &gt; 37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0.125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2.132(0.810, 5.616)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CEA &gt; 5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0.745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1.152(0.490, 2.712)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 xml:space="preserve">　</w:t>
            </w:r>
          </w:p>
        </w:tc>
      </w:tr>
    </w:tbl>
    <w:p w:rsidR="00CB02D9" w:rsidRPr="007A0C55" w:rsidRDefault="00CB02D9" w:rsidP="00CB02D9">
      <w:pPr>
        <w:pStyle w:val="Default"/>
        <w:jc w:val="both"/>
        <w:rPr>
          <w:color w:val="auto"/>
        </w:rPr>
      </w:pPr>
    </w:p>
    <w:p w:rsidR="00CB02D9" w:rsidRPr="007A0C55" w:rsidRDefault="00CB02D9" w:rsidP="00CB02D9">
      <w:pPr>
        <w:pStyle w:val="Default"/>
        <w:jc w:val="both"/>
        <w:rPr>
          <w:b/>
          <w:color w:val="auto"/>
        </w:rPr>
      </w:pPr>
      <w:r w:rsidRPr="007A0C55">
        <w:rPr>
          <w:color w:val="auto"/>
        </w:rPr>
        <w:br w:type="page"/>
      </w:r>
      <w:r w:rsidRPr="007A0C55">
        <w:rPr>
          <w:b/>
          <w:color w:val="auto"/>
        </w:rPr>
        <w:lastRenderedPageBreak/>
        <w:t xml:space="preserve">Table </w:t>
      </w:r>
      <w:r w:rsidR="00CA7032">
        <w:rPr>
          <w:rFonts w:hint="eastAsia"/>
          <w:b/>
          <w:color w:val="auto"/>
        </w:rPr>
        <w:t>S</w:t>
      </w:r>
      <w:r w:rsidR="00C9659B">
        <w:rPr>
          <w:rFonts w:hint="eastAsia"/>
          <w:b/>
          <w:color w:val="auto"/>
        </w:rPr>
        <w:t>6</w:t>
      </w:r>
      <w:r w:rsidRPr="007A0C55">
        <w:rPr>
          <w:b/>
          <w:color w:val="auto"/>
        </w:rPr>
        <w:t xml:space="preserve"> Sensitivity analysis excluding patients with BRAF mutation</w:t>
      </w:r>
    </w:p>
    <w:tbl>
      <w:tblPr>
        <w:tblW w:w="9639" w:type="dxa"/>
        <w:tblInd w:w="108" w:type="dxa"/>
        <w:tblLook w:val="04A0"/>
      </w:tblPr>
      <w:tblGrid>
        <w:gridCol w:w="3118"/>
        <w:gridCol w:w="1007"/>
        <w:gridCol w:w="1340"/>
        <w:gridCol w:w="1056"/>
        <w:gridCol w:w="992"/>
        <w:gridCol w:w="2126"/>
      </w:tblGrid>
      <w:tr w:rsidR="00CB02D9" w:rsidRPr="007A0C55" w:rsidTr="007A0C55">
        <w:trPr>
          <w:trHeight w:val="300"/>
        </w:trPr>
        <w:tc>
          <w:tcPr>
            <w:tcW w:w="31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  <w:r w:rsidRPr="007A0C55">
              <w:rPr>
                <w:rFonts w:ascii="Times New Roman" w:hAnsi="Times New Roman"/>
                <w:b/>
                <w:kern w:val="0"/>
                <w:sz w:val="24"/>
                <w:szCs w:val="24"/>
              </w:rPr>
              <w:t>Variables</w:t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Disease-free Survival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Multivariate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F155C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  <w:t>P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HR[95%CI]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F155C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  <w:t>P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HR[95%CI]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NTRK3</w:t>
            </w: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hypermethylation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2.532(1.281, 5.006)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2.603(1.125, 6.022)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Older age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0.079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1.687(0.942, 3.022)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Male (vs. female)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0.573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1.183(0.660, 2.118)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7A0C5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Rectal tumor (vs. colon tumor)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0.734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1.137(0.543, 2.382)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Tumor size ≥ 4.5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0.113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1.618(0.892, 2.934)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Poor differentiation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0.266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1.466(0.747, 2.874)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Lymphovascular invasion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0.021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2.974(1.175, 7.531)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3.209(1.208, 8.528)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Perineural invasion 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0.979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1.014(0.363, 2.834)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Advanced TNM stage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2.449(1.370, 4.375)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2.524(1.288, 4.948)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CIMP positive status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0.717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0.049(0, 569721.990)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MSI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0.680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1.147(0.597, 2.206)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KRAS</w:t>
            </w: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mutation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0.043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1.817(1.018, 3.242)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2.648(1.171, 5.988)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Ki-67 &gt; 25%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0.343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0.740(0.397, 1.379)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842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CA19-9 &gt; 37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0.038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2.269(1.045, 4.929)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1.744(0.877, 3.470)</w:t>
            </w:r>
          </w:p>
        </w:tc>
      </w:tr>
      <w:tr w:rsidR="00CB02D9" w:rsidRPr="007A0C55" w:rsidTr="007A0C55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CEA &gt; 5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0.981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1.009(0.481, 2.114)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 xml:space="preserve">　</w:t>
            </w:r>
          </w:p>
        </w:tc>
      </w:tr>
    </w:tbl>
    <w:p w:rsidR="00CB02D9" w:rsidRPr="007A0C55" w:rsidRDefault="00CB02D9" w:rsidP="00CB02D9">
      <w:pPr>
        <w:pStyle w:val="Default"/>
        <w:jc w:val="both"/>
        <w:rPr>
          <w:color w:val="auto"/>
        </w:rPr>
      </w:pPr>
    </w:p>
    <w:p w:rsidR="00CB02D9" w:rsidRPr="007A0C55" w:rsidRDefault="00CB02D9" w:rsidP="00CB02D9">
      <w:pPr>
        <w:pStyle w:val="Default"/>
        <w:jc w:val="both"/>
        <w:rPr>
          <w:b/>
          <w:color w:val="auto"/>
        </w:rPr>
      </w:pPr>
      <w:r w:rsidRPr="007A0C55">
        <w:rPr>
          <w:color w:val="auto"/>
        </w:rPr>
        <w:br w:type="page"/>
      </w:r>
      <w:r w:rsidRPr="007A0C55">
        <w:rPr>
          <w:b/>
          <w:color w:val="auto"/>
        </w:rPr>
        <w:lastRenderedPageBreak/>
        <w:t xml:space="preserve">Table </w:t>
      </w:r>
      <w:r w:rsidR="00CA7032">
        <w:rPr>
          <w:rFonts w:hint="eastAsia"/>
          <w:b/>
          <w:color w:val="auto"/>
        </w:rPr>
        <w:t>S</w:t>
      </w:r>
      <w:r w:rsidR="00C9659B">
        <w:rPr>
          <w:rFonts w:hint="eastAsia"/>
          <w:b/>
          <w:color w:val="auto"/>
        </w:rPr>
        <w:t>7</w:t>
      </w:r>
      <w:r w:rsidRPr="007A0C55">
        <w:rPr>
          <w:b/>
          <w:color w:val="auto"/>
        </w:rPr>
        <w:t xml:space="preserve"> Sensitivity analysis excluding patients with KRAS mutation</w:t>
      </w:r>
    </w:p>
    <w:tbl>
      <w:tblPr>
        <w:tblW w:w="9498" w:type="dxa"/>
        <w:tblInd w:w="108" w:type="dxa"/>
        <w:tblLook w:val="04A0"/>
      </w:tblPr>
      <w:tblGrid>
        <w:gridCol w:w="3118"/>
        <w:gridCol w:w="1007"/>
        <w:gridCol w:w="1340"/>
        <w:gridCol w:w="914"/>
        <w:gridCol w:w="992"/>
        <w:gridCol w:w="2127"/>
      </w:tblGrid>
      <w:tr w:rsidR="00CB02D9" w:rsidRPr="007A0C55" w:rsidTr="00C503D4">
        <w:trPr>
          <w:trHeight w:val="300"/>
        </w:trPr>
        <w:tc>
          <w:tcPr>
            <w:tcW w:w="31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  <w:r w:rsidRPr="007A0C55">
              <w:rPr>
                <w:rFonts w:ascii="Times New Roman" w:hAnsi="Times New Roman"/>
                <w:b/>
                <w:kern w:val="0"/>
                <w:sz w:val="24"/>
                <w:szCs w:val="24"/>
              </w:rPr>
              <w:t>Variables</w:t>
            </w:r>
          </w:p>
        </w:tc>
        <w:tc>
          <w:tcPr>
            <w:tcW w:w="6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Disease-free Survival</w:t>
            </w:r>
          </w:p>
        </w:tc>
      </w:tr>
      <w:tr w:rsidR="00CB02D9" w:rsidRPr="007A0C55" w:rsidTr="00C503D4">
        <w:trPr>
          <w:trHeight w:val="300"/>
        </w:trPr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40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Multivariate</w:t>
            </w: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F155C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  <w:t>P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HR[95%CI]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F155C9" w:rsidP="00F00CC7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F155C9">
              <w:rPr>
                <w:rFonts w:ascii="Times New Roman" w:hAnsi="Times New Roman"/>
                <w:b/>
                <w:bCs/>
                <w:i/>
                <w:kern w:val="0"/>
                <w:sz w:val="24"/>
                <w:szCs w:val="24"/>
              </w:rPr>
              <w:t>P</w:t>
            </w:r>
            <w:r w:rsidR="00CB02D9"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widowControl/>
              <w:jc w:val="righ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HR[95%CI]</w:t>
            </w: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C503D4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NTRK3</w:t>
            </w: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hypermethylation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0.122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2.306(0.800, 6.651)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Older age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0.131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1.785(0.842, 3.784)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Male (vs. female)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0.631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1.202(0.568, 2.546)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7A0C5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Rectal tumor (vs. colon tumor)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0.734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1.137(0.543, 2.382)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Tumor size ≥ 4.5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0.158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1.736(0.807, 3.735)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Poor differentiation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0.254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1.765(0.665, 4.684)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Lymphovascular invasion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3.734(1.513, 9.218)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Perineural invasion 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0.257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1.847(0.639, 5.343)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Advanced TNM stage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3.413(1.553, 7.500)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CIMP positive status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0.027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2.729(1.120, 6.662)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MSI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0.632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1.219(0.542, 2.742)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BRAF</w:t>
            </w: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mutation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4.190(1.586, 11.071)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Ki-67 &gt; 25%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0.488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0.762(0.353, 1.643)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2D9" w:rsidRPr="007A0C55" w:rsidRDefault="00842D16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CA</w:t>
            </w:r>
            <w:r w:rsidR="00CB02D9"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19-9 &gt; 37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0.291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1.780(0.611, 5.188)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02D9" w:rsidRPr="007A0C55" w:rsidTr="00F00CC7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0C55">
              <w:rPr>
                <w:rFonts w:ascii="Times New Roman" w:hAnsi="Times New Roman"/>
                <w:b/>
                <w:bCs/>
                <w:sz w:val="24"/>
                <w:szCs w:val="24"/>
              </w:rPr>
              <w:t>CEA &gt; 5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0.694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>0.822(0.308, 2.189)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2D9" w:rsidRPr="007A0C55" w:rsidRDefault="00CB02D9" w:rsidP="00C503D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0C55">
              <w:rPr>
                <w:rFonts w:ascii="Times New Roman" w:hAnsi="Times New Roman"/>
                <w:sz w:val="24"/>
                <w:szCs w:val="24"/>
              </w:rPr>
              <w:t xml:space="preserve">　</w:t>
            </w:r>
          </w:p>
        </w:tc>
      </w:tr>
    </w:tbl>
    <w:p w:rsidR="00CB02D9" w:rsidRPr="007A0C55" w:rsidRDefault="00CB02D9" w:rsidP="00CB02D9">
      <w:pPr>
        <w:pStyle w:val="Default"/>
        <w:jc w:val="both"/>
        <w:rPr>
          <w:color w:val="auto"/>
        </w:rPr>
      </w:pPr>
    </w:p>
    <w:p w:rsidR="00CB02D9" w:rsidRPr="007A0C55" w:rsidRDefault="00C503D4" w:rsidP="00C503D4">
      <w:pPr>
        <w:pStyle w:val="Default"/>
        <w:jc w:val="both"/>
        <w:rPr>
          <w:color w:val="auto"/>
        </w:rPr>
      </w:pPr>
      <w:r w:rsidRPr="007A0C55">
        <w:rPr>
          <w:color w:val="auto"/>
        </w:rPr>
        <w:t xml:space="preserve"> </w:t>
      </w:r>
    </w:p>
    <w:p w:rsidR="00287C4F" w:rsidRPr="007A0C55" w:rsidRDefault="00287C4F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287C4F" w:rsidRPr="007A0C55" w:rsidSect="00A0665C">
      <w:footerReference w:type="default" r:id="rId7"/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2B40" w:rsidRDefault="00402B40" w:rsidP="00FC11E4">
      <w:r>
        <w:separator/>
      </w:r>
    </w:p>
  </w:endnote>
  <w:endnote w:type="continuationSeparator" w:id="0">
    <w:p w:rsidR="00402B40" w:rsidRDefault="00402B40" w:rsidP="00FC11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3D4" w:rsidRDefault="00867E23">
    <w:pPr>
      <w:pStyle w:val="a3"/>
      <w:jc w:val="center"/>
    </w:pPr>
    <w:fldSimple w:instr="PAGE   \* MERGEFORMAT">
      <w:r w:rsidR="00FA5BB8" w:rsidRPr="00FA5BB8">
        <w:rPr>
          <w:noProof/>
          <w:lang w:val="zh-CN"/>
        </w:rPr>
        <w:t>2</w:t>
      </w:r>
    </w:fldSimple>
  </w:p>
  <w:p w:rsidR="00C503D4" w:rsidRDefault="00C503D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2B40" w:rsidRDefault="00402B40" w:rsidP="00FC11E4">
      <w:r>
        <w:separator/>
      </w:r>
    </w:p>
  </w:footnote>
  <w:footnote w:type="continuationSeparator" w:id="0">
    <w:p w:rsidR="00402B40" w:rsidRDefault="00402B40" w:rsidP="00FC11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DU3NLMwsTSyNDG2NDBV0lEKTi0uzszPAykwrAUAN4AxbiwAAAA="/>
  </w:docVars>
  <w:rsids>
    <w:rsidRoot w:val="00CB02D9"/>
    <w:rsid w:val="00281F10"/>
    <w:rsid w:val="00287C4F"/>
    <w:rsid w:val="002C1180"/>
    <w:rsid w:val="003420AE"/>
    <w:rsid w:val="00402B40"/>
    <w:rsid w:val="00407D4D"/>
    <w:rsid w:val="004A538C"/>
    <w:rsid w:val="007A0C55"/>
    <w:rsid w:val="007B00E5"/>
    <w:rsid w:val="00842D16"/>
    <w:rsid w:val="00867E23"/>
    <w:rsid w:val="00892106"/>
    <w:rsid w:val="009236DD"/>
    <w:rsid w:val="00A0665C"/>
    <w:rsid w:val="00A17EFB"/>
    <w:rsid w:val="00B47C47"/>
    <w:rsid w:val="00B64E3D"/>
    <w:rsid w:val="00C503D4"/>
    <w:rsid w:val="00C9659B"/>
    <w:rsid w:val="00CA7032"/>
    <w:rsid w:val="00CB02D9"/>
    <w:rsid w:val="00CB3444"/>
    <w:rsid w:val="00E87562"/>
    <w:rsid w:val="00F00CC7"/>
    <w:rsid w:val="00F155C9"/>
    <w:rsid w:val="00FA5BB8"/>
    <w:rsid w:val="00FC1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2D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B0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B02D9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CB02D9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styleId="a4">
    <w:name w:val="line number"/>
    <w:basedOn w:val="a0"/>
    <w:uiPriority w:val="99"/>
    <w:semiHidden/>
    <w:unhideWhenUsed/>
    <w:rsid w:val="00CB02D9"/>
  </w:style>
  <w:style w:type="paragraph" w:styleId="a5">
    <w:name w:val="header"/>
    <w:basedOn w:val="a"/>
    <w:link w:val="Char0"/>
    <w:uiPriority w:val="99"/>
    <w:semiHidden/>
    <w:unhideWhenUsed/>
    <w:rsid w:val="007A0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A0C55"/>
    <w:rPr>
      <w:rFonts w:ascii="Calibri" w:eastAsia="宋体" w:hAnsi="Calibri" w:cs="Times New Roman"/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C9659B"/>
    <w:rPr>
      <w:noProof/>
      <w:sz w:val="20"/>
    </w:rPr>
  </w:style>
  <w:style w:type="character" w:customStyle="1" w:styleId="EndNoteBibliographyChar">
    <w:name w:val="EndNote Bibliography Char"/>
    <w:link w:val="EndNoteBibliography"/>
    <w:rsid w:val="00C9659B"/>
    <w:rPr>
      <w:rFonts w:ascii="Calibri" w:eastAsia="宋体" w:hAnsi="Calibri" w:cs="Times New Roman"/>
      <w:noProof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0649BBB-A7E4-4EDA-8B94-89CF77F7E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1255</Words>
  <Characters>7160</Characters>
  <Application>Microsoft Office Word</Application>
  <DocSecurity>0</DocSecurity>
  <Lines>59</Lines>
  <Paragraphs>16</Paragraphs>
  <ScaleCrop>false</ScaleCrop>
  <Company/>
  <LinksUpToDate>false</LinksUpToDate>
  <CharactersWithSpaces>8399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Huichuan</dc:creator>
  <cp:keywords/>
  <dc:description/>
  <cp:lastModifiedBy>Administrator</cp:lastModifiedBy>
  <cp:revision>11</cp:revision>
  <dcterms:created xsi:type="dcterms:W3CDTF">2019-10-16T16:27:00Z</dcterms:created>
  <dcterms:modified xsi:type="dcterms:W3CDTF">2020-11-06T02:13:00Z</dcterms:modified>
</cp:coreProperties>
</file>