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23475">
      <w:pPr>
        <w:pStyle w:val="3"/>
        <w:numPr>
          <w:ilvl w:val="1"/>
          <w:numId w:val="0"/>
        </w:numPr>
        <w:jc w:val="center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sz w:val="24"/>
          <w:szCs w:val="24"/>
        </w:rPr>
        <w:t>Supplementary Table S2. Riley sample size calculation and complete-case sensitivity analysis.</w:t>
      </w:r>
    </w:p>
    <w:p w14:paraId="1A94E733">
      <w:pPr>
        <w:rPr>
          <w:sz w:val="24"/>
          <w:szCs w:val="24"/>
        </w:rPr>
      </w:pPr>
    </w:p>
    <w:bookmarkEnd w:id="0"/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4"/>
        <w:gridCol w:w="2662"/>
      </w:tblGrid>
      <w:tr w14:paraId="42A13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AEE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Parameter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302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18"/>
                <w:szCs w:val="18"/>
                <w:u w:val="none"/>
              </w:rPr>
              <w:t>Value</w:t>
            </w:r>
          </w:p>
        </w:tc>
      </w:tr>
      <w:tr w14:paraId="39C39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091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Total sample size (N)</w:t>
            </w:r>
          </w:p>
        </w:tc>
        <w:tc>
          <w:tcPr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363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1,118</w:t>
            </w:r>
          </w:p>
        </w:tc>
      </w:tr>
      <w:tr w14:paraId="2925C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E53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Number of events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AE0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167</w:t>
            </w:r>
          </w:p>
        </w:tc>
      </w:tr>
      <w:tr w14:paraId="56084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94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Number of candidate predictors (final model)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332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8</w:t>
            </w:r>
          </w:p>
        </w:tc>
      </w:tr>
      <w:tr w14:paraId="7A1D3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57E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Events per variable (EPV)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7C6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20.9</w:t>
            </w:r>
          </w:p>
        </w:tc>
      </w:tr>
      <w:tr w14:paraId="0E497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324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Minimum EPV recommended (Riley 2020)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5F1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≥10</w:t>
            </w:r>
          </w:p>
        </w:tc>
      </w:tr>
      <w:tr w14:paraId="0E0AB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EAE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EPV meets threshold?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EB4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YES</w:t>
            </w:r>
          </w:p>
        </w:tc>
      </w:tr>
      <w:tr w14:paraId="28BF6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CC2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Expected shrinkage factor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526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0.952</w:t>
            </w:r>
          </w:p>
        </w:tc>
      </w:tr>
      <w:tr w14:paraId="5D1F8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96D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Adequate shrinkage (&gt;0.9)?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B56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YES</w:t>
            </w:r>
          </w:p>
        </w:tc>
      </w:tr>
      <w:tr w14:paraId="433A8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469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Minimum events needed for EPV=10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F8B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80</w:t>
            </w:r>
          </w:p>
        </w:tc>
      </w:tr>
      <w:tr w14:paraId="2D688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BFB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Our events exceed this?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931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YES (167 &gt; 80)</w:t>
            </w:r>
          </w:p>
        </w:tc>
      </w:tr>
      <w:tr w14:paraId="76B26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69D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Minimum events needed for EPV=20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BB9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160</w:t>
            </w:r>
          </w:p>
        </w:tc>
      </w:tr>
      <w:tr w14:paraId="4B668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256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>Our events exceed this?</w:t>
            </w:r>
          </w:p>
        </w:tc>
        <w:tc>
          <w:tcPr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2E9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8"/>
                <w:szCs w:val="18"/>
                <w:u w:val="none"/>
              </w:rPr>
              <w:t xml:space="preserve"> NO (167 &lt; 160) — marginal</w:t>
            </w:r>
          </w:p>
        </w:tc>
      </w:tr>
    </w:tbl>
    <w:p w14:paraId="644A4EC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Riley et al. (2020) criteria for minimum sample size in prediction model development. EPV: events per variable. MICE sensitivity: standardized mean differences &lt; 0.2 confirm imputation reliability.</w:t>
      </w:r>
    </w:p>
    <w:p w14:paraId="3CAD3CFD">
      <w:pPr>
        <w:rPr>
          <w:rFonts w:hint="default" w:ascii="Times New Roman" w:hAnsi="Times New Roman" w:cs="Times New Roman"/>
        </w:rPr>
      </w:pPr>
    </w:p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2E6B07B8"/>
    <w:rsid w:val="4143359F"/>
    <w:rsid w:val="774A32C2"/>
    <w:rsid w:val="7EF4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7">
    <w:name w:val="toc 2"/>
    <w:basedOn w:val="1"/>
    <w:next w:val="1"/>
    <w:autoRedefine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qFormat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617</Characters>
  <Lines>0</Lines>
  <Paragraphs>0</Paragraphs>
  <TotalTime>0</TotalTime>
  <ScaleCrop>false</ScaleCrop>
  <LinksUpToDate>false</LinksUpToDate>
  <CharactersWithSpaces>699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WPS_1784295883</dc:creator>
  <cp:lastModifiedBy>WPS_1784295883</cp:lastModifiedBy>
  <dcterms:modified xsi:type="dcterms:W3CDTF">2026-08-03T03:01:51Z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eyJoZGlkIjoiYjdjMGIyMWRhZjZjNTMxZDUzZGIzNjBjYjhhNjc0YjYiLCJ1c2VySWQiOiIxMzc0NDg1NzMzMDcifQ==</vt:lpwstr>
  </property>
  <property fmtid="{D5CDD505-2E9C-101B-9397-08002B2CF9AE}" pid="3" name="KSOProductBuildVer">
    <vt:lpwstr>2052-12.1.0.28032</vt:lpwstr>
  </property>
  <property fmtid="{D5CDD505-2E9C-101B-9397-08002B2CF9AE}" pid="4" name="ICV">
    <vt:lpwstr>B2707E3624A745D289C49465D743544C_13</vt:lpwstr>
  </property>
</Properties>
</file>