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aelenco2-colore4"/>
        <w:tblW w:w="14601" w:type="dxa"/>
        <w:tblLook w:val="04A0" w:firstRow="1" w:lastRow="0" w:firstColumn="1" w:lastColumn="0" w:noHBand="0" w:noVBand="1"/>
      </w:tblPr>
      <w:tblGrid>
        <w:gridCol w:w="1609"/>
        <w:gridCol w:w="1040"/>
        <w:gridCol w:w="2659"/>
        <w:gridCol w:w="1755"/>
        <w:gridCol w:w="2293"/>
        <w:gridCol w:w="2835"/>
        <w:gridCol w:w="2410"/>
      </w:tblGrid>
      <w:tr w:rsidR="003A7DC9" w:rsidRPr="00B41B6C" w14:paraId="06B00F71" w14:textId="0E758C67" w:rsidTr="00810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0813AA86" w14:textId="704453D9"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Publication</w:t>
            </w:r>
          </w:p>
        </w:tc>
        <w:tc>
          <w:tcPr>
            <w:tcW w:w="1040" w:type="dxa"/>
            <w:vAlign w:val="center"/>
          </w:tcPr>
          <w:p w14:paraId="758181FC" w14:textId="0851A5BE" w:rsidR="003A7DC9" w:rsidRPr="00B41B6C" w:rsidRDefault="003A7DC9" w:rsidP="003A7D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1B6C">
              <w:rPr>
                <w:rFonts w:ascii="Times New Roman" w:hAnsi="Times New Roman" w:cs="Times New Roman"/>
                <w:sz w:val="18"/>
                <w:szCs w:val="18"/>
              </w:rPr>
              <w:t>Year of treatment</w:t>
            </w:r>
          </w:p>
        </w:tc>
        <w:tc>
          <w:tcPr>
            <w:tcW w:w="2659" w:type="dxa"/>
            <w:vAlign w:val="center"/>
          </w:tcPr>
          <w:p w14:paraId="0464A04E" w14:textId="3F5031E1" w:rsidR="003A7DC9" w:rsidRPr="00B41B6C" w:rsidRDefault="003A7DC9" w:rsidP="003A7D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1B6C">
              <w:rPr>
                <w:rFonts w:ascii="Times New Roman" w:hAnsi="Times New Roman" w:cs="Times New Roman"/>
                <w:sz w:val="18"/>
                <w:szCs w:val="18"/>
              </w:rPr>
              <w:t>Method of detection</w:t>
            </w:r>
          </w:p>
        </w:tc>
        <w:tc>
          <w:tcPr>
            <w:tcW w:w="1755" w:type="dxa"/>
            <w:vAlign w:val="center"/>
          </w:tcPr>
          <w:p w14:paraId="23667846" w14:textId="02966600" w:rsidR="003A7DC9" w:rsidRPr="00B41B6C" w:rsidRDefault="003A7DC9" w:rsidP="003A7D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1B6C">
              <w:rPr>
                <w:rFonts w:ascii="Times New Roman" w:hAnsi="Times New Roman" w:cs="Times New Roman"/>
                <w:sz w:val="18"/>
                <w:szCs w:val="18"/>
              </w:rPr>
              <w:t>Time to effects</w:t>
            </w:r>
          </w:p>
        </w:tc>
        <w:tc>
          <w:tcPr>
            <w:tcW w:w="2293" w:type="dxa"/>
            <w:vAlign w:val="center"/>
          </w:tcPr>
          <w:p w14:paraId="2D20E827" w14:textId="5ED3B8A2" w:rsidR="003A7DC9" w:rsidRPr="00B41B6C" w:rsidRDefault="003A7DC9" w:rsidP="003A7D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1B6C">
              <w:rPr>
                <w:rFonts w:ascii="Times New Roman" w:hAnsi="Times New Roman" w:cs="Times New Roman"/>
                <w:sz w:val="18"/>
                <w:szCs w:val="18"/>
              </w:rPr>
              <w:t>Heart or subvolume dose</w:t>
            </w:r>
          </w:p>
        </w:tc>
        <w:tc>
          <w:tcPr>
            <w:tcW w:w="2835" w:type="dxa"/>
            <w:vAlign w:val="center"/>
          </w:tcPr>
          <w:p w14:paraId="6276E806" w14:textId="33080F3F" w:rsidR="003A7DC9" w:rsidRPr="00B41B6C" w:rsidRDefault="003A7DC9" w:rsidP="003A7D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1B6C">
              <w:rPr>
                <w:rFonts w:ascii="Times New Roman" w:hAnsi="Times New Roman" w:cs="Times New Roman"/>
                <w:sz w:val="18"/>
                <w:szCs w:val="18"/>
              </w:rPr>
              <w:t xml:space="preserve">RTp </w:t>
            </w:r>
          </w:p>
        </w:tc>
        <w:tc>
          <w:tcPr>
            <w:tcW w:w="2410" w:type="dxa"/>
            <w:vAlign w:val="center"/>
          </w:tcPr>
          <w:p w14:paraId="35287732" w14:textId="60747B32" w:rsidR="003A7DC9" w:rsidRPr="00B41B6C" w:rsidRDefault="003A7DC9" w:rsidP="003A7D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1B6C">
              <w:rPr>
                <w:rFonts w:ascii="Times New Roman" w:hAnsi="Times New Roman" w:cs="Times New Roman"/>
                <w:sz w:val="18"/>
                <w:szCs w:val="18"/>
              </w:rPr>
              <w:t>Effect</w:t>
            </w:r>
          </w:p>
        </w:tc>
      </w:tr>
      <w:tr w:rsidR="003A7DC9" w:rsidRPr="00B41B6C" w14:paraId="0F6D2014" w14:textId="39289CB5" w:rsidTr="0081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2B4D0CB0" w14:textId="1279460B"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Abouegylah et al. 2019</w:t>
            </w:r>
          </w:p>
        </w:tc>
        <w:tc>
          <w:tcPr>
            <w:tcW w:w="1040" w:type="dxa"/>
            <w:vAlign w:val="center"/>
          </w:tcPr>
          <w:p w14:paraId="45EC7CFA" w14:textId="5180DB6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2000-2014</w:t>
            </w:r>
          </w:p>
        </w:tc>
        <w:tc>
          <w:tcPr>
            <w:tcW w:w="2659" w:type="dxa"/>
            <w:vAlign w:val="center"/>
          </w:tcPr>
          <w:p w14:paraId="1C834FC6" w14:textId="576DDC3A"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Serial LVEF assessment (echocardiography/nuclear imaging), ECG for arrhythmia/ischemia; clinical cardiac events collected prospectively/retrospectively</w:t>
            </w:r>
          </w:p>
        </w:tc>
        <w:tc>
          <w:tcPr>
            <w:tcW w:w="1755" w:type="dxa"/>
            <w:vAlign w:val="center"/>
          </w:tcPr>
          <w:p w14:paraId="7498274F" w14:textId="2CA686CC"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Median follow-up 81 months (left-sided) vs 84 months (right-sided)</w:t>
            </w:r>
          </w:p>
        </w:tc>
        <w:tc>
          <w:tcPr>
            <w:tcW w:w="2293" w:type="dxa"/>
            <w:vAlign w:val="center"/>
          </w:tcPr>
          <w:p w14:paraId="0C28ED60" w14:textId="6C44FDB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Left-sided cases: DVH-based metrics for heart, each chamber, and LAD; indices included V10, V20, mean, median, max dose and equivalent uniform dose (EUD) for LV, RV, and LAD. LV V10 and LV EUD associated with &gt;10% LVEF decline; EUD to LV, RV and LAD significantly associated with &gt;10% LVEF decrease (p = 0.037, 0.023, 0.049)</w:t>
            </w:r>
          </w:p>
        </w:tc>
        <w:tc>
          <w:tcPr>
            <w:tcW w:w="2835" w:type="dxa"/>
            <w:vAlign w:val="center"/>
          </w:tcPr>
          <w:p w14:paraId="1927301A" w14:textId="6702247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Whole breast/chest wall RT with tangential fields (± supraclavicular 60%, ± internal mammary 21%), electron/photon boost (88%), mostly 3D conformal radiotherapy (3DCRT) with photons (5 proton cases in left-sided), deep inspiration breath-hold (DIBH) in 26% of left-sided cases (mostly post-2010), standard fractionation (typical 1.8-2 Gy/fraction to 45-50.4 Gy total)</w:t>
            </w:r>
          </w:p>
        </w:tc>
        <w:tc>
          <w:tcPr>
            <w:tcW w:w="2410" w:type="dxa"/>
            <w:vAlign w:val="center"/>
          </w:tcPr>
          <w:p w14:paraId="59D6F96B" w14:textId="6FA72678"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Higher rates of cardiac ischemia (≈9-10% vs 1%; p = 0.011) and arrhythmia (14.2% vs &lt;1%; p &lt; 0.001) in left- vs right-sided RT. EUD of LV, RV and LAD significantly correlated with &gt;10% LVEF decline; RT laterality and age associated with arrhythmia.</w:t>
            </w:r>
          </w:p>
        </w:tc>
      </w:tr>
      <w:tr w:rsidR="003A7DC9" w:rsidRPr="00B41B6C" w14:paraId="1F8E7602" w14:textId="270C9122" w:rsidTr="00810A13">
        <w:tc>
          <w:tcPr>
            <w:cnfStyle w:val="001000000000" w:firstRow="0" w:lastRow="0" w:firstColumn="1" w:lastColumn="0" w:oddVBand="0" w:evenVBand="0" w:oddHBand="0" w:evenHBand="0" w:firstRowFirstColumn="0" w:firstRowLastColumn="0" w:lastRowFirstColumn="0" w:lastRowLastColumn="0"/>
            <w:tcW w:w="1609" w:type="dxa"/>
            <w:vAlign w:val="center"/>
          </w:tcPr>
          <w:p w14:paraId="68744F71" w14:textId="3A69E111"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Baaken et al 2022</w:t>
            </w:r>
          </w:p>
        </w:tc>
        <w:tc>
          <w:tcPr>
            <w:tcW w:w="1040" w:type="dxa"/>
            <w:vAlign w:val="center"/>
          </w:tcPr>
          <w:p w14:paraId="51189A63" w14:textId="0AEC238B"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1998-2008</w:t>
            </w:r>
          </w:p>
        </w:tc>
        <w:tc>
          <w:tcPr>
            <w:tcW w:w="2659" w:type="dxa"/>
            <w:vAlign w:val="center"/>
          </w:tcPr>
          <w:p w14:paraId="37E796DD" w14:textId="51BE7123"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registry/clinical cardiac events; nested case-control with reconstructed heart/LAHW doses</w:t>
            </w:r>
          </w:p>
        </w:tc>
        <w:tc>
          <w:tcPr>
            <w:tcW w:w="1755" w:type="dxa"/>
            <w:vAlign w:val="center"/>
          </w:tcPr>
          <w:p w14:paraId="4A938064" w14:textId="1458760A"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Within 10 years from RT</w:t>
            </w:r>
          </w:p>
        </w:tc>
        <w:tc>
          <w:tcPr>
            <w:tcW w:w="2293" w:type="dxa"/>
            <w:vAlign w:val="center"/>
          </w:tcPr>
          <w:p w14:paraId="17B14995" w14:textId="46CE1EEE"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Heart Dmean 1.2-12 Gy (left‑sided mean ~4.3 Gy); LAHW Dmean 2.4-35 Gy (left‑sided mean ~14.4 Gy)</w:t>
            </w:r>
          </w:p>
        </w:tc>
        <w:tc>
          <w:tcPr>
            <w:tcW w:w="2835" w:type="dxa"/>
            <w:vAlign w:val="center"/>
          </w:tcPr>
          <w:p w14:paraId="07609706" w14:textId="161B1B13"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3D-conformal radiotherapy (3DCRT) using tangential fields with 6 MV photons for PTV to typically 50 Gy total dose plus 10 Gy boost to tumor bed (with lymph node fields as indicated), plans retrospectively reconstructed for heart/LAHW dosimetry in nested case-control of patients treated 1998-2008, standard fractionation, conventional 1.8</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 xml:space="preserve">2 Gy/fraction </w:t>
            </w:r>
          </w:p>
        </w:tc>
        <w:tc>
          <w:tcPr>
            <w:tcW w:w="2410" w:type="dxa"/>
            <w:vAlign w:val="center"/>
          </w:tcPr>
          <w:p w14:paraId="4446B8FF" w14:textId="7A7BCCB7"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No increased odds of cardiac events per Gy heart Dmean (OR 0.99, 95% CI 0.94-1.05) or per Gy LAHW Dmean (OR 1.00, 95% CI 0.98-1.01)</w:t>
            </w:r>
          </w:p>
        </w:tc>
      </w:tr>
      <w:tr w:rsidR="003A7DC9" w:rsidRPr="00B41B6C" w14:paraId="6B718C04" w14:textId="3975AC37" w:rsidTr="0081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3751E060" w14:textId="26009034"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Berlin et al. 2025</w:t>
            </w:r>
          </w:p>
        </w:tc>
        <w:tc>
          <w:tcPr>
            <w:tcW w:w="1040" w:type="dxa"/>
            <w:vAlign w:val="center"/>
          </w:tcPr>
          <w:p w14:paraId="5B199ED0" w14:textId="1207288E"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2010-2017</w:t>
            </w:r>
          </w:p>
        </w:tc>
        <w:tc>
          <w:tcPr>
            <w:tcW w:w="2659" w:type="dxa"/>
            <w:vAlign w:val="center"/>
          </w:tcPr>
          <w:p w14:paraId="00EE6689" w14:textId="13446BAC"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Transthoracic echocardiography with left‑ventricular ejection fraction and global longitudinal strain; cardiotoxicity defined as cancer‑therapy-related cardiac dysfunction (CTRCD) based on LVEF/GLS criteria</w:t>
            </w:r>
          </w:p>
        </w:tc>
        <w:tc>
          <w:tcPr>
            <w:tcW w:w="1755" w:type="dxa"/>
            <w:vAlign w:val="center"/>
          </w:tcPr>
          <w:p w14:paraId="54E0487F" w14:textId="57AEFF6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Cardiac evaluation at baseline and during follow‑up after adjuvant breast radiotherapy (report median follow‑up/assessment interval exactly as in the paper; e.g. around a few years post‑RT)</w:t>
            </w:r>
          </w:p>
        </w:tc>
        <w:tc>
          <w:tcPr>
            <w:tcW w:w="2293" w:type="dxa"/>
            <w:vAlign w:val="center"/>
          </w:tcPr>
          <w:p w14:paraId="3B4A08DB" w14:textId="528DDFE2"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Overall median MHD was 1.19 Gy; bilateral/left group 2.30 Gy; right group 0.76 Gy. The median LAD maximum dose for the left/bilateral group was 39.78 Gy (Q1-Q3: 22.81-46.94 Gy) and the for the right group was 0.45 (Q1-Q3:0.27-0.68)</w:t>
            </w:r>
          </w:p>
        </w:tc>
        <w:tc>
          <w:tcPr>
            <w:tcW w:w="2835" w:type="dxa"/>
            <w:vAlign w:val="center"/>
          </w:tcPr>
          <w:p w14:paraId="22427AE6" w14:textId="654FED5F"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Adjuvant external beam RT with 3D-CT simulation/planning (Eclipse Varian), techniques including 3DCRT, IMRT, VMAT, proton RT, deep inspiration breath hold (DIBH), prone positioning at physician discretion for breast/chest wall ± nodes, median MHD 1.19 Gy (2.30 Gy left/bilateral), auto-contoured substructures (heart, LV, RV, LAD) manually reviewed; fractionation standard or hypofractionated  (eg 40-42.5 Gy/15-16 fx or 50 Gy/25 fx)</w:t>
            </w:r>
          </w:p>
        </w:tc>
        <w:tc>
          <w:tcPr>
            <w:tcW w:w="2410" w:type="dxa"/>
            <w:vAlign w:val="center"/>
          </w:tcPr>
          <w:p w14:paraId="7A6983E2" w14:textId="7777777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For each interquartile range increase</w:t>
            </w:r>
          </w:p>
          <w:p w14:paraId="3CF57B99" w14:textId="7777777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in maximum LAD dose, there was a 1.1% (95% CI:0.2% to 1.9%) worsening in longitudinal strain and a 2.1% (95% CI: -3.4% to -0.8%) worsening in LVEF as</w:t>
            </w:r>
          </w:p>
          <w:p w14:paraId="30937838" w14:textId="7777777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well as a worsening in diastolic function as represented by E/e' (0.5; 95% CI: 0.0-0.9). There were significant differences in longitudinal strain (P = 0.027) and Ea/Ees (P = 0.042) according to LAD dose &lt;/≥10</w:t>
            </w:r>
          </w:p>
          <w:p w14:paraId="2477DBCE" w14:textId="7777777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Gy, and for circumferential strain (P=0.049) and Ea/Ees (P = 0.024) for mean LV dose &lt;/≥3 Gy</w:t>
            </w:r>
          </w:p>
          <w:p w14:paraId="2B3F186C" w14:textId="7777777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3A7DC9" w:rsidRPr="00B41B6C" w14:paraId="37843CBC" w14:textId="63523FF6" w:rsidTr="00810A13">
        <w:tc>
          <w:tcPr>
            <w:cnfStyle w:val="001000000000" w:firstRow="0" w:lastRow="0" w:firstColumn="1" w:lastColumn="0" w:oddVBand="0" w:evenVBand="0" w:oddHBand="0" w:evenHBand="0" w:firstRowFirstColumn="0" w:firstRowLastColumn="0" w:lastRowFirstColumn="0" w:lastRowLastColumn="0"/>
            <w:tcW w:w="1609" w:type="dxa"/>
            <w:vAlign w:val="center"/>
          </w:tcPr>
          <w:p w14:paraId="7E1553B6" w14:textId="7EA8CEF6"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Cao et al. 2024</w:t>
            </w:r>
          </w:p>
        </w:tc>
        <w:tc>
          <w:tcPr>
            <w:tcW w:w="1040" w:type="dxa"/>
            <w:vAlign w:val="center"/>
          </w:tcPr>
          <w:p w14:paraId="13395A71" w14:textId="3560DC4E"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2015-2019</w:t>
            </w:r>
          </w:p>
        </w:tc>
        <w:tc>
          <w:tcPr>
            <w:tcW w:w="2659" w:type="dxa"/>
            <w:vAlign w:val="center"/>
          </w:tcPr>
          <w:p w14:paraId="1A4F5521" w14:textId="42E35C55"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Transthoracic echocardiography with serial assessment of left ventricular ejection fraction (LVEF); definition of early cancer‑therapy-related cardiac dysfunction based on LVEF decline criteria</w:t>
            </w:r>
          </w:p>
        </w:tc>
        <w:tc>
          <w:tcPr>
            <w:tcW w:w="1755" w:type="dxa"/>
            <w:vAlign w:val="center"/>
          </w:tcPr>
          <w:p w14:paraId="70818FAD" w14:textId="6F88FA6A"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Early cardiac evaluation within about 7 months after completion of radiotherapy (baseline pre‑RT and follow‑up echo at 7 months)</w:t>
            </w:r>
          </w:p>
        </w:tc>
        <w:tc>
          <w:tcPr>
            <w:tcW w:w="2293" w:type="dxa"/>
            <w:vAlign w:val="center"/>
          </w:tcPr>
          <w:p w14:paraId="46A79308" w14:textId="61067603"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In patients treated with left-sided IMN-RT, the LAD received thehighest mean dose (2430.8 cGy), followed by the LV (668 cGy) and RV (608 cGy). the most irradiated substructures were the</w:t>
            </w:r>
          </w:p>
          <w:p w14:paraId="3571E4FF" w14:textId="4E2ABBEC"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lastRenderedPageBreak/>
              <w:t>RA (244 cGy), RCA (219.3 cGy), LAD (202.6 cGy), and RV (158.1 cGy).</w:t>
            </w:r>
          </w:p>
        </w:tc>
        <w:tc>
          <w:tcPr>
            <w:tcW w:w="2835" w:type="dxa"/>
            <w:vAlign w:val="center"/>
          </w:tcPr>
          <w:p w14:paraId="6D6ADBEE" w14:textId="5AE5B757"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lastRenderedPageBreak/>
              <w:t>IMRT to whole breast/chest wall ± regional nodes (including IMN‑RT), using 8</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12 beams with 6</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8 tangential and 3</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4 anterior/posterior‑oblique fields, with both conventional fractionation (50</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50.4 Gy in 25</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28 fractions) and hypofractionated regimens (40</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42.5 Gy in 15</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 xml:space="preserve">16 fractions) allowed; trial compares a “cardiac safety” arm (MHD </w:t>
            </w:r>
            <w:r w:rsidRPr="00B41B6C">
              <w:rPr>
                <w:rFonts w:ascii="Times New Roman" w:hAnsi="Times New Roman" w:cs="Times New Roman"/>
                <w:sz w:val="16"/>
                <w:szCs w:val="16"/>
              </w:rPr>
              <w:lastRenderedPageBreak/>
              <w:t>≤6 Gy, V30 ≤20%, V10 ≤50%) versus a control arm (mainly MHD ≤8 Gy)</w:t>
            </w:r>
          </w:p>
        </w:tc>
        <w:tc>
          <w:tcPr>
            <w:tcW w:w="2410" w:type="dxa"/>
            <w:vAlign w:val="center"/>
          </w:tcPr>
          <w:p w14:paraId="356D44FD" w14:textId="2538310C"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lastRenderedPageBreak/>
              <w:t>Separate LVEF, diastolic, and persistent diastolic dysfunction rates in our study were lower, at 1%, 7.1%, and 0.8%</w:t>
            </w:r>
          </w:p>
        </w:tc>
      </w:tr>
      <w:tr w:rsidR="003A7DC9" w:rsidRPr="00B41B6C" w14:paraId="4F0D97CF" w14:textId="3C9D55AD" w:rsidTr="0081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2076FD90" w14:textId="51AD2BE9"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Chang et al. 2019 </w:t>
            </w:r>
          </w:p>
        </w:tc>
        <w:tc>
          <w:tcPr>
            <w:tcW w:w="1040" w:type="dxa"/>
            <w:vAlign w:val="center"/>
          </w:tcPr>
          <w:p w14:paraId="0FEA3690" w14:textId="771C76A9"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2002</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2013</w:t>
            </w:r>
          </w:p>
        </w:tc>
        <w:tc>
          <w:tcPr>
            <w:tcW w:w="2659" w:type="dxa"/>
            <w:vAlign w:val="center"/>
          </w:tcPr>
          <w:p w14:paraId="273BDD19" w14:textId="0FA6FE71"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Cardiac evaluation including left</w:t>
            </w:r>
            <w:r w:rsidRPr="00B41B6C">
              <w:rPr>
                <w:rFonts w:ascii="Times New Roman" w:hAnsi="Times New Roman" w:cs="Times New Roman"/>
                <w:sz w:val="16"/>
                <w:szCs w:val="16"/>
              </w:rPr>
              <w:noBreakHyphen/>
              <w:t>ventricular ejection fraction and/or other imaging/clinical assessment of cardiotoxicity after breast/chest wall radiotherapy</w:t>
            </w:r>
          </w:p>
        </w:tc>
        <w:tc>
          <w:tcPr>
            <w:tcW w:w="1755" w:type="dxa"/>
            <w:vAlign w:val="center"/>
          </w:tcPr>
          <w:p w14:paraId="3E9DD70F" w14:textId="1198E7D1"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 xml:space="preserve"> 6.1 ± 3.0 years of follow-up</w:t>
            </w:r>
          </w:p>
        </w:tc>
        <w:tc>
          <w:tcPr>
            <w:tcW w:w="2293" w:type="dxa"/>
            <w:vAlign w:val="center"/>
          </w:tcPr>
          <w:p w14:paraId="48501F29" w14:textId="3B6B25CF"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No individual doses available (inferred MHD ~4</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5 Gy left breast)</w:t>
            </w:r>
          </w:p>
        </w:tc>
        <w:tc>
          <w:tcPr>
            <w:tcW w:w="2835" w:type="dxa"/>
            <w:vAlign w:val="center"/>
          </w:tcPr>
          <w:p w14:paraId="44C83106" w14:textId="26B253A0"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t>
            </w:r>
          </w:p>
        </w:tc>
        <w:tc>
          <w:tcPr>
            <w:tcW w:w="2410" w:type="dxa"/>
            <w:vAlign w:val="center"/>
          </w:tcPr>
          <w:p w14:paraId="6477E1B9" w14:textId="58CE89B6"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No increase ACE risk post‑adj RT vs matched controls (HR 0.94, 95%CI 0.69</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1.28); increase if no exercise (HR 2.74) or disabled (HR 21.9)</w:t>
            </w:r>
          </w:p>
        </w:tc>
      </w:tr>
      <w:tr w:rsidR="003A7DC9" w:rsidRPr="00B41B6C" w14:paraId="60CB95A6" w14:textId="65D8465D" w:rsidTr="00810A13">
        <w:tc>
          <w:tcPr>
            <w:cnfStyle w:val="001000000000" w:firstRow="0" w:lastRow="0" w:firstColumn="1" w:lastColumn="0" w:oddVBand="0" w:evenVBand="0" w:oddHBand="0" w:evenHBand="0" w:firstRowFirstColumn="0" w:firstRowLastColumn="0" w:lastRowFirstColumn="0" w:lastRowLastColumn="0"/>
            <w:tcW w:w="1609" w:type="dxa"/>
            <w:vAlign w:val="center"/>
          </w:tcPr>
          <w:p w14:paraId="71D5460C" w14:textId="290F49F5"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Chen et al. 2023</w:t>
            </w:r>
          </w:p>
        </w:tc>
        <w:tc>
          <w:tcPr>
            <w:tcW w:w="1040" w:type="dxa"/>
            <w:vAlign w:val="center"/>
          </w:tcPr>
          <w:p w14:paraId="1DED2C2E" w14:textId="273A4ACA"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2017 - 2018</w:t>
            </w:r>
          </w:p>
        </w:tc>
        <w:tc>
          <w:tcPr>
            <w:tcW w:w="2659" w:type="dxa"/>
            <w:vAlign w:val="center"/>
          </w:tcPr>
          <w:p w14:paraId="2EC490E4" w14:textId="42EDA11A"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N-terminal pro-B-type natriuretic peptide, electrocardiogram, and radionuclide myocardial perfusion imaging were conducted before and after HFRT</w:t>
            </w:r>
          </w:p>
        </w:tc>
        <w:tc>
          <w:tcPr>
            <w:tcW w:w="1755" w:type="dxa"/>
            <w:vAlign w:val="center"/>
          </w:tcPr>
          <w:p w14:paraId="45F74CCD" w14:textId="77FCF41A"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Median follow-up of 49 months (range, 2-65 months)</w:t>
            </w:r>
          </w:p>
        </w:tc>
        <w:tc>
          <w:tcPr>
            <w:tcW w:w="2293" w:type="dxa"/>
            <w:vAlign w:val="center"/>
          </w:tcPr>
          <w:p w14:paraId="39C73FF0" w14:textId="5878334F"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The mean dose (Dmean) of the heart, left anterior descending coronary artery (LAD), left ventricular (LV), and right ventricular (RV) in all</w:t>
            </w:r>
          </w:p>
          <w:p w14:paraId="3B4A235F" w14:textId="356EB748"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patients was 403 cGy, 1685 cGy, 627 cGy, and 444 cGy, respectively. In comparison to FB, DIBH significantly reduced cardiac dose (heart Dmean 250 cGy vs. 570 cGy, LAD Dmean 1250 cGy vs. 2170 cGy, LV Dmean 420 cGy vs. 850 cGy, RV Dmean 260 cGy vs. 650 cGy</w:t>
            </w:r>
          </w:p>
        </w:tc>
        <w:tc>
          <w:tcPr>
            <w:tcW w:w="2835" w:type="dxa"/>
            <w:vAlign w:val="center"/>
          </w:tcPr>
          <w:p w14:paraId="263BD79E" w14:textId="59823E9D"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primary focus on hypofractionated whole‑breast RT ± regional nodal irradiation post breast‑conserving surgery using DIBH or free‑breathing techniques (prospective study of 103 left‑sided patients, heart Dmean 4.03 Gy, LAD 16.85 Gy); also mentions conventional vs hypofractionated in HARVEST trial dosimetry (CFI vs HFI, heart Dmean similar ~4.6</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5.1 Gy EQD2)</w:t>
            </w:r>
          </w:p>
        </w:tc>
        <w:tc>
          <w:tcPr>
            <w:tcW w:w="2410" w:type="dxa"/>
            <w:vAlign w:val="center"/>
          </w:tcPr>
          <w:p w14:paraId="41C6636D" w14:textId="53D62CD1"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Higher mean doses of heart and LV were associated with increased risk of subclinical cardiac events, p&lt;0.05. Higher mean doses of heart and LV were associated with increased risk of subclinical cardiac events, p&lt;0.05</w:t>
            </w:r>
          </w:p>
        </w:tc>
      </w:tr>
      <w:tr w:rsidR="003A7DC9" w:rsidRPr="00B41B6C" w14:paraId="498CABB2" w14:textId="4D29A4A8" w:rsidTr="0081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7D38E58E" w14:textId="4A94F4CD"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Darby et al. 2013</w:t>
            </w:r>
          </w:p>
        </w:tc>
        <w:tc>
          <w:tcPr>
            <w:tcW w:w="1040" w:type="dxa"/>
            <w:vAlign w:val="center"/>
          </w:tcPr>
          <w:p w14:paraId="0ACB7A24" w14:textId="0253E67A"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1958-2001</w:t>
            </w:r>
          </w:p>
        </w:tc>
        <w:tc>
          <w:tcPr>
            <w:tcW w:w="2659" w:type="dxa"/>
            <w:vAlign w:val="center"/>
          </w:tcPr>
          <w:p w14:paraId="3B196CCD" w14:textId="314A4188"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Retrospective population-based case-control study</w:t>
            </w:r>
          </w:p>
        </w:tc>
        <w:tc>
          <w:tcPr>
            <w:tcW w:w="1755" w:type="dxa"/>
            <w:vAlign w:val="center"/>
          </w:tcPr>
          <w:p w14:paraId="596FD760" w14:textId="3E2D7F28"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Within 20 years/within first 4 years post RT</w:t>
            </w:r>
          </w:p>
        </w:tc>
        <w:tc>
          <w:tcPr>
            <w:tcW w:w="2293" w:type="dxa"/>
            <w:vAlign w:val="center"/>
          </w:tcPr>
          <w:p w14:paraId="32A67516" w14:textId="5F2E0669"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Per 1 Gy mean heart dose Note: no significances for mean heart dose &lt; 2 Gy</w:t>
            </w:r>
          </w:p>
        </w:tc>
        <w:tc>
          <w:tcPr>
            <w:tcW w:w="2835" w:type="dxa"/>
            <w:vAlign w:val="center"/>
          </w:tcPr>
          <w:p w14:paraId="36E6A675" w14:textId="12206959" w:rsidR="003A7DC9" w:rsidRPr="00B41B6C" w:rsidRDefault="00A70E6F"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Primarily 2D/early 3D tangential fields (external-beam, post-mastectomy or BCS ± regional nodes) Standard (~2 Gy/fraction, total 40</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50 Gy); EQD2 calculated with α/β=2 Gy for heart.</w:t>
            </w:r>
          </w:p>
        </w:tc>
        <w:tc>
          <w:tcPr>
            <w:tcW w:w="2410" w:type="dxa"/>
            <w:vAlign w:val="center"/>
          </w:tcPr>
          <w:p w14:paraId="4394DC76" w14:textId="5A823C5E"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Increase of relative risk for mayor coronary events: 7.4%/16.3%</w:t>
            </w:r>
          </w:p>
        </w:tc>
      </w:tr>
      <w:tr w:rsidR="003A7DC9" w:rsidRPr="00B41B6C" w14:paraId="6319EB77" w14:textId="4A860741" w:rsidTr="00810A13">
        <w:tc>
          <w:tcPr>
            <w:cnfStyle w:val="001000000000" w:firstRow="0" w:lastRow="0" w:firstColumn="1" w:lastColumn="0" w:oddVBand="0" w:evenVBand="0" w:oddHBand="0" w:evenHBand="0" w:firstRowFirstColumn="0" w:firstRowLastColumn="0" w:lastRowFirstColumn="0" w:lastRowLastColumn="0"/>
            <w:tcW w:w="1609" w:type="dxa"/>
            <w:vAlign w:val="center"/>
          </w:tcPr>
          <w:p w14:paraId="34A3B9A9" w14:textId="4F802A2C"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Erven et al. 2011</w:t>
            </w:r>
          </w:p>
        </w:tc>
        <w:tc>
          <w:tcPr>
            <w:tcW w:w="1040" w:type="dxa"/>
            <w:vAlign w:val="center"/>
          </w:tcPr>
          <w:p w14:paraId="081654C0" w14:textId="67BD878C"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t>
            </w:r>
          </w:p>
        </w:tc>
        <w:tc>
          <w:tcPr>
            <w:tcW w:w="2659" w:type="dxa"/>
            <w:vAlign w:val="center"/>
          </w:tcPr>
          <w:p w14:paraId="5BBE00BF" w14:textId="08C0C524"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Regional strain value, detected by Doppler echocardiography</w:t>
            </w:r>
          </w:p>
        </w:tc>
        <w:tc>
          <w:tcPr>
            <w:tcW w:w="1755" w:type="dxa"/>
            <w:vAlign w:val="center"/>
          </w:tcPr>
          <w:p w14:paraId="232F85AA" w14:textId="72740928"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Immediately after RT and 2 months after RT</w:t>
            </w:r>
          </w:p>
        </w:tc>
        <w:tc>
          <w:tcPr>
            <w:tcW w:w="2293" w:type="dxa"/>
            <w:vAlign w:val="center"/>
          </w:tcPr>
          <w:p w14:paraId="7127A245" w14:textId="40CA1F47"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Left apical ventricular segments &gt;3 Gy vs. &lt;3 Gy</w:t>
            </w:r>
          </w:p>
        </w:tc>
        <w:tc>
          <w:tcPr>
            <w:tcW w:w="2835" w:type="dxa"/>
            <w:vAlign w:val="center"/>
          </w:tcPr>
          <w:p w14:paraId="18893744" w14:textId="4E01A2CF" w:rsidR="003A7DC9" w:rsidRPr="00B41B6C" w:rsidRDefault="00A70E6F"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3D tangential photon beams for breast/chest wall (± internal mammary/medial supraclavicular nodes with mixed photon/electron or oblique anterior fields).Standard (50 Gy/25 fractions; +16 Gy boost to tumor bed in BCS)</w:t>
            </w:r>
          </w:p>
        </w:tc>
        <w:tc>
          <w:tcPr>
            <w:tcW w:w="2410" w:type="dxa"/>
            <w:vAlign w:val="center"/>
          </w:tcPr>
          <w:p w14:paraId="185D0E30" w14:textId="5152D84F"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Significant decrease in strain respectively systolic myocardial function</w:t>
            </w:r>
          </w:p>
        </w:tc>
      </w:tr>
      <w:tr w:rsidR="000E066A" w:rsidRPr="00B41B6C" w14:paraId="010534AA" w14:textId="77777777" w:rsidTr="0081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7EE912D1" w14:textId="4D48A2D3" w:rsidR="000E066A" w:rsidRPr="00B41B6C" w:rsidRDefault="000E066A" w:rsidP="003A7DC9">
            <w:pPr>
              <w:jc w:val="center"/>
              <w:rPr>
                <w:rFonts w:ascii="Times New Roman" w:hAnsi="Times New Roman" w:cs="Times New Roman"/>
                <w:sz w:val="18"/>
                <w:szCs w:val="18"/>
              </w:rPr>
            </w:pPr>
            <w:r w:rsidRPr="00B41B6C">
              <w:rPr>
                <w:rFonts w:ascii="Times New Roman" w:hAnsi="Times New Roman" w:cs="Times New Roman"/>
                <w:sz w:val="18"/>
                <w:szCs w:val="18"/>
              </w:rPr>
              <w:t xml:space="preserve">Honaryar et al. 2024 </w:t>
            </w:r>
          </w:p>
        </w:tc>
        <w:tc>
          <w:tcPr>
            <w:tcW w:w="1040" w:type="dxa"/>
            <w:vAlign w:val="center"/>
          </w:tcPr>
          <w:p w14:paraId="4E83EA4A" w14:textId="61D9401B" w:rsidR="000E066A" w:rsidRPr="00B41B6C" w:rsidRDefault="000E066A"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2015-2017</w:t>
            </w:r>
          </w:p>
        </w:tc>
        <w:tc>
          <w:tcPr>
            <w:tcW w:w="2659" w:type="dxa"/>
            <w:vAlign w:val="center"/>
          </w:tcPr>
          <w:p w14:paraId="35BFF738" w14:textId="372C2197" w:rsidR="000E066A" w:rsidRPr="00B41B6C" w:rsidRDefault="000E066A"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2D speckle-tracking echocardiography assessed LVEF and GLS at baseline, 6 months, and 24 months post-RT. </w:t>
            </w:r>
          </w:p>
        </w:tc>
        <w:tc>
          <w:tcPr>
            <w:tcW w:w="1755" w:type="dxa"/>
            <w:vAlign w:val="center"/>
          </w:tcPr>
          <w:p w14:paraId="207BED1F" w14:textId="54FC8F8F" w:rsidR="000E066A" w:rsidRPr="00B41B6C" w:rsidRDefault="000E066A"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6 months or 24 months post-RT </w:t>
            </w:r>
          </w:p>
        </w:tc>
        <w:tc>
          <w:tcPr>
            <w:tcW w:w="2293" w:type="dxa"/>
            <w:vAlign w:val="center"/>
          </w:tcPr>
          <w:p w14:paraId="4D448691" w14:textId="2A2768A3" w:rsidR="000E066A" w:rsidRPr="00B41B6C" w:rsidRDefault="000E066A"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Whole heart Dmean: 2.5 Gy (higher in left-sided); LV Dmean: 5.1 Gy; LAD Dmean: 13.0 Gy (left-sided); CX Dmean: 1.4 Gy. </w:t>
            </w:r>
          </w:p>
        </w:tc>
        <w:tc>
          <w:tcPr>
            <w:tcW w:w="2835" w:type="dxa"/>
            <w:vAlign w:val="center"/>
          </w:tcPr>
          <w:p w14:paraId="58EB4D61" w14:textId="22B6D1C6" w:rsidR="000E066A" w:rsidRPr="00B41B6C" w:rsidRDefault="000E066A"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3D-CRT tangential fields (6/25 MV photons; 50 Gy/25 fx or 47 Gy/20 fx; optional 9-15 Gy boost). Rare DIBH for left-sided high-risk</w:t>
            </w:r>
          </w:p>
        </w:tc>
        <w:tc>
          <w:tcPr>
            <w:tcW w:w="2410" w:type="dxa"/>
            <w:vAlign w:val="center"/>
          </w:tcPr>
          <w:p w14:paraId="560460DF" w14:textId="4A58E855" w:rsidR="000E066A" w:rsidRPr="00B41B6C" w:rsidRDefault="000E066A"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 xml:space="preserve">44% asymptomatic CTRCD (28% mild, 9% moderate, 7% severe); no symptomatic; LV/CX exposure predicts risk </w:t>
            </w:r>
          </w:p>
        </w:tc>
      </w:tr>
      <w:tr w:rsidR="003A7DC9" w:rsidRPr="00B41B6C" w14:paraId="31FA53F3" w14:textId="7E6DF36D" w:rsidTr="00810A13">
        <w:tc>
          <w:tcPr>
            <w:cnfStyle w:val="001000000000" w:firstRow="0" w:lastRow="0" w:firstColumn="1" w:lastColumn="0" w:oddVBand="0" w:evenVBand="0" w:oddHBand="0" w:evenHBand="0" w:firstRowFirstColumn="0" w:firstRowLastColumn="0" w:lastRowFirstColumn="0" w:lastRowLastColumn="0"/>
            <w:tcW w:w="1609" w:type="dxa"/>
            <w:vAlign w:val="center"/>
          </w:tcPr>
          <w:p w14:paraId="46113399" w14:textId="21E7194D"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 xml:space="preserve"> Lai et al. 2024</w:t>
            </w:r>
          </w:p>
        </w:tc>
        <w:tc>
          <w:tcPr>
            <w:tcW w:w="1040" w:type="dxa"/>
            <w:vAlign w:val="center"/>
          </w:tcPr>
          <w:p w14:paraId="1CF53DA4" w14:textId="5CCC8D8C"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 xml:space="preserve">2005-2017 </w:t>
            </w:r>
          </w:p>
        </w:tc>
        <w:tc>
          <w:tcPr>
            <w:tcW w:w="2659" w:type="dxa"/>
            <w:vAlign w:val="center"/>
          </w:tcPr>
          <w:p w14:paraId="074A73E1" w14:textId="7C29971F"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MACE from ICD-10 codes (MI I21-I24, unstable angina I20, revascularization/CABG, HF hospitalization/death) and medical records review</w:t>
            </w:r>
          </w:p>
        </w:tc>
        <w:tc>
          <w:tcPr>
            <w:tcW w:w="1755" w:type="dxa"/>
            <w:vAlign w:val="center"/>
          </w:tcPr>
          <w:p w14:paraId="4E4C3429" w14:textId="168AA44C"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Median follow-up 7.8 years</w:t>
            </w:r>
          </w:p>
        </w:tc>
        <w:tc>
          <w:tcPr>
            <w:tcW w:w="2293" w:type="dxa"/>
            <w:vAlign w:val="center"/>
          </w:tcPr>
          <w:p w14:paraId="5C79F64A" w14:textId="4538B930"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Mean heart dose (MHD) 1.87 Gy EQD2 (IQR 1.15-3.22); LV DVH for EUD/mean LV dose 2.94 Gy (4.05 Gy in MACE cases)</w:t>
            </w:r>
          </w:p>
        </w:tc>
        <w:tc>
          <w:tcPr>
            <w:tcW w:w="2835" w:type="dxa"/>
            <w:vAlign w:val="center"/>
          </w:tcPr>
          <w:p w14:paraId="4DEA5637" w14:textId="0F5237BB" w:rsidR="003A7DC9" w:rsidRPr="00B41B6C" w:rsidRDefault="00A70E6F"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3D-CRT field-in-field predominant for whole breast/chest wall (± boost 10</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16 Gy); IMRT for complex anatomies (n=50); RNI (supra/infraclavicular/IMC selective); DIBH standard for left-sided, 45</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50.4 Gy/25</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 xml:space="preserve">28 fx </w:t>
            </w:r>
          </w:p>
        </w:tc>
        <w:tc>
          <w:tcPr>
            <w:tcW w:w="2410" w:type="dxa"/>
            <w:vAlign w:val="center"/>
          </w:tcPr>
          <w:p w14:paraId="2B7F767E" w14:textId="724139B2"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Lyman NTCP model fit D50=43.3 Gy, m=0.59, n=0.78 (D50=30 Gy in high-comorbidity); LV EUD &lt;5 Gy → 10-year relative risk &lt;1.3-1.5</w:t>
            </w:r>
          </w:p>
        </w:tc>
      </w:tr>
      <w:tr w:rsidR="003A7DC9" w:rsidRPr="00B41B6C" w14:paraId="089D2CD0" w14:textId="0D99714F" w:rsidTr="0081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746B242C" w14:textId="02DEC1B0"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Marks et al. 2005</w:t>
            </w:r>
          </w:p>
        </w:tc>
        <w:tc>
          <w:tcPr>
            <w:tcW w:w="1040" w:type="dxa"/>
            <w:vAlign w:val="center"/>
          </w:tcPr>
          <w:p w14:paraId="4D57940F" w14:textId="6D05ECA9"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1998-2001</w:t>
            </w:r>
          </w:p>
        </w:tc>
        <w:tc>
          <w:tcPr>
            <w:tcW w:w="2659" w:type="dxa"/>
            <w:vAlign w:val="center"/>
          </w:tcPr>
          <w:p w14:paraId="33D7E8D4" w14:textId="6657BB89"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Cardiac SPECT imaging</w:t>
            </w:r>
          </w:p>
        </w:tc>
        <w:tc>
          <w:tcPr>
            <w:tcW w:w="1755" w:type="dxa"/>
            <w:vAlign w:val="center"/>
          </w:tcPr>
          <w:p w14:paraId="7D0BDDA3" w14:textId="68902563"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6-24 months</w:t>
            </w:r>
          </w:p>
        </w:tc>
        <w:tc>
          <w:tcPr>
            <w:tcW w:w="2293" w:type="dxa"/>
            <w:vAlign w:val="center"/>
          </w:tcPr>
          <w:p w14:paraId="4B42A123" w14:textId="499835EE"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Cardiac apex included into the radiation fields (i. e., &gt;23-25 Gy; 1.8-2 Gy per day). &lt;5% vs. ≥5% of the left LV into the radiation fields</w:t>
            </w:r>
          </w:p>
        </w:tc>
        <w:tc>
          <w:tcPr>
            <w:tcW w:w="2835" w:type="dxa"/>
            <w:vAlign w:val="center"/>
          </w:tcPr>
          <w:p w14:paraId="562C9D58" w14:textId="70211068" w:rsidR="003A7DC9" w:rsidRPr="00B41B6C" w:rsidRDefault="00A70E6F"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Tangential photon beams for breast/chest wall (IMN included in tangents for 53 patients); electron boost to tumor bed/scar (16</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 xml:space="preserve">18 Gy intact breast, 10 Gy post-mastectomy). </w:t>
            </w:r>
            <w:r w:rsidRPr="00B41B6C">
              <w:rPr>
                <w:rFonts w:ascii="Times New Roman" w:hAnsi="Times New Roman" w:cs="Times New Roman"/>
                <w:sz w:val="16"/>
                <w:szCs w:val="16"/>
              </w:rPr>
              <w:lastRenderedPageBreak/>
              <w:t>Breast/chest wall: 46</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50 Gy total (1.8</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2 Gy/fx), Boost: 16</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18 Gy/2 Gy fx electrons (intact breast tumor bed); 10 Gy post-mastectomy scar</w:t>
            </w:r>
          </w:p>
        </w:tc>
        <w:tc>
          <w:tcPr>
            <w:tcW w:w="2410" w:type="dxa"/>
            <w:vAlign w:val="center"/>
          </w:tcPr>
          <w:p w14:paraId="73B38F54" w14:textId="4B4F4A30"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lastRenderedPageBreak/>
              <w:t>27-42% new perfusion defects in cardiac apex. Perfusion defects in 10-20% vs. 50-60% of patients</w:t>
            </w:r>
          </w:p>
        </w:tc>
      </w:tr>
      <w:tr w:rsidR="003A7DC9" w:rsidRPr="00B41B6C" w14:paraId="54600934" w14:textId="5CE1C533" w:rsidTr="00810A13">
        <w:tc>
          <w:tcPr>
            <w:cnfStyle w:val="001000000000" w:firstRow="0" w:lastRow="0" w:firstColumn="1" w:lastColumn="0" w:oddVBand="0" w:evenVBand="0" w:oddHBand="0" w:evenHBand="0" w:firstRowFirstColumn="0" w:firstRowLastColumn="0" w:lastRowFirstColumn="0" w:lastRowLastColumn="0"/>
            <w:tcW w:w="1609" w:type="dxa"/>
            <w:vAlign w:val="center"/>
          </w:tcPr>
          <w:p w14:paraId="10CCD400" w14:textId="36B93F66"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Nilsson et al. 2012</w:t>
            </w:r>
          </w:p>
        </w:tc>
        <w:tc>
          <w:tcPr>
            <w:tcW w:w="1040" w:type="dxa"/>
            <w:vAlign w:val="center"/>
          </w:tcPr>
          <w:p w14:paraId="1CEDAC77" w14:textId="17550855"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1970-2003</w:t>
            </w:r>
          </w:p>
        </w:tc>
        <w:tc>
          <w:tcPr>
            <w:tcW w:w="2659" w:type="dxa"/>
            <w:vAlign w:val="center"/>
          </w:tcPr>
          <w:p w14:paraId="64FE0800" w14:textId="4EC25F38"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Angiography</w:t>
            </w:r>
          </w:p>
        </w:tc>
        <w:tc>
          <w:tcPr>
            <w:tcW w:w="1755" w:type="dxa"/>
            <w:vAlign w:val="center"/>
          </w:tcPr>
          <w:p w14:paraId="0085DFBD" w14:textId="7CF7297E"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10.3 years</w:t>
            </w:r>
          </w:p>
        </w:tc>
        <w:tc>
          <w:tcPr>
            <w:tcW w:w="2293" w:type="dxa"/>
            <w:vAlign w:val="center"/>
          </w:tcPr>
          <w:p w14:paraId="2AE5132E" w14:textId="26849126"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Coronary arteries within (or near) the tangential radiation field, so called hotspot areas: mid, distal, and distal diagonal branch of LAD</w:t>
            </w:r>
          </w:p>
        </w:tc>
        <w:tc>
          <w:tcPr>
            <w:tcW w:w="2835" w:type="dxa"/>
            <w:vAlign w:val="center"/>
          </w:tcPr>
          <w:p w14:paraId="311D840F" w14:textId="39346248" w:rsidR="003A7DC9" w:rsidRPr="00B41B6C" w:rsidRDefault="00A70E6F"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t>
            </w:r>
          </w:p>
        </w:tc>
        <w:tc>
          <w:tcPr>
            <w:tcW w:w="2410" w:type="dxa"/>
            <w:vAlign w:val="center"/>
          </w:tcPr>
          <w:p w14:paraId="58CD6F05" w14:textId="3BDDFC43"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Stenosis in LAD (mid, distal and distal diagonal branch of LAD)</w:t>
            </w:r>
          </w:p>
        </w:tc>
      </w:tr>
      <w:tr w:rsidR="003A7DC9" w:rsidRPr="00B41B6C" w14:paraId="6CAC40DA" w14:textId="13D8709B" w:rsidTr="0081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034DF89B" w14:textId="7BC20A50"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Skyttä et al. 2015</w:t>
            </w:r>
          </w:p>
        </w:tc>
        <w:tc>
          <w:tcPr>
            <w:tcW w:w="1040" w:type="dxa"/>
            <w:vAlign w:val="center"/>
          </w:tcPr>
          <w:p w14:paraId="614712E5" w14:textId="342D5EF3"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2011-2013</w:t>
            </w:r>
          </w:p>
        </w:tc>
        <w:tc>
          <w:tcPr>
            <w:tcW w:w="2659" w:type="dxa"/>
            <w:vAlign w:val="center"/>
          </w:tcPr>
          <w:p w14:paraId="7EACCB0F" w14:textId="11CBC921"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Serum troponin T</w:t>
            </w:r>
          </w:p>
        </w:tc>
        <w:tc>
          <w:tcPr>
            <w:tcW w:w="1755" w:type="dxa"/>
            <w:vAlign w:val="center"/>
          </w:tcPr>
          <w:p w14:paraId="45F6F68F" w14:textId="30FFC182"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9 months (mean)</w:t>
            </w:r>
          </w:p>
        </w:tc>
        <w:tc>
          <w:tcPr>
            <w:tcW w:w="2293" w:type="dxa"/>
            <w:vAlign w:val="center"/>
          </w:tcPr>
          <w:p w14:paraId="2CEA53CE" w14:textId="3203212B"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Mean heart dose: 4 Gy vs. 2.8 Gy Mean LV dose: 6.7 vs. 4.5 Gy Mean LAD dose: 23.8 vs. 17.5 Gy V20LAD: 55.4% vs. 36.2% V30LAD: 45% vs. 29.3% increase of serum troponin T (hscTNT) &gt; 30%</w:t>
            </w:r>
          </w:p>
          <w:p w14:paraId="2E5DAC62" w14:textId="79189E55"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2835" w:type="dxa"/>
            <w:vAlign w:val="center"/>
          </w:tcPr>
          <w:p w14:paraId="5AAAFCAC" w14:textId="14E5ACD1" w:rsidR="003A7DC9" w:rsidRPr="00B41B6C" w:rsidRDefault="00044F67"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3D conformal RT: tangential photons (50 Gy/25 fx or hypofrac. 42.56 Gy/16 fx; ±10</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16 Gy boost; 97% tangential, 3% electrons for mastectomy; 2/58 vDIBH; AAA dose calc.; heart/LV/LAD contoured).</w:t>
            </w:r>
          </w:p>
        </w:tc>
        <w:tc>
          <w:tcPr>
            <w:tcW w:w="2410" w:type="dxa"/>
            <w:vAlign w:val="center"/>
          </w:tcPr>
          <w:p w14:paraId="2CF6ED92" w14:textId="4E237499"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Increase of serum troponin T (hscTNT) &gt; 30%</w:t>
            </w:r>
          </w:p>
        </w:tc>
      </w:tr>
      <w:tr w:rsidR="003A7DC9" w:rsidRPr="00B41B6C" w14:paraId="25E38C71" w14:textId="3EE8B874" w:rsidTr="00810A13">
        <w:tc>
          <w:tcPr>
            <w:cnfStyle w:val="001000000000" w:firstRow="0" w:lastRow="0" w:firstColumn="1" w:lastColumn="0" w:oddVBand="0" w:evenVBand="0" w:oddHBand="0" w:evenHBand="0" w:firstRowFirstColumn="0" w:firstRowLastColumn="0" w:lastRowFirstColumn="0" w:lastRowLastColumn="0"/>
            <w:tcW w:w="1609" w:type="dxa"/>
            <w:vAlign w:val="center"/>
          </w:tcPr>
          <w:p w14:paraId="2740DA64" w14:textId="69DCC6BC"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Van den Bogaard et al. 2021</w:t>
            </w:r>
          </w:p>
        </w:tc>
        <w:tc>
          <w:tcPr>
            <w:tcW w:w="1040" w:type="dxa"/>
            <w:vAlign w:val="center"/>
          </w:tcPr>
          <w:p w14:paraId="7E06F714" w14:textId="4BA06159"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2005-2016</w:t>
            </w:r>
          </w:p>
        </w:tc>
        <w:tc>
          <w:tcPr>
            <w:tcW w:w="2659" w:type="dxa"/>
            <w:vAlign w:val="center"/>
          </w:tcPr>
          <w:p w14:paraId="6C41C8C7" w14:textId="51EFAC09"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Planning CT-based dosimetry of: mean heart dose, LV‑V5, mean LAD dose, and mean dose to calcified LAD plaque (when present).</w:t>
            </w:r>
          </w:p>
        </w:tc>
        <w:tc>
          <w:tcPr>
            <w:tcW w:w="1755" w:type="dxa"/>
            <w:vAlign w:val="center"/>
          </w:tcPr>
          <w:p w14:paraId="32C066B7" w14:textId="5EAF6015"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Median follow‑up 9.2 years (range 0.1-14.3 years)</w:t>
            </w:r>
          </w:p>
        </w:tc>
        <w:tc>
          <w:tcPr>
            <w:tcW w:w="2293" w:type="dxa"/>
            <w:vAlign w:val="center"/>
          </w:tcPr>
          <w:p w14:paraId="1A314E07" w14:textId="65AE01BC"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Patients with calcified LAD plaque: mean dose to calcified LAD plaque (continuous, per Gy). Patients without plaque: LV‑V5 (percentage of LV volume receiving ≥5 Gy, continuous, per %)</w:t>
            </w:r>
          </w:p>
        </w:tc>
        <w:tc>
          <w:tcPr>
            <w:tcW w:w="2835" w:type="dxa"/>
            <w:vAlign w:val="center"/>
          </w:tcPr>
          <w:p w14:paraId="52F42E4F" w14:textId="77777777" w:rsidR="00044F67" w:rsidRPr="00B41B6C" w:rsidRDefault="00044F67" w:rsidP="00044F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All patients were treated with 3-dimensional conformal RT</w:t>
            </w:r>
          </w:p>
          <w:p w14:paraId="3D1A7713" w14:textId="2F52B70C" w:rsidR="00044F67" w:rsidRPr="00B41B6C" w:rsidRDefault="00044F67" w:rsidP="00044F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using CT-based treatment planning, as described previously. A dose of 50.4 Gy was prescribed for the whole breast in 28 fractions, with a simultaneous integrated boost dose of 14 or 16.8 Gy in the same 28 fractions, depending</w:t>
            </w:r>
          </w:p>
          <w:p w14:paraId="708B2A52" w14:textId="3B56E1AE" w:rsidR="003A7DC9" w:rsidRPr="00B41B6C" w:rsidRDefault="00044F67" w:rsidP="00044F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on pathologic risk factors.</w:t>
            </w:r>
          </w:p>
        </w:tc>
        <w:tc>
          <w:tcPr>
            <w:tcW w:w="2410" w:type="dxa"/>
            <w:vAlign w:val="center"/>
          </w:tcPr>
          <w:p w14:paraId="095E71A7" w14:textId="413CFEC1"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With LAD plaque: mean plaque dose was the strongest predictor of ACEs, HR 1.269 per Gy (95% CI 1.090-1.477; P=.002), after adjustment for cardiovascular risk factors. Without plaque: LV‑V5 associated with ACEs, HR 1.021 per % (95% CI 1.003-1.039; P=.023); mean heart and mean LAD dose were less predictive.</w:t>
            </w:r>
          </w:p>
        </w:tc>
      </w:tr>
      <w:tr w:rsidR="003A7DC9" w:rsidRPr="00B41B6C" w14:paraId="1840D8F0" w14:textId="70B3BC81" w:rsidTr="0081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258FA03F" w14:textId="0C0D1E86"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Van den Bogaard et al. 2017</w:t>
            </w:r>
          </w:p>
        </w:tc>
        <w:tc>
          <w:tcPr>
            <w:tcW w:w="1040" w:type="dxa"/>
            <w:vAlign w:val="center"/>
          </w:tcPr>
          <w:p w14:paraId="12035885" w14:textId="62C381B3"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2005-2008</w:t>
            </w:r>
          </w:p>
        </w:tc>
        <w:tc>
          <w:tcPr>
            <w:tcW w:w="2659" w:type="dxa"/>
            <w:vAlign w:val="center"/>
          </w:tcPr>
          <w:p w14:paraId="2567B2AC" w14:textId="72A7C62F"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t>
            </w:r>
          </w:p>
        </w:tc>
        <w:tc>
          <w:tcPr>
            <w:tcW w:w="1755" w:type="dxa"/>
            <w:vAlign w:val="center"/>
          </w:tcPr>
          <w:p w14:paraId="163E277C" w14:textId="0905E6E4"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Within 9 years post RT</w:t>
            </w:r>
          </w:p>
        </w:tc>
        <w:tc>
          <w:tcPr>
            <w:tcW w:w="2293" w:type="dxa"/>
            <w:vAlign w:val="center"/>
          </w:tcPr>
          <w:p w14:paraId="697D7FF5" w14:textId="1D3A85D1"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Per 1 Gy mean heart dose</w:t>
            </w:r>
          </w:p>
        </w:tc>
        <w:tc>
          <w:tcPr>
            <w:tcW w:w="2835" w:type="dxa"/>
            <w:vAlign w:val="center"/>
          </w:tcPr>
          <w:p w14:paraId="0EA2D7E3" w14:textId="5CA1AA2A" w:rsidR="003A7DC9" w:rsidRPr="00B41B6C" w:rsidRDefault="00044F67"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A dose of 50.4 Gy was prescribed for the whole breast in 28 fractions, with a simultaneous integrated boost dose of 14 or 16.8 Gy in the same 28 fractions, depending on pathologic risk factors</w:t>
            </w:r>
          </w:p>
        </w:tc>
        <w:tc>
          <w:tcPr>
            <w:tcW w:w="2410" w:type="dxa"/>
            <w:vAlign w:val="center"/>
          </w:tcPr>
          <w:p w14:paraId="72A3A2E2" w14:textId="5C05FE8A"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16.5% increase in cumulative incidence (HR 1.165) for acute coronary events</w:t>
            </w:r>
          </w:p>
        </w:tc>
      </w:tr>
      <w:tr w:rsidR="003A7DC9" w:rsidRPr="00B41B6C" w14:paraId="5EBFFB06" w14:textId="34F52ADC" w:rsidTr="00810A13">
        <w:tc>
          <w:tcPr>
            <w:cnfStyle w:val="001000000000" w:firstRow="0" w:lastRow="0" w:firstColumn="1" w:lastColumn="0" w:oddVBand="0" w:evenVBand="0" w:oddHBand="0" w:evenHBand="0" w:firstRowFirstColumn="0" w:firstRowLastColumn="0" w:lastRowFirstColumn="0" w:lastRowLastColumn="0"/>
            <w:tcW w:w="1609" w:type="dxa"/>
            <w:vAlign w:val="center"/>
          </w:tcPr>
          <w:p w14:paraId="0ACF2EE1" w14:textId="6E58B978"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Van den Bogaard et al. 2017</w:t>
            </w:r>
          </w:p>
        </w:tc>
        <w:tc>
          <w:tcPr>
            <w:tcW w:w="1040" w:type="dxa"/>
            <w:vAlign w:val="center"/>
          </w:tcPr>
          <w:p w14:paraId="49463059" w14:textId="01539F3A"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2005-2008</w:t>
            </w:r>
          </w:p>
        </w:tc>
        <w:tc>
          <w:tcPr>
            <w:tcW w:w="2659" w:type="dxa"/>
            <w:vAlign w:val="center"/>
          </w:tcPr>
          <w:p w14:paraId="24B9B288" w14:textId="296AEF03"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t>
            </w:r>
          </w:p>
        </w:tc>
        <w:tc>
          <w:tcPr>
            <w:tcW w:w="1755" w:type="dxa"/>
            <w:vAlign w:val="center"/>
          </w:tcPr>
          <w:p w14:paraId="0302C9FA" w14:textId="42776376"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Within 9 years post RT</w:t>
            </w:r>
          </w:p>
        </w:tc>
        <w:tc>
          <w:tcPr>
            <w:tcW w:w="2293" w:type="dxa"/>
            <w:vAlign w:val="center"/>
          </w:tcPr>
          <w:p w14:paraId="1D0B22A3" w14:textId="370C9354"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V5LV: 29.3% vs. 16.9%</w:t>
            </w:r>
          </w:p>
        </w:tc>
        <w:tc>
          <w:tcPr>
            <w:tcW w:w="2835" w:type="dxa"/>
            <w:vAlign w:val="center"/>
          </w:tcPr>
          <w:p w14:paraId="4F3C7E24" w14:textId="564A5B0E" w:rsidR="003A7DC9" w:rsidRPr="00B41B6C" w:rsidRDefault="00044F67"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A dose of 50.4 Gy was prescribed for the whole breast in 28 fractions, with a simultaneous integrated boost dose of 14 or 16.8 Gy in the same 28 fractions, depending on pathologic risk factors</w:t>
            </w:r>
          </w:p>
        </w:tc>
        <w:tc>
          <w:tcPr>
            <w:tcW w:w="2410" w:type="dxa"/>
            <w:vAlign w:val="center"/>
          </w:tcPr>
          <w:p w14:paraId="1AB22D81" w14:textId="6D02D876"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Acute coronary event vs. no</w:t>
            </w:r>
          </w:p>
        </w:tc>
      </w:tr>
      <w:tr w:rsidR="003A7DC9" w:rsidRPr="00B41B6C" w14:paraId="45A5AF93" w14:textId="31271F18" w:rsidTr="0081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vAlign w:val="center"/>
          </w:tcPr>
          <w:p w14:paraId="060E0E1E" w14:textId="4A1D6AFE"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Walker et al. 2019</w:t>
            </w:r>
          </w:p>
        </w:tc>
        <w:tc>
          <w:tcPr>
            <w:tcW w:w="1040" w:type="dxa"/>
            <w:vAlign w:val="center"/>
          </w:tcPr>
          <w:p w14:paraId="64404ED1" w14:textId="0010167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2015-2017</w:t>
            </w:r>
          </w:p>
        </w:tc>
        <w:tc>
          <w:tcPr>
            <w:tcW w:w="2659" w:type="dxa"/>
            <w:vAlign w:val="center"/>
          </w:tcPr>
          <w:p w14:paraId="121C916E" w14:textId="659E6F7B"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Cardiac function by 2D speckle‑tracking echocardiography: GLS measured before RT and 6 months post‑RT; Prospective monocentric cohort</w:t>
            </w:r>
          </w:p>
        </w:tc>
        <w:tc>
          <w:tcPr>
            <w:tcW w:w="1755" w:type="dxa"/>
            <w:vAlign w:val="center"/>
          </w:tcPr>
          <w:p w14:paraId="6D03D2D8" w14:textId="0A27C064"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6 months after RT</w:t>
            </w:r>
          </w:p>
        </w:tc>
        <w:tc>
          <w:tcPr>
            <w:tcW w:w="2293" w:type="dxa"/>
            <w:vAlign w:val="center"/>
          </w:tcPr>
          <w:p w14:paraId="6376A810" w14:textId="1069F284"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Left‑sided patients: mean heart dose: 3.1 ± 1.3 Gy; mean LV dose: 6.7 ± 3.4 Gy; LV V20: percentage of LV volume receiving ≥20 Gy (continuous, also dichotomized at 15%).</w:t>
            </w:r>
          </w:p>
          <w:p w14:paraId="46BC96EA" w14:textId="333B999F"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Right‑sided patients: mean heart dose: 0.7 ± 0.5 Gy; median LV dose 0.1 Gy</w:t>
            </w:r>
          </w:p>
        </w:tc>
        <w:tc>
          <w:tcPr>
            <w:tcW w:w="2835" w:type="dxa"/>
            <w:vAlign w:val="center"/>
          </w:tcPr>
          <w:p w14:paraId="4BF65EF5" w14:textId="51D71F2E" w:rsidR="003A7DC9" w:rsidRPr="00B41B6C" w:rsidRDefault="000F24EF"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Adjuvant 3D-CRT after breast conserving surgery or mastectomy, without chemotherapy.After the surgical treatment of BC, all patients were treated with 3D-CRT with 6 and 25 MV photon beams by tangential fields. The planning target volume dose was 50 Gy delivered in 25 daily fractions of 2 Gy over 5 weeks or 47 Gy delivered in 20 daily fractions of 2.35 Gy over 5 weeks, except few cases of patients with big breast where 25 MV additional photons were used. Additional boost of 9</w:t>
            </w:r>
            <w:r w:rsidR="0075051D" w:rsidRPr="00B41B6C">
              <w:rPr>
                <w:rFonts w:ascii="Times New Roman" w:hAnsi="Times New Roman" w:cs="Times New Roman"/>
                <w:sz w:val="16"/>
                <w:szCs w:val="16"/>
              </w:rPr>
              <w:t>-</w:t>
            </w:r>
            <w:r w:rsidRPr="00B41B6C">
              <w:rPr>
                <w:rFonts w:ascii="Times New Roman" w:hAnsi="Times New Roman" w:cs="Times New Roman"/>
                <w:sz w:val="16"/>
                <w:szCs w:val="16"/>
              </w:rPr>
              <w:t xml:space="preserve">15 Gy could be applied to the tumor site using </w:t>
            </w:r>
            <w:r w:rsidRPr="00B41B6C">
              <w:rPr>
                <w:rFonts w:ascii="Times New Roman" w:hAnsi="Times New Roman" w:cs="Times New Roman"/>
                <w:sz w:val="16"/>
                <w:szCs w:val="16"/>
              </w:rPr>
              <w:lastRenderedPageBreak/>
              <w:t>photon/electron beams with energies ranging from 6 MeV to 18 MeV.</w:t>
            </w:r>
          </w:p>
        </w:tc>
        <w:tc>
          <w:tcPr>
            <w:tcW w:w="2410" w:type="dxa"/>
            <w:vAlign w:val="center"/>
          </w:tcPr>
          <w:p w14:paraId="4B083868" w14:textId="21370907" w:rsidR="003A7DC9" w:rsidRPr="00B41B6C" w:rsidRDefault="003A7DC9" w:rsidP="003A7D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lastRenderedPageBreak/>
              <w:t>GLS reduction &gt;10% associated with higher heart/LV doses in univariate analysis; after adjustment only LV V20 &gt;15% retained a significant association (adjusted OR ~4) with subclinical LV dysfunction.</w:t>
            </w:r>
          </w:p>
        </w:tc>
      </w:tr>
      <w:tr w:rsidR="003A7DC9" w:rsidRPr="00B41B6C" w14:paraId="40407684" w14:textId="776C111D" w:rsidTr="00810A13">
        <w:tc>
          <w:tcPr>
            <w:cnfStyle w:val="001000000000" w:firstRow="0" w:lastRow="0" w:firstColumn="1" w:lastColumn="0" w:oddVBand="0" w:evenVBand="0" w:oddHBand="0" w:evenHBand="0" w:firstRowFirstColumn="0" w:firstRowLastColumn="0" w:lastRowFirstColumn="0" w:lastRowLastColumn="0"/>
            <w:tcW w:w="1609" w:type="dxa"/>
            <w:vAlign w:val="center"/>
          </w:tcPr>
          <w:p w14:paraId="004D7AB0" w14:textId="356947D9" w:rsidR="003A7DC9" w:rsidRPr="00B41B6C" w:rsidRDefault="003A7DC9" w:rsidP="003A7DC9">
            <w:pPr>
              <w:jc w:val="center"/>
              <w:rPr>
                <w:rFonts w:ascii="Times New Roman" w:hAnsi="Times New Roman" w:cs="Times New Roman"/>
                <w:sz w:val="18"/>
                <w:szCs w:val="18"/>
              </w:rPr>
            </w:pPr>
            <w:r w:rsidRPr="00B41B6C">
              <w:rPr>
                <w:rFonts w:ascii="Times New Roman" w:hAnsi="Times New Roman" w:cs="Times New Roman"/>
                <w:sz w:val="18"/>
                <w:szCs w:val="18"/>
              </w:rPr>
              <w:t>Zureick et al. 2022</w:t>
            </w:r>
          </w:p>
        </w:tc>
        <w:tc>
          <w:tcPr>
            <w:tcW w:w="1040" w:type="dxa"/>
            <w:vAlign w:val="center"/>
          </w:tcPr>
          <w:p w14:paraId="37687513" w14:textId="043A9506"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2012-2018</w:t>
            </w:r>
          </w:p>
        </w:tc>
        <w:tc>
          <w:tcPr>
            <w:tcW w:w="2659" w:type="dxa"/>
            <w:vAlign w:val="center"/>
          </w:tcPr>
          <w:p w14:paraId="3D602A27" w14:textId="320C75B9"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Cardiac events ascertained from ICD‑10 codes and chart review; Retrospective cohort case-control study</w:t>
            </w:r>
          </w:p>
        </w:tc>
        <w:tc>
          <w:tcPr>
            <w:tcW w:w="1755" w:type="dxa"/>
            <w:vAlign w:val="center"/>
          </w:tcPr>
          <w:p w14:paraId="2D3DF0A3" w14:textId="304B5D05"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Median follow‑up: 48 months after RT</w:t>
            </w:r>
          </w:p>
        </w:tc>
        <w:tc>
          <w:tcPr>
            <w:tcW w:w="2293" w:type="dxa"/>
            <w:vAlign w:val="center"/>
          </w:tcPr>
          <w:p w14:paraId="3C456838" w14:textId="56116F6B"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Mean and maximum LAD and heart doses (LAD Dmean, LAD Dmax, heart Dmean, and heart Dmax) were calculated and converted to 2-Gy equivalent doses (LAD Dmean 2.8 Gy EQD2, LAD Dmax 6.7 Gy EQD2, heart Dmean 0.8 Gy EQD2).</w:t>
            </w:r>
          </w:p>
        </w:tc>
        <w:tc>
          <w:tcPr>
            <w:tcW w:w="2835" w:type="dxa"/>
            <w:vAlign w:val="center"/>
          </w:tcPr>
          <w:p w14:paraId="4DBBFF5D" w14:textId="796291CC" w:rsidR="003A7DC9" w:rsidRPr="00B41B6C" w:rsidRDefault="001A36E4"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Left-sided breast/chest wall ± regional nodal irradiation (conventional fractionation 50-50.4 Gy in 25-28 fractions or hypofractionation 42.56 Gy in 16 fractions; sequential boost 10-14 Gy in 4-7 fractions; 74% deep inspiration breath-hold; 3D conformal RT/IMRT/VMAT with tangential fields; Pinnacle TPS)</w:t>
            </w:r>
          </w:p>
        </w:tc>
        <w:tc>
          <w:tcPr>
            <w:tcW w:w="2410" w:type="dxa"/>
            <w:vAlign w:val="center"/>
          </w:tcPr>
          <w:p w14:paraId="57620338" w14:textId="77777777"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Multivariate analysis, any cardiac event:</w:t>
            </w:r>
          </w:p>
          <w:p w14:paraId="66226597" w14:textId="77777777"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LAD Dmean: HR 1.09 per Gy (95% CI 1.02-1.17; p=0.006), LAD Dmax: HR 1.02 per Gy (1.01-1.04; p=0.009), Heart Dmean: HR 1.86 per Gy (1.12-3.08; p=0.016),  Heart Dmax: HR 1.02 per Gy (1.00-1.04; p=0.016). Major cardiac event:</w:t>
            </w:r>
          </w:p>
          <w:p w14:paraId="704BCA18" w14:textId="50A0416C" w:rsidR="003A7DC9" w:rsidRPr="00B41B6C" w:rsidRDefault="003A7DC9" w:rsidP="003A7D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41B6C">
              <w:rPr>
                <w:rFonts w:ascii="Times New Roman" w:hAnsi="Times New Roman" w:cs="Times New Roman"/>
                <w:sz w:val="16"/>
                <w:szCs w:val="16"/>
              </w:rPr>
              <w:t>LAD Dmean: HR 1.08 per Gy (1.01-1.17; p=0.022), Heart Dmean: HR 1.68 per Gy (1.24-3.77; p=0.007).</w:t>
            </w:r>
          </w:p>
        </w:tc>
      </w:tr>
    </w:tbl>
    <w:p w14:paraId="09F4BF43" w14:textId="54414D8C" w:rsidR="00E35A3F" w:rsidRPr="00B41B6C" w:rsidRDefault="00F70054" w:rsidP="00804D19">
      <w:pPr>
        <w:rPr>
          <w:rFonts w:ascii="Times New Roman" w:hAnsi="Times New Roman" w:cs="Times New Roman"/>
        </w:rPr>
      </w:pPr>
      <w:r w:rsidRPr="00B41B6C">
        <w:rPr>
          <w:rFonts w:ascii="Times New Roman" w:hAnsi="Times New Roman" w:cs="Times New Roman"/>
          <w:i/>
          <w:iCs/>
          <w:sz w:val="16"/>
          <w:szCs w:val="16"/>
        </w:rPr>
        <w:t xml:space="preserve">Abbreviations: </w:t>
      </w:r>
      <w:r w:rsidRPr="00B41B6C">
        <w:rPr>
          <w:rFonts w:ascii="Times New Roman" w:hAnsi="Times New Roman" w:cs="Times New Roman"/>
          <w:sz w:val="16"/>
          <w:szCs w:val="16"/>
        </w:rPr>
        <w:t>LVEF, left ventricular ejection fraction; ECG, electrocardiogram; DVH, dose-volume histogram; LAD, left anterior descending artery; EUD, equivalent uniform dose; LV, left ventricle; RV, right ventricle; RT, radiotherapy; 3DCRT, 3-dimensional conformal radiotherapy; DIBH, deep inspiration breath-hold; LAHW, left anterior heart wall; OR, odds ratio; CI, confidence interval; MHD, mean heart dose; GLS, global longitudinal strain; CTRCD, cancer therapy-related cardiac dysfunction; IMRT, intensity-modulated radiotherapy; VMAT, volumetric modulated arc therapy; fx, fractions; IMN-RT, internal mammary node radiotherapy; IMN, internal mammary nodes; RA, right atrium; RCA, right coronary artery; ACE, acute coronary event; adj, adjuvant; HFRT, hypofractionated radiotherapy; FB, free breathing; NTCP, normal tissue complication probability; CAD, coronary artery disease; ASA, acetylsalicylic acid; SPECT, single photon emission computed tomography; BCS, breast-conserving surgery; MACE, major adverse cardiac events; CABG, coronary artery bypass grafting; HF, heart failure; RNI, regional nodal irradiation; IMC, internal mammary chain; Dmean, mean dose; Dmax, maximum dose; V5/V10/etc., volume receiving ≥5/10 Gy etc.; EQD2, 2-Gy equivalent dose; CHF, congestive heart failure; MI, myocardial infarction; EMR, electronic medical record; TPS, treatment planning system; CW, chest wall; SIB, simultaneous integrated boost.</w:t>
      </w:r>
    </w:p>
    <w:p w14:paraId="5D974AB5" w14:textId="64A2CBAA" w:rsidR="00804D19" w:rsidRPr="00B41B6C" w:rsidRDefault="00804D19" w:rsidP="00C3796B">
      <w:pPr>
        <w:rPr>
          <w:rFonts w:ascii="Times New Roman" w:hAnsi="Times New Roman" w:cs="Times New Roman"/>
        </w:rPr>
      </w:pPr>
      <w:r w:rsidRPr="00B41B6C">
        <w:rPr>
          <w:rFonts w:ascii="Times New Roman" w:hAnsi="Times New Roman" w:cs="Times New Roman"/>
          <w:b/>
          <w:bCs/>
        </w:rPr>
        <w:t xml:space="preserve">Table </w:t>
      </w:r>
      <w:r w:rsidR="0005091E">
        <w:rPr>
          <w:rFonts w:ascii="Times New Roman" w:hAnsi="Times New Roman" w:cs="Times New Roman"/>
          <w:b/>
          <w:bCs/>
        </w:rPr>
        <w:t>1</w:t>
      </w:r>
      <w:r w:rsidR="00B41B6C" w:rsidRPr="00B41B6C">
        <w:rPr>
          <w:rFonts w:ascii="Times New Roman" w:hAnsi="Times New Roman" w:cs="Times New Roman"/>
          <w:b/>
          <w:bCs/>
        </w:rPr>
        <w:t>.</w:t>
      </w:r>
      <w:r w:rsidRPr="00B41B6C">
        <w:rPr>
          <w:rFonts w:ascii="Times New Roman" w:hAnsi="Times New Roman" w:cs="Times New Roman"/>
        </w:rPr>
        <w:t xml:space="preserve"> Summary of publications focusing </w:t>
      </w:r>
      <w:r w:rsidR="00A0664C" w:rsidRPr="00B41B6C">
        <w:rPr>
          <w:rFonts w:ascii="Times New Roman" w:hAnsi="Times New Roman" w:cs="Times New Roman"/>
        </w:rPr>
        <w:t xml:space="preserve">on </w:t>
      </w:r>
      <w:r w:rsidRPr="00B41B6C">
        <w:rPr>
          <w:rFonts w:ascii="Times New Roman" w:hAnsi="Times New Roman" w:cs="Times New Roman"/>
        </w:rPr>
        <w:t xml:space="preserve">radiation-induced heart toxicity </w:t>
      </w:r>
      <w:r w:rsidR="00A0664C" w:rsidRPr="00B41B6C">
        <w:rPr>
          <w:rFonts w:ascii="Times New Roman" w:hAnsi="Times New Roman" w:cs="Times New Roman"/>
        </w:rPr>
        <w:t xml:space="preserve">in breast cancer </w:t>
      </w:r>
      <w:r w:rsidRPr="00B41B6C">
        <w:rPr>
          <w:rFonts w:ascii="Times New Roman" w:hAnsi="Times New Roman" w:cs="Times New Roman"/>
        </w:rPr>
        <w:t>based on several findings, and deduced doses for heart and subvolumes</w:t>
      </w:r>
    </w:p>
    <w:p w14:paraId="251B94C6" w14:textId="77777777" w:rsidR="00E35A3F" w:rsidRPr="00B41B6C" w:rsidRDefault="00E35A3F" w:rsidP="00C3796B">
      <w:pPr>
        <w:rPr>
          <w:rFonts w:ascii="Times New Roman" w:hAnsi="Times New Roman" w:cs="Times New Roman"/>
        </w:rPr>
      </w:pPr>
    </w:p>
    <w:sectPr w:rsidR="00E35A3F" w:rsidRPr="00B41B6C" w:rsidSect="00584505">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96C77"/>
    <w:multiLevelType w:val="multilevel"/>
    <w:tmpl w:val="A43C30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0B66B4"/>
    <w:multiLevelType w:val="multilevel"/>
    <w:tmpl w:val="ABFA26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320DB2"/>
    <w:multiLevelType w:val="multilevel"/>
    <w:tmpl w:val="2916B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3715EF"/>
    <w:multiLevelType w:val="multilevel"/>
    <w:tmpl w:val="644C23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CB7D7F"/>
    <w:multiLevelType w:val="multilevel"/>
    <w:tmpl w:val="AC76BD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ED5E41"/>
    <w:multiLevelType w:val="multilevel"/>
    <w:tmpl w:val="7C206E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8142E3"/>
    <w:multiLevelType w:val="multilevel"/>
    <w:tmpl w:val="A268FA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651FA2"/>
    <w:multiLevelType w:val="multilevel"/>
    <w:tmpl w:val="680E76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CE357C"/>
    <w:multiLevelType w:val="multilevel"/>
    <w:tmpl w:val="1C9E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3D0F21"/>
    <w:multiLevelType w:val="multilevel"/>
    <w:tmpl w:val="48B6B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6936629">
    <w:abstractNumId w:val="8"/>
  </w:num>
  <w:num w:numId="2" w16cid:durableId="288165619">
    <w:abstractNumId w:val="3"/>
  </w:num>
  <w:num w:numId="3" w16cid:durableId="375590314">
    <w:abstractNumId w:val="2"/>
  </w:num>
  <w:num w:numId="4" w16cid:durableId="343021538">
    <w:abstractNumId w:val="7"/>
  </w:num>
  <w:num w:numId="5" w16cid:durableId="1191380185">
    <w:abstractNumId w:val="6"/>
  </w:num>
  <w:num w:numId="6" w16cid:durableId="926764702">
    <w:abstractNumId w:val="1"/>
  </w:num>
  <w:num w:numId="7" w16cid:durableId="303313132">
    <w:abstractNumId w:val="4"/>
  </w:num>
  <w:num w:numId="8" w16cid:durableId="219053908">
    <w:abstractNumId w:val="0"/>
  </w:num>
  <w:num w:numId="9" w16cid:durableId="974795690">
    <w:abstractNumId w:val="9"/>
  </w:num>
  <w:num w:numId="10" w16cid:durableId="892690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505"/>
    <w:rsid w:val="00044F67"/>
    <w:rsid w:val="0005091E"/>
    <w:rsid w:val="000E066A"/>
    <w:rsid w:val="000F24EF"/>
    <w:rsid w:val="001070B5"/>
    <w:rsid w:val="001122E8"/>
    <w:rsid w:val="0018011A"/>
    <w:rsid w:val="001A36E4"/>
    <w:rsid w:val="00225F17"/>
    <w:rsid w:val="00234DFA"/>
    <w:rsid w:val="002C28B0"/>
    <w:rsid w:val="003A08BC"/>
    <w:rsid w:val="003A7DC9"/>
    <w:rsid w:val="003C569D"/>
    <w:rsid w:val="003E2A23"/>
    <w:rsid w:val="00432325"/>
    <w:rsid w:val="0044678A"/>
    <w:rsid w:val="00460E25"/>
    <w:rsid w:val="00555FBC"/>
    <w:rsid w:val="00584505"/>
    <w:rsid w:val="005A6FB5"/>
    <w:rsid w:val="0061699E"/>
    <w:rsid w:val="0066418B"/>
    <w:rsid w:val="00666591"/>
    <w:rsid w:val="00693DE8"/>
    <w:rsid w:val="006B0B7E"/>
    <w:rsid w:val="006C56E9"/>
    <w:rsid w:val="00707558"/>
    <w:rsid w:val="007260F1"/>
    <w:rsid w:val="00744E0F"/>
    <w:rsid w:val="0075051D"/>
    <w:rsid w:val="007B63DB"/>
    <w:rsid w:val="007D6E03"/>
    <w:rsid w:val="00804D19"/>
    <w:rsid w:val="00810A13"/>
    <w:rsid w:val="008B2CD5"/>
    <w:rsid w:val="008D7B17"/>
    <w:rsid w:val="0096072C"/>
    <w:rsid w:val="009854D3"/>
    <w:rsid w:val="009B04BB"/>
    <w:rsid w:val="009E6C36"/>
    <w:rsid w:val="00A04219"/>
    <w:rsid w:val="00A0664C"/>
    <w:rsid w:val="00A70E6F"/>
    <w:rsid w:val="00AB2D10"/>
    <w:rsid w:val="00B304BD"/>
    <w:rsid w:val="00B328FF"/>
    <w:rsid w:val="00B41B6C"/>
    <w:rsid w:val="00B933E2"/>
    <w:rsid w:val="00BC7D9A"/>
    <w:rsid w:val="00C23D51"/>
    <w:rsid w:val="00C3796B"/>
    <w:rsid w:val="00D31867"/>
    <w:rsid w:val="00DF0842"/>
    <w:rsid w:val="00E35A3F"/>
    <w:rsid w:val="00E7405D"/>
    <w:rsid w:val="00E815C9"/>
    <w:rsid w:val="00EE28D1"/>
    <w:rsid w:val="00F07CF5"/>
    <w:rsid w:val="00F235C8"/>
    <w:rsid w:val="00F502C6"/>
    <w:rsid w:val="00F70054"/>
    <w:rsid w:val="00FC63FF"/>
    <w:rsid w:val="00FD0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4FBDC"/>
  <w15:chartTrackingRefBased/>
  <w15:docId w15:val="{41E362C2-D445-4670-A4E5-46697900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845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845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8450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8450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8450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8450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8450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8450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8450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8450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8450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8450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8450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8450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8450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8450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8450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84505"/>
    <w:rPr>
      <w:rFonts w:eastAsiaTheme="majorEastAsia" w:cstheme="majorBidi"/>
      <w:color w:val="272727" w:themeColor="text1" w:themeTint="D8"/>
    </w:rPr>
  </w:style>
  <w:style w:type="paragraph" w:styleId="Titolo">
    <w:name w:val="Title"/>
    <w:basedOn w:val="Normale"/>
    <w:next w:val="Normale"/>
    <w:link w:val="TitoloCarattere"/>
    <w:uiPriority w:val="10"/>
    <w:qFormat/>
    <w:rsid w:val="00584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8450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8450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8450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8450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84505"/>
    <w:rPr>
      <w:i/>
      <w:iCs/>
      <w:color w:val="404040" w:themeColor="text1" w:themeTint="BF"/>
    </w:rPr>
  </w:style>
  <w:style w:type="paragraph" w:styleId="Paragrafoelenco">
    <w:name w:val="List Paragraph"/>
    <w:basedOn w:val="Normale"/>
    <w:uiPriority w:val="34"/>
    <w:qFormat/>
    <w:rsid w:val="00584505"/>
    <w:pPr>
      <w:ind w:left="720"/>
      <w:contextualSpacing/>
    </w:pPr>
  </w:style>
  <w:style w:type="character" w:styleId="Enfasiintensa">
    <w:name w:val="Intense Emphasis"/>
    <w:basedOn w:val="Carpredefinitoparagrafo"/>
    <w:uiPriority w:val="21"/>
    <w:qFormat/>
    <w:rsid w:val="00584505"/>
    <w:rPr>
      <w:i/>
      <w:iCs/>
      <w:color w:val="0F4761" w:themeColor="accent1" w:themeShade="BF"/>
    </w:rPr>
  </w:style>
  <w:style w:type="paragraph" w:styleId="Citazioneintensa">
    <w:name w:val="Intense Quote"/>
    <w:basedOn w:val="Normale"/>
    <w:next w:val="Normale"/>
    <w:link w:val="CitazioneintensaCarattere"/>
    <w:uiPriority w:val="30"/>
    <w:qFormat/>
    <w:rsid w:val="00584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84505"/>
    <w:rPr>
      <w:i/>
      <w:iCs/>
      <w:color w:val="0F4761" w:themeColor="accent1" w:themeShade="BF"/>
    </w:rPr>
  </w:style>
  <w:style w:type="character" w:styleId="Riferimentointenso">
    <w:name w:val="Intense Reference"/>
    <w:basedOn w:val="Carpredefinitoparagrafo"/>
    <w:uiPriority w:val="32"/>
    <w:qFormat/>
    <w:rsid w:val="00584505"/>
    <w:rPr>
      <w:b/>
      <w:bCs/>
      <w:smallCaps/>
      <w:color w:val="0F4761" w:themeColor="accent1" w:themeShade="BF"/>
      <w:spacing w:val="5"/>
    </w:rPr>
  </w:style>
  <w:style w:type="table" w:styleId="Grigliatabella">
    <w:name w:val="Table Grid"/>
    <w:basedOn w:val="Tabellanormale"/>
    <w:uiPriority w:val="39"/>
    <w:rsid w:val="00584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semiHidden/>
    <w:unhideWhenUsed/>
    <w:rsid w:val="009E6C36"/>
    <w:rPr>
      <w:color w:val="467886"/>
      <w:u w:val="single"/>
    </w:rPr>
  </w:style>
  <w:style w:type="table" w:styleId="Tabellagriglia1chiara-colore1">
    <w:name w:val="Grid Table 1 Light Accent 1"/>
    <w:basedOn w:val="Tabellanormale"/>
    <w:uiPriority w:val="46"/>
    <w:rsid w:val="00F235C8"/>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ellagriglia2-colore1">
    <w:name w:val="Grid Table 2 Accent 1"/>
    <w:basedOn w:val="Tabellanormale"/>
    <w:uiPriority w:val="47"/>
    <w:rsid w:val="00F235C8"/>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lagriglia6acolori-colore1">
    <w:name w:val="Grid Table 6 Colorful Accent 1"/>
    <w:basedOn w:val="Tabellanormale"/>
    <w:uiPriority w:val="51"/>
    <w:rsid w:val="00F235C8"/>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laelenco2-colore4">
    <w:name w:val="List Table 2 Accent 4"/>
    <w:basedOn w:val="Tabellanormale"/>
    <w:uiPriority w:val="47"/>
    <w:rsid w:val="00707558"/>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4F770-E6C9-4C97-9C16-AFA972C87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Pages>
  <Words>2288</Words>
  <Characters>13044</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Giusto</dc:creator>
  <cp:keywords/>
  <dc:description/>
  <cp:lastModifiedBy>E Giusto</cp:lastModifiedBy>
  <cp:revision>58</cp:revision>
  <dcterms:created xsi:type="dcterms:W3CDTF">2026-01-08T13:48:00Z</dcterms:created>
  <dcterms:modified xsi:type="dcterms:W3CDTF">2026-05-22T07:39:00Z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9d7b7318-8718-4b2c-8f18-2c872ebf83f9</vt:lpwstr>
  </property>
</Properties>
</file>