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BCBAC" w14:textId="530CA579" w:rsidR="000412C1" w:rsidRPr="004F2E03" w:rsidRDefault="00F709D2" w:rsidP="000412C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0412C1" w:rsidRPr="004F2E03">
        <w:rPr>
          <w:rFonts w:ascii="Arial" w:hAnsi="Arial" w:cs="Arial"/>
          <w:b/>
          <w:bCs/>
        </w:rPr>
        <w:t>Supplementary data</w:t>
      </w:r>
    </w:p>
    <w:p w14:paraId="1A918AC9" w14:textId="77777777" w:rsidR="000412C1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  <w:r w:rsidRPr="004F2E03">
        <w:rPr>
          <w:rFonts w:ascii="Arial" w:hAnsi="Arial" w:cs="Arial"/>
          <w:b/>
          <w:bCs/>
        </w:rPr>
        <w:t>Supplementary Figure 1. Enkephalin is release from D2-expressing medium spiny neurons in the ASt.</w:t>
      </w:r>
    </w:p>
    <w:p w14:paraId="1AD07480" w14:textId="66B2E55C" w:rsidR="000412C1" w:rsidRPr="00F5521D" w:rsidRDefault="008B2286" w:rsidP="000412C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none"/>
        </w:rPr>
        <w:drawing>
          <wp:inline distT="0" distB="0" distL="0" distR="0" wp14:anchorId="78009D3E" wp14:editId="346D7875">
            <wp:extent cx="5731510" cy="1581150"/>
            <wp:effectExtent l="0" t="0" r="0" b="0"/>
            <wp:docPr id="212204326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4326" name="Graphic 212204326"/>
                    <pic:cNvPicPr/>
                  </pic:nvPicPr>
                  <pic:blipFill rotWithShape="1"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b="7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BB3C8" w14:textId="77777777" w:rsidR="00F5521D" w:rsidRPr="003C4BE0" w:rsidRDefault="00F5521D" w:rsidP="00F5521D">
      <w:pPr>
        <w:spacing w:line="360" w:lineRule="auto"/>
        <w:jc w:val="both"/>
        <w:rPr>
          <w:rFonts w:ascii="Arial" w:hAnsi="Arial" w:cs="Arial"/>
          <w:b/>
          <w:bCs/>
        </w:rPr>
      </w:pPr>
      <w:r w:rsidRPr="00F5521D">
        <w:rPr>
          <w:rFonts w:ascii="Arial" w:hAnsi="Arial" w:cs="Arial"/>
          <w:b/>
          <w:bCs/>
        </w:rPr>
        <w:t xml:space="preserve">(A) </w:t>
      </w:r>
      <w:r w:rsidRPr="00F5521D">
        <w:rPr>
          <w:rFonts w:ascii="Arial" w:hAnsi="Arial" w:cs="Arial"/>
        </w:rPr>
        <w:t>Representative ΔF/F</w:t>
      </w:r>
      <w:r w:rsidRPr="00F5521D">
        <w:rPr>
          <w:rFonts w:ascii="Arial" w:hAnsi="Arial" w:cs="Arial"/>
          <w:vertAlign w:val="subscript"/>
        </w:rPr>
        <w:t xml:space="preserve">0 </w:t>
      </w:r>
      <w:r w:rsidRPr="00F5521D">
        <w:rPr>
          <w:rFonts w:ascii="Arial" w:hAnsi="Arial" w:cs="Arial"/>
        </w:rPr>
        <w:t>δlight1.1 fluorescence responses evoked by optical stimulation of MGN terminals (100 pulses, 50 Hz) measured in the ASt</w:t>
      </w:r>
      <w:r>
        <w:rPr>
          <w:rFonts w:ascii="Arial" w:hAnsi="Arial" w:cs="Arial"/>
        </w:rPr>
        <w:t xml:space="preserve"> under baseline conditions and during Quinpirole (10 μM) and Raclopride (10 μM) application. </w:t>
      </w:r>
      <w:r>
        <w:rPr>
          <w:rFonts w:ascii="Arial" w:hAnsi="Arial" w:cs="Arial"/>
          <w:b/>
          <w:bCs/>
        </w:rPr>
        <w:t>(</w:t>
      </w:r>
      <w:r w:rsidR="000412C1" w:rsidRPr="00F5521D">
        <w:rPr>
          <w:rFonts w:ascii="Arial" w:hAnsi="Arial" w:cs="Arial"/>
          <w:b/>
          <w:bCs/>
        </w:rPr>
        <w:t>B)</w:t>
      </w:r>
      <w:r w:rsidR="000412C1" w:rsidRPr="00F55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Bar chart showing peak evoked </w:t>
      </w:r>
      <w:r w:rsidRPr="00BB4BCC">
        <w:rPr>
          <w:rFonts w:ascii="Arial" w:hAnsi="Arial" w:cs="Arial"/>
        </w:rPr>
        <w:t>ΔF/F</w:t>
      </w:r>
      <w:r w:rsidRPr="00BB4BCC"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  <w:vertAlign w:val="subscript"/>
        </w:rPr>
        <w:t xml:space="preserve"> </w:t>
      </w:r>
      <w:r>
        <w:rPr>
          <w:rFonts w:ascii="Arial" w:hAnsi="Arial" w:cs="Arial"/>
        </w:rPr>
        <w:t>quantified as the average fluorescence during the first 8 imaging frames following optical stimulation in the ASt under baseline conditions and during quinpirole and raclopride application</w:t>
      </w:r>
      <w:r w:rsidRPr="00F552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(two tailed paired Student’s t-test; baseline vs quinpirole, P = 0.01; quinpirole vs raclopride, P = 0.038; baseline vs naloxone, P = 0.009). Data represented as mean ± S.E.M with individual data points. * P &lt; 0.05, **P &lt; 0.01.</w:t>
      </w:r>
    </w:p>
    <w:p w14:paraId="4A120FB7" w14:textId="718D0361" w:rsidR="000412C1" w:rsidRPr="00F5521D" w:rsidRDefault="000412C1" w:rsidP="00F5521D">
      <w:pPr>
        <w:spacing w:line="360" w:lineRule="auto"/>
        <w:jc w:val="both"/>
        <w:rPr>
          <w:rFonts w:ascii="Arial" w:hAnsi="Arial" w:cs="Arial"/>
        </w:rPr>
      </w:pPr>
    </w:p>
    <w:p w14:paraId="31F1C8AE" w14:textId="3F907C01" w:rsidR="000412C1" w:rsidRPr="004F2E03" w:rsidRDefault="000412C1" w:rsidP="000412C1">
      <w:pPr>
        <w:spacing w:line="360" w:lineRule="auto"/>
        <w:jc w:val="both"/>
        <w:rPr>
          <w:rFonts w:ascii="Arial" w:hAnsi="Arial" w:cs="Arial"/>
        </w:rPr>
      </w:pPr>
      <w:r w:rsidRPr="004F2E03">
        <w:rPr>
          <w:rFonts w:ascii="Arial" w:hAnsi="Arial" w:cs="Arial"/>
          <w:b/>
          <w:bCs/>
        </w:rPr>
        <w:lastRenderedPageBreak/>
        <w:t>Supplementary Figure 2. Injection sites for ChR2-GFP and ChrimsonR-TdT</w:t>
      </w:r>
      <w:r w:rsidR="00F5521D">
        <w:rPr>
          <w:rFonts w:ascii="Arial" w:hAnsi="Arial" w:cs="Arial"/>
          <w:b/>
          <w:bCs/>
        </w:rPr>
        <w:t xml:space="preserve"> in the MGN</w:t>
      </w: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19FF898" wp14:editId="376A45EE">
            <wp:simplePos x="0" y="0"/>
            <wp:positionH relativeFrom="column">
              <wp:posOffset>0</wp:posOffset>
            </wp:positionH>
            <wp:positionV relativeFrom="paragraph">
              <wp:posOffset>523875</wp:posOffset>
            </wp:positionV>
            <wp:extent cx="5731510" cy="5353050"/>
            <wp:effectExtent l="0" t="0" r="0" b="0"/>
            <wp:wrapTopAndBottom/>
            <wp:docPr id="768682693" name="Graphic 9" descr="P238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82693" name="Graphic 9" descr="P238#yIS1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b="20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5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3AC95F3" w14:textId="1972DB15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  <w:r w:rsidRPr="004F2E03">
        <w:rPr>
          <w:rFonts w:ascii="Arial" w:hAnsi="Arial" w:cs="Arial"/>
          <w:b/>
          <w:bCs/>
        </w:rPr>
        <w:t xml:space="preserve">(A-B) </w:t>
      </w:r>
      <w:r w:rsidR="00F5521D" w:rsidRPr="00FE2B02">
        <w:rPr>
          <w:rFonts w:ascii="Arial" w:hAnsi="Arial" w:cs="Arial"/>
        </w:rPr>
        <w:t xml:space="preserve">Summary of </w:t>
      </w:r>
      <w:r w:rsidR="00F5521D">
        <w:rPr>
          <w:rFonts w:ascii="Arial" w:hAnsi="Arial" w:cs="Arial"/>
          <w:b/>
          <w:bCs/>
        </w:rPr>
        <w:t>(A)</w:t>
      </w:r>
      <w:r w:rsidR="00F5521D">
        <w:rPr>
          <w:rFonts w:ascii="Arial" w:hAnsi="Arial" w:cs="Arial"/>
        </w:rPr>
        <w:t xml:space="preserve"> ChR2-GFP and </w:t>
      </w:r>
      <w:r w:rsidR="00F5521D">
        <w:rPr>
          <w:rFonts w:ascii="Arial" w:hAnsi="Arial" w:cs="Arial"/>
          <w:b/>
          <w:bCs/>
        </w:rPr>
        <w:t>(B)</w:t>
      </w:r>
      <w:r w:rsidR="00F5521D">
        <w:rPr>
          <w:rFonts w:ascii="Arial" w:hAnsi="Arial" w:cs="Arial"/>
        </w:rPr>
        <w:t xml:space="preserve"> ChrimsonR-tdT injection sites</w:t>
      </w:r>
      <w:r w:rsidR="00F5521D" w:rsidRPr="00FE2B02">
        <w:rPr>
          <w:rFonts w:ascii="Arial" w:hAnsi="Arial" w:cs="Arial"/>
        </w:rPr>
        <w:t xml:space="preserve"> and fibre tip locations across animals all animals</w:t>
      </w:r>
      <w:r w:rsidR="00F5521D">
        <w:rPr>
          <w:rFonts w:ascii="Arial" w:hAnsi="Arial" w:cs="Arial"/>
        </w:rPr>
        <w:t xml:space="preserve"> at different bregma coordinates.</w:t>
      </w:r>
      <w:r>
        <w:rPr>
          <w:rFonts w:ascii="Arial" w:hAnsi="Arial" w:cs="Arial"/>
        </w:rPr>
        <w:t xml:space="preserve"> Dark colours indicate regions of high cell body expression. </w:t>
      </w:r>
    </w:p>
    <w:p w14:paraId="2F0163D8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636023C4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7A490F49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5FDC51BD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2238A0FF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7185083D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1799EF71" w14:textId="77777777" w:rsidR="000412C1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Supplementary Figure 3. ASt enkephalinergic sends processes towards the LA</w:t>
      </w:r>
    </w:p>
    <w:p w14:paraId="0E32723B" w14:textId="77777777" w:rsidR="00430224" w:rsidRDefault="00430224" w:rsidP="000412C1">
      <w:pPr>
        <w:spacing w:line="360" w:lineRule="auto"/>
        <w:jc w:val="both"/>
        <w:rPr>
          <w:rFonts w:ascii="Arial" w:hAnsi="Arial" w:cs="Arial"/>
          <w:b/>
          <w:bCs/>
          <w:noProof/>
          <w14:ligatures w14:val="none"/>
        </w:rPr>
      </w:pPr>
    </w:p>
    <w:p w14:paraId="07838F75" w14:textId="446C6A2F" w:rsidR="000412C1" w:rsidRDefault="00430224" w:rsidP="000412C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none"/>
        </w:rPr>
        <w:drawing>
          <wp:inline distT="0" distB="0" distL="0" distR="0" wp14:anchorId="6B68A657" wp14:editId="3401CEEF">
            <wp:extent cx="5731510" cy="1476375"/>
            <wp:effectExtent l="0" t="0" r="0" b="0"/>
            <wp:docPr id="196386687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6687" name="Graphic 196386687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b="7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320F7" w14:textId="7B4FBA98" w:rsidR="000412C1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  <w:r w:rsidRPr="00BB4BC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BB4BCC">
        <w:rPr>
          <w:rFonts w:ascii="Arial" w:hAnsi="Arial" w:cs="Arial"/>
          <w:b/>
          <w:bCs/>
        </w:rPr>
        <w:t>)</w:t>
      </w:r>
      <w:r w:rsidRPr="00BB4BCC">
        <w:rPr>
          <w:rFonts w:ascii="Arial" w:hAnsi="Arial" w:cs="Arial"/>
        </w:rPr>
        <w:t xml:space="preserve"> Schematic diagram indicating recording locations for ASt MSNs. </w:t>
      </w:r>
      <w:r w:rsidRPr="00BB4BC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B</w:t>
      </w:r>
      <w:r w:rsidRPr="00BB4BCC">
        <w:rPr>
          <w:rFonts w:ascii="Arial" w:hAnsi="Arial" w:cs="Arial"/>
          <w:b/>
          <w:bCs/>
        </w:rPr>
        <w:t>)</w:t>
      </w:r>
      <w:r w:rsidRPr="00BB4BCC">
        <w:rPr>
          <w:rFonts w:ascii="Arial" w:hAnsi="Arial" w:cs="Arial"/>
          <w:i/>
          <w:iCs/>
        </w:rPr>
        <w:t xml:space="preserve"> </w:t>
      </w:r>
      <w:r w:rsidR="00F5521D">
        <w:rPr>
          <w:rFonts w:ascii="Arial" w:hAnsi="Arial" w:cs="Arial"/>
        </w:rPr>
        <w:t xml:space="preserve">Representative </w:t>
      </w:r>
      <w:r w:rsidRPr="00BB4BCC">
        <w:rPr>
          <w:rFonts w:ascii="Arial" w:hAnsi="Arial" w:cs="Arial"/>
        </w:rPr>
        <w:t>confocal images of met-enkephalin</w:t>
      </w:r>
      <w:r w:rsidR="00F5521D">
        <w:rPr>
          <w:rFonts w:ascii="Arial" w:hAnsi="Arial" w:cs="Arial"/>
        </w:rPr>
        <w:t xml:space="preserve"> immunoreactivity</w:t>
      </w:r>
      <w:r w:rsidRPr="00BB4BCC">
        <w:rPr>
          <w:rFonts w:ascii="Arial" w:hAnsi="Arial" w:cs="Arial"/>
        </w:rPr>
        <w:t xml:space="preserve"> (green) and biocytin-labelled MSN (purple). </w:t>
      </w:r>
      <w:r w:rsidR="00F5521D">
        <w:rPr>
          <w:rFonts w:ascii="Arial" w:hAnsi="Arial" w:cs="Arial"/>
        </w:rPr>
        <w:t>Representative i</w:t>
      </w:r>
      <w:r w:rsidRPr="00BB4BCC">
        <w:rPr>
          <w:rFonts w:ascii="Arial" w:hAnsi="Arial" w:cs="Arial"/>
        </w:rPr>
        <w:t>mage show</w:t>
      </w:r>
      <w:r w:rsidR="00F5521D">
        <w:rPr>
          <w:rFonts w:ascii="Arial" w:hAnsi="Arial" w:cs="Arial"/>
        </w:rPr>
        <w:t>ing</w:t>
      </w:r>
      <w:r w:rsidRPr="00BB4BCC">
        <w:rPr>
          <w:rFonts w:ascii="Arial" w:hAnsi="Arial" w:cs="Arial"/>
        </w:rPr>
        <w:t xml:space="preserve"> met-enkephalin immunoreactivity around the biocytin-labelled cell. </w:t>
      </w:r>
      <w:r w:rsidR="00F5521D">
        <w:rPr>
          <w:rFonts w:ascii="Arial" w:hAnsi="Arial" w:cs="Arial"/>
        </w:rPr>
        <w:t xml:space="preserve">Image of the boxed area </w:t>
      </w:r>
      <w:r w:rsidRPr="00BB4BCC">
        <w:rPr>
          <w:rFonts w:ascii="Arial" w:hAnsi="Arial" w:cs="Arial"/>
        </w:rPr>
        <w:t xml:space="preserve">reveals dendritic spines and co-localisation of biocytin with met-enkephalin. </w:t>
      </w:r>
      <w:r w:rsidRPr="00BB4BC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C</w:t>
      </w:r>
      <w:r w:rsidRPr="00BB4BCC">
        <w:rPr>
          <w:rFonts w:ascii="Arial" w:hAnsi="Arial" w:cs="Arial"/>
          <w:b/>
          <w:bCs/>
        </w:rPr>
        <w:t xml:space="preserve">) </w:t>
      </w:r>
      <w:r w:rsidRPr="00BB4BCC">
        <w:rPr>
          <w:rFonts w:ascii="Arial" w:hAnsi="Arial" w:cs="Arial"/>
        </w:rPr>
        <w:t>Left: pie chart indicating 8/15 biocytin-filled neurones were met-enkephalin positive. Right: Venn diagram indicating the proportion of met-enkephalin positive neurones and their dendritic projection targets (4/15 terminating in the LA, 6/15 terminating at the ASt-LA border).</w:t>
      </w:r>
      <w:r w:rsidRPr="00BB4BCC">
        <w:rPr>
          <w:rFonts w:ascii="Arial" w:hAnsi="Arial" w:cs="Arial"/>
          <w:b/>
          <w:bCs/>
        </w:rPr>
        <w:t xml:space="preserve"> </w:t>
      </w:r>
    </w:p>
    <w:p w14:paraId="27B49D0B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56F96565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38B3A896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5F57549D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3455E7DF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5EAD31DF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355F2C60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1F363C17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7EABF054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252FCCA4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35CA6873" w14:textId="77777777" w:rsidR="000412C1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2E1D70FF" w14:textId="77777777" w:rsidR="000412C1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</w:t>
      </w:r>
      <w:r w:rsidRPr="004F2E03">
        <w:rPr>
          <w:rFonts w:ascii="Arial" w:hAnsi="Arial" w:cs="Arial"/>
          <w:b/>
          <w:bCs/>
        </w:rPr>
        <w:t xml:space="preserve">upplementary Figure </w:t>
      </w:r>
      <w:r>
        <w:rPr>
          <w:rFonts w:ascii="Arial" w:hAnsi="Arial" w:cs="Arial"/>
          <w:b/>
          <w:bCs/>
        </w:rPr>
        <w:t>4</w:t>
      </w:r>
      <w:r w:rsidRPr="004F2E03">
        <w:rPr>
          <w:rFonts w:ascii="Arial" w:hAnsi="Arial" w:cs="Arial"/>
          <w:b/>
          <w:bCs/>
        </w:rPr>
        <w:t>. PENK knockdown is specific to the injection site in the ASt</w:t>
      </w:r>
    </w:p>
    <w:p w14:paraId="3A84A979" w14:textId="760DA460" w:rsidR="000412C1" w:rsidRPr="004F2E03" w:rsidRDefault="00F0702E" w:rsidP="000412C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none"/>
        </w:rPr>
        <w:drawing>
          <wp:inline distT="0" distB="0" distL="0" distR="0" wp14:anchorId="655BD3D8" wp14:editId="661606BE">
            <wp:extent cx="5731510" cy="1390650"/>
            <wp:effectExtent l="0" t="0" r="0" b="0"/>
            <wp:docPr id="2046746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4623" name="Graphic 204674623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b="79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6661B3" w14:textId="3EC94301" w:rsidR="000412C1" w:rsidRPr="00AD1673" w:rsidRDefault="000412C1" w:rsidP="000412C1">
      <w:pPr>
        <w:spacing w:line="360" w:lineRule="auto"/>
        <w:jc w:val="both"/>
        <w:rPr>
          <w:rFonts w:ascii="Arial" w:hAnsi="Arial" w:cs="Arial"/>
        </w:rPr>
      </w:pPr>
      <w:r w:rsidRPr="00AD1673">
        <w:rPr>
          <w:rFonts w:ascii="Arial" w:hAnsi="Arial" w:cs="Arial"/>
          <w:b/>
          <w:bCs/>
        </w:rPr>
        <w:t>(A</w:t>
      </w:r>
      <w:r>
        <w:rPr>
          <w:rFonts w:ascii="Arial" w:hAnsi="Arial" w:cs="Arial"/>
        </w:rPr>
        <w:t xml:space="preserve">) </w:t>
      </w:r>
      <w:r w:rsidR="00F5521D">
        <w:rPr>
          <w:rFonts w:ascii="Arial" w:hAnsi="Arial" w:cs="Arial"/>
        </w:rPr>
        <w:t>Bar g</w:t>
      </w:r>
      <w:r w:rsidRPr="00AD1673">
        <w:rPr>
          <w:rFonts w:ascii="Arial" w:hAnsi="Arial" w:cs="Arial"/>
        </w:rPr>
        <w:t xml:space="preserve">raph showing </w:t>
      </w:r>
      <w:r w:rsidR="00F5521D">
        <w:rPr>
          <w:rFonts w:ascii="Arial" w:hAnsi="Arial" w:cs="Arial"/>
        </w:rPr>
        <w:t>mean gray value</w:t>
      </w:r>
      <w:r w:rsidR="00F0702E">
        <w:rPr>
          <w:rFonts w:ascii="Arial" w:hAnsi="Arial" w:cs="Arial"/>
        </w:rPr>
        <w:t xml:space="preserve"> of met-enkephalin immunoreactivity </w:t>
      </w:r>
      <w:r w:rsidRPr="00AD1673">
        <w:rPr>
          <w:rFonts w:ascii="Arial" w:hAnsi="Arial" w:cs="Arial"/>
        </w:rPr>
        <w:t xml:space="preserve">as measured in the ASt across the rostral-caudal range and in the striatum and CeA. </w:t>
      </w:r>
      <w:r w:rsidRPr="00AD1673">
        <w:rPr>
          <w:rFonts w:ascii="Arial" w:hAnsi="Arial" w:cs="Arial"/>
          <w:b/>
          <w:bCs/>
        </w:rPr>
        <w:t>(B)</w:t>
      </w:r>
      <w:r w:rsidRPr="00AD1673">
        <w:rPr>
          <w:rFonts w:ascii="Arial" w:hAnsi="Arial" w:cs="Arial"/>
        </w:rPr>
        <w:t xml:space="preserve"> Correlation analysis between % of enkephalin knockdown and peak ΔF/F</w:t>
      </w:r>
      <w:r w:rsidRPr="00AD1673">
        <w:rPr>
          <w:rFonts w:ascii="Arial" w:hAnsi="Arial" w:cs="Arial"/>
          <w:vertAlign w:val="subscript"/>
        </w:rPr>
        <w:t xml:space="preserve">0. </w:t>
      </w:r>
      <w:r w:rsidR="00F5521D">
        <w:rPr>
          <w:rFonts w:ascii="Arial" w:hAnsi="Arial" w:cs="Arial"/>
        </w:rPr>
        <w:t>(</w:t>
      </w:r>
      <w:r w:rsidR="00AE5FCE">
        <w:rPr>
          <w:rFonts w:ascii="Arial" w:hAnsi="Arial" w:cs="Arial"/>
        </w:rPr>
        <w:t xml:space="preserve">Linear regression, β = -0.06, 95% confidence interval -0.09 to -0.03, </w:t>
      </w:r>
      <w:r w:rsidRPr="00AD1673">
        <w:rPr>
          <w:rFonts w:ascii="Arial" w:hAnsi="Arial" w:cs="Arial"/>
        </w:rPr>
        <w:t>R</w:t>
      </w:r>
      <w:r w:rsidRPr="00AD1673">
        <w:rPr>
          <w:rFonts w:ascii="Arial" w:hAnsi="Arial" w:cs="Arial"/>
          <w:vertAlign w:val="superscript"/>
        </w:rPr>
        <w:t>2</w:t>
      </w:r>
      <w:r w:rsidRPr="00AD1673">
        <w:rPr>
          <w:rFonts w:ascii="Arial" w:hAnsi="Arial" w:cs="Arial"/>
        </w:rPr>
        <w:t xml:space="preserve"> = 0.61</w:t>
      </w:r>
      <w:r w:rsidR="00F5521D">
        <w:rPr>
          <w:rFonts w:ascii="Arial" w:hAnsi="Arial" w:cs="Arial"/>
        </w:rPr>
        <w:t>)</w:t>
      </w:r>
    </w:p>
    <w:p w14:paraId="08BEC23C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192E1FBD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19844205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01E581AD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5CAC84BD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616D3E06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36F14439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60D30297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1A174A6D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0A8EFCD6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2A864AED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7CF52DE0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64EDEB06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165E40BD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38E65A4B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7822BB98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6783B9F1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438138FA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4F73B446" w14:textId="77777777" w:rsidR="000412C1" w:rsidRDefault="000412C1" w:rsidP="000412C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Supplementary Figure 5. Functional connection from the VTA to ASt are sparse.</w:t>
      </w:r>
    </w:p>
    <w:p w14:paraId="24D7B906" w14:textId="77777777" w:rsidR="000412C1" w:rsidRDefault="000412C1" w:rsidP="000412C1">
      <w:pPr>
        <w:jc w:val="both"/>
        <w:rPr>
          <w:rFonts w:ascii="Arial" w:hAnsi="Arial" w:cs="Arial"/>
          <w:b/>
          <w:bCs/>
          <w:noProof/>
        </w:rPr>
      </w:pPr>
    </w:p>
    <w:p w14:paraId="02E1DB9F" w14:textId="77777777" w:rsidR="000412C1" w:rsidRDefault="000412C1" w:rsidP="000412C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4C6BC76" wp14:editId="2738AEA5">
            <wp:extent cx="5731510" cy="1343025"/>
            <wp:effectExtent l="0" t="0" r="0" b="0"/>
            <wp:docPr id="1030320784" name="Graphic 3" descr="P284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20784" name="Graphic 3" descr="P284#yIS1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b="79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31E55" w14:textId="11C11BB8" w:rsidR="000412C1" w:rsidRPr="00AD1673" w:rsidRDefault="000412C1" w:rsidP="000412C1">
      <w:pPr>
        <w:jc w:val="both"/>
        <w:rPr>
          <w:rFonts w:ascii="Arial" w:hAnsi="Arial" w:cs="Arial"/>
        </w:rPr>
      </w:pPr>
      <w:r w:rsidRPr="00AD1673">
        <w:rPr>
          <w:rFonts w:ascii="Arial" w:hAnsi="Arial" w:cs="Arial"/>
          <w:b/>
          <w:bCs/>
        </w:rPr>
        <w:t>(A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</w:rPr>
        <w:t xml:space="preserve">Schematic diagram showing injection of ChrimsonR-TdT and recording site in the ASt. </w:t>
      </w:r>
      <w:r>
        <w:rPr>
          <w:rFonts w:ascii="Arial" w:hAnsi="Arial" w:cs="Arial"/>
          <w:b/>
          <w:bCs/>
        </w:rPr>
        <w:t xml:space="preserve">(B) </w:t>
      </w:r>
      <w:r>
        <w:rPr>
          <w:rFonts w:ascii="Arial" w:hAnsi="Arial" w:cs="Arial"/>
        </w:rPr>
        <w:t xml:space="preserve">Example traces showing oEPSC’s from putative ASt MSNs indicating a directly (left) and indirectly (right) connected cell. Black, red and blue traces indicate different stimulations episode from the same recording. Orange bars indicate optical stimulation points. </w:t>
      </w:r>
      <w:r>
        <w:rPr>
          <w:rFonts w:ascii="Arial" w:hAnsi="Arial" w:cs="Arial"/>
          <w:b/>
          <w:bCs/>
        </w:rPr>
        <w:t>(C)</w:t>
      </w:r>
      <w:r>
        <w:rPr>
          <w:rFonts w:ascii="Arial" w:hAnsi="Arial" w:cs="Arial"/>
        </w:rPr>
        <w:t xml:space="preserve"> Pie chart showing number of connected verses non-connected cells. A total of 2 cells shown in </w:t>
      </w:r>
      <w:r w:rsidRPr="00F5521D">
        <w:rPr>
          <w:rFonts w:ascii="Arial" w:hAnsi="Arial" w:cs="Arial"/>
          <w:b/>
          <w:bCs/>
        </w:rPr>
        <w:t>(B)</w:t>
      </w:r>
      <w:r>
        <w:rPr>
          <w:rFonts w:ascii="Arial" w:hAnsi="Arial" w:cs="Arial"/>
        </w:rPr>
        <w:t xml:space="preserve"> were connected ou</w:t>
      </w:r>
      <w:r w:rsidR="00F5521D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of 15 neurons recorded</w:t>
      </w:r>
      <w:r w:rsidR="00F5521D">
        <w:rPr>
          <w:rFonts w:ascii="Arial" w:hAnsi="Arial" w:cs="Arial"/>
        </w:rPr>
        <w:t>.</w:t>
      </w:r>
    </w:p>
    <w:p w14:paraId="4B9F65DE" w14:textId="77777777" w:rsidR="000412C1" w:rsidRPr="004F2E03" w:rsidRDefault="000412C1" w:rsidP="000412C1">
      <w:pPr>
        <w:spacing w:line="360" w:lineRule="auto"/>
        <w:jc w:val="both"/>
        <w:rPr>
          <w:rFonts w:ascii="Arial" w:hAnsi="Arial" w:cs="Arial"/>
        </w:rPr>
      </w:pPr>
    </w:p>
    <w:p w14:paraId="3D13CEF7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3BF7A0FD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25E7D9C9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4A9ABF9F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2DB61B2B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3E3D0362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45B79A5F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2FAA0B33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297C7174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26194563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32879D10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17A14E33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2241B6C6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4E0D7EE7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76CA4DDD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4A1A1158" w14:textId="77777777" w:rsidR="000412C1" w:rsidRDefault="000412C1" w:rsidP="000412C1">
      <w:pPr>
        <w:rPr>
          <w:rFonts w:ascii="Arial" w:hAnsi="Arial" w:cs="Arial"/>
          <w:b/>
          <w:bCs/>
        </w:rPr>
      </w:pPr>
    </w:p>
    <w:p w14:paraId="651832C2" w14:textId="77777777" w:rsidR="000412C1" w:rsidRDefault="000412C1" w:rsidP="000412C1">
      <w:pPr>
        <w:rPr>
          <w:rFonts w:ascii="Arial" w:hAnsi="Arial" w:cs="Arial"/>
          <w:b/>
          <w:bCs/>
        </w:rPr>
      </w:pPr>
      <w:r w:rsidRPr="004F2E03">
        <w:rPr>
          <w:rFonts w:ascii="Arial" w:hAnsi="Arial" w:cs="Arial"/>
          <w:b/>
          <w:bCs/>
        </w:rPr>
        <w:lastRenderedPageBreak/>
        <w:t xml:space="preserve">Supplementary Figure </w:t>
      </w:r>
      <w:r>
        <w:rPr>
          <w:rFonts w:ascii="Arial" w:hAnsi="Arial" w:cs="Arial"/>
          <w:b/>
          <w:bCs/>
        </w:rPr>
        <w:t>6</w:t>
      </w:r>
      <w:r w:rsidRPr="004F2E03">
        <w:rPr>
          <w:rFonts w:ascii="Arial" w:hAnsi="Arial" w:cs="Arial"/>
          <w:b/>
          <w:bCs/>
        </w:rPr>
        <w:t>. Injections sites for ChrimsonR-TDT in the VTA</w:t>
      </w:r>
    </w:p>
    <w:p w14:paraId="6C603BDA" w14:textId="77777777" w:rsidR="000412C1" w:rsidRPr="004F2E03" w:rsidRDefault="000412C1" w:rsidP="000412C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490B720" wp14:editId="7ECE0F87">
            <wp:extent cx="5731510" cy="4457700"/>
            <wp:effectExtent l="0" t="0" r="0" b="0"/>
            <wp:docPr id="20424522" name="Graphic 11" descr="P304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522" name="Graphic 11" descr="P304#yIS1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b="33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C1AC4" w14:textId="743FDE67" w:rsidR="000412C1" w:rsidRPr="004F2E03" w:rsidRDefault="000412C1" w:rsidP="00F0702E">
      <w:pPr>
        <w:spacing w:line="360" w:lineRule="auto"/>
        <w:jc w:val="both"/>
        <w:rPr>
          <w:rFonts w:ascii="Arial" w:hAnsi="Arial" w:cs="Arial"/>
        </w:rPr>
      </w:pPr>
      <w:r w:rsidRPr="004F2E03">
        <w:rPr>
          <w:rFonts w:ascii="Arial" w:hAnsi="Arial" w:cs="Arial"/>
          <w:b/>
          <w:bCs/>
        </w:rPr>
        <w:t>(A</w:t>
      </w:r>
      <w:r w:rsidRPr="004F2E03">
        <w:rPr>
          <w:rFonts w:ascii="Arial" w:hAnsi="Arial" w:cs="Arial"/>
        </w:rPr>
        <w:t xml:space="preserve">) </w:t>
      </w:r>
      <w:r w:rsidR="00F0702E" w:rsidRPr="00FE2B02">
        <w:rPr>
          <w:rFonts w:ascii="Arial" w:hAnsi="Arial" w:cs="Arial"/>
        </w:rPr>
        <w:t xml:space="preserve">Summary of </w:t>
      </w:r>
      <w:r w:rsidR="00F0702E">
        <w:rPr>
          <w:rFonts w:ascii="Arial" w:hAnsi="Arial" w:cs="Arial"/>
        </w:rPr>
        <w:t>ChrimsonR-tdT injection sites</w:t>
      </w:r>
      <w:r w:rsidR="00F0702E" w:rsidRPr="00FE2B02">
        <w:rPr>
          <w:rFonts w:ascii="Arial" w:hAnsi="Arial" w:cs="Arial"/>
        </w:rPr>
        <w:t xml:space="preserve"> and fibre tip locations across animals all animals</w:t>
      </w:r>
      <w:r w:rsidR="00F0702E">
        <w:rPr>
          <w:rFonts w:ascii="Arial" w:hAnsi="Arial" w:cs="Arial"/>
        </w:rPr>
        <w:t xml:space="preserve"> at different bregma coordinates in the VTA. Dark colours indicate regions of high cell body expression.</w:t>
      </w:r>
    </w:p>
    <w:p w14:paraId="2A9BC8A4" w14:textId="77777777" w:rsidR="000412C1" w:rsidRPr="0049701C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56D0396" w14:textId="77777777" w:rsidR="000412C1" w:rsidRPr="0049701C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22F5A53" w14:textId="77777777" w:rsidR="000412C1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DA8EAE8" w14:textId="77777777" w:rsidR="000412C1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448AE6F" w14:textId="77777777" w:rsidR="000412C1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3589E3B" w14:textId="77777777" w:rsidR="000412C1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9BB2954" w14:textId="77777777" w:rsidR="000412C1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C2D6AEE" w14:textId="77777777" w:rsidR="000412C1" w:rsidRPr="0049701C" w:rsidRDefault="000412C1" w:rsidP="000412C1">
      <w:pPr>
        <w:spacing w:line="360" w:lineRule="auto"/>
        <w:jc w:val="both"/>
        <w:rPr>
          <w:rFonts w:ascii="Arial" w:hAnsi="Arial" w:cs="Arial"/>
          <w:b/>
          <w:bCs/>
        </w:rPr>
      </w:pPr>
    </w:p>
    <w:sectPr w:rsidR="000412C1" w:rsidRPr="0049701C" w:rsidSect="00041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F25D4"/>
    <w:multiLevelType w:val="hybridMultilevel"/>
    <w:tmpl w:val="FFCA945E"/>
    <w:lvl w:ilvl="0" w:tplc="51DE4CF6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39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C1"/>
    <w:rsid w:val="000412C1"/>
    <w:rsid w:val="00430224"/>
    <w:rsid w:val="005F2A06"/>
    <w:rsid w:val="008B2286"/>
    <w:rsid w:val="00946643"/>
    <w:rsid w:val="00AC1125"/>
    <w:rsid w:val="00AE3E94"/>
    <w:rsid w:val="00AE5FCE"/>
    <w:rsid w:val="00DE25EB"/>
    <w:rsid w:val="00E54215"/>
    <w:rsid w:val="00F0702E"/>
    <w:rsid w:val="00F5521D"/>
    <w:rsid w:val="00F7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6DE20"/>
  <w15:chartTrackingRefBased/>
  <w15:docId w15:val="{E6D59D0E-DCD5-4E68-BD17-32553C3E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A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2C1"/>
    <w:pPr>
      <w:spacing w:line="278" w:lineRule="auto"/>
    </w:pPr>
    <w:rPr>
      <w:rFonts w:asciiTheme="minorHAnsi" w:hAnsiTheme="minorHAnsi" w:cstheme="minorBid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2C1"/>
    <w:pPr>
      <w:keepNext/>
      <w:keepLines/>
      <w:spacing w:before="360" w:after="80" w:line="264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2C1"/>
    <w:pPr>
      <w:keepNext/>
      <w:keepLines/>
      <w:spacing w:before="160" w:after="80" w:line="264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2C1"/>
    <w:pPr>
      <w:keepNext/>
      <w:keepLines/>
      <w:spacing w:before="160" w:after="80" w:line="264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2C1"/>
    <w:pPr>
      <w:keepNext/>
      <w:keepLines/>
      <w:spacing w:before="80" w:after="40" w:line="264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2C1"/>
    <w:pPr>
      <w:keepNext/>
      <w:keepLines/>
      <w:spacing w:before="80" w:after="40" w:line="264" w:lineRule="auto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2C1"/>
    <w:pPr>
      <w:keepNext/>
      <w:keepLines/>
      <w:spacing w:before="40" w:after="0" w:line="264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2C1"/>
    <w:pPr>
      <w:keepNext/>
      <w:keepLines/>
      <w:spacing w:before="40" w:after="0" w:line="264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2C1"/>
    <w:pPr>
      <w:keepNext/>
      <w:keepLines/>
      <w:spacing w:after="0" w:line="264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2C1"/>
    <w:pPr>
      <w:keepNext/>
      <w:keepLines/>
      <w:spacing w:after="0" w:line="264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2C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2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2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2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2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2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2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041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2C1"/>
    <w:pPr>
      <w:numPr>
        <w:ilvl w:val="1"/>
      </w:numPr>
      <w:spacing w:line="264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0412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2C1"/>
    <w:pPr>
      <w:spacing w:before="160" w:line="264" w:lineRule="auto"/>
      <w:jc w:val="center"/>
    </w:pPr>
    <w:rPr>
      <w:rFonts w:ascii="Arial" w:hAnsi="Arial" w:cs="Arial"/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041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2C1"/>
    <w:pPr>
      <w:spacing w:after="120" w:line="264" w:lineRule="auto"/>
      <w:ind w:left="720"/>
      <w:contextualSpacing/>
    </w:pPr>
    <w:rPr>
      <w:rFonts w:ascii="Arial" w:hAnsi="Arial" w:cs="Arial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041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64" w:lineRule="auto"/>
      <w:ind w:left="864" w:right="864"/>
      <w:jc w:val="center"/>
    </w:pPr>
    <w:rPr>
      <w:rFonts w:ascii="Arial" w:hAnsi="Arial" w:cs="Arial"/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2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6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Wang</dc:creator>
  <cp:keywords/>
  <dc:description/>
  <cp:lastModifiedBy>Roger Wang</cp:lastModifiedBy>
  <cp:revision>6</cp:revision>
  <dcterms:created xsi:type="dcterms:W3CDTF">2026-07-30T01:55:00Z</dcterms:created>
  <dcterms:modified xsi:type="dcterms:W3CDTF">2026-08-05T00:03:00Z</dcterms:modified>
</cp:coreProperties>
</file>