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FE9E3" w14:textId="724A8721" w:rsidR="009527B9" w:rsidRPr="00D84982" w:rsidRDefault="009527B9" w:rsidP="00D84982">
      <w:pPr>
        <w:rPr>
          <w:rFonts w:ascii="Times New Roman" w:hAnsi="Times New Roman" w:cs="Times New Roman"/>
          <w:b/>
          <w:bCs/>
          <w:sz w:val="32"/>
          <w:szCs w:val="32"/>
        </w:rPr>
      </w:pPr>
      <w:r w:rsidRPr="00D84982">
        <w:rPr>
          <w:rFonts w:ascii="Times New Roman" w:hAnsi="Times New Roman" w:cs="Times New Roman"/>
          <w:b/>
          <w:bCs/>
          <w:sz w:val="32"/>
          <w:szCs w:val="32"/>
        </w:rPr>
        <w:t>Electronic Supplementary File</w:t>
      </w:r>
      <w:r w:rsidR="00D84982">
        <w:rPr>
          <w:rFonts w:ascii="Times New Roman" w:hAnsi="Times New Roman" w:cs="Times New Roman"/>
          <w:b/>
          <w:bCs/>
          <w:sz w:val="32"/>
          <w:szCs w:val="32"/>
        </w:rPr>
        <w:t xml:space="preserve"> (ESF)</w:t>
      </w:r>
    </w:p>
    <w:p w14:paraId="4C1D7667" w14:textId="77777777" w:rsidR="00F71F99" w:rsidRDefault="00F71F99" w:rsidP="009C75AB">
      <w:pPr>
        <w:spacing w:after="0" w:line="480" w:lineRule="auto"/>
        <w:ind w:firstLine="720"/>
        <w:jc w:val="both"/>
        <w:rPr>
          <w:b/>
          <w:bCs/>
          <w:sz w:val="40"/>
          <w:szCs w:val="40"/>
        </w:rPr>
      </w:pPr>
    </w:p>
    <w:p w14:paraId="35DC0F32" w14:textId="77777777" w:rsidR="00D219F4" w:rsidRDefault="00D219F4" w:rsidP="00D219F4">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Systems Biology of Gut Microbiome Dysbiosis in Major Depressive Disorder: Functional Microbial Networks Linked to Inflammation, Illness Severity, Recurrence, and Suicidal Behavior</w:t>
      </w:r>
    </w:p>
    <w:p w14:paraId="7EFB6C3E" w14:textId="77777777" w:rsidR="00576A29" w:rsidRPr="00D219F4" w:rsidRDefault="00576A29" w:rsidP="00F71F99">
      <w:pPr>
        <w:spacing w:line="480" w:lineRule="auto"/>
        <w:rPr>
          <w:rFonts w:ascii="Times New Roman" w:hAnsi="Times New Roman" w:cs="Times New Roman"/>
          <w:b/>
          <w:bCs/>
          <w:sz w:val="24"/>
          <w:szCs w:val="24"/>
        </w:rPr>
      </w:pPr>
    </w:p>
    <w:p w14:paraId="1C82B825" w14:textId="173A2221" w:rsidR="00576A29" w:rsidRDefault="00576A29" w:rsidP="00576A29">
      <w:pPr>
        <w:spacing w:after="0" w:line="480" w:lineRule="auto"/>
        <w:rPr>
          <w:rFonts w:ascii="Times New Roman" w:eastAsia="Microsoft YaHei" w:hAnsi="Times New Roman" w:cs="Times New Roman"/>
          <w:sz w:val="24"/>
          <w:szCs w:val="24"/>
        </w:rPr>
      </w:pPr>
      <w:r w:rsidRPr="00EB5173">
        <w:rPr>
          <w:rFonts w:ascii="Times New Roman" w:eastAsia="Microsoft YaHei" w:hAnsi="Times New Roman" w:cs="Times New Roman"/>
          <w:sz w:val="24"/>
          <w:szCs w:val="24"/>
        </w:rPr>
        <w:t>Changyang Meng</w:t>
      </w:r>
      <w:r>
        <w:rPr>
          <w:rFonts w:ascii="Times New Roman" w:eastAsia="Microsoft YaHei" w:hAnsi="Times New Roman" w:cs="Times New Roman"/>
          <w:sz w:val="24"/>
          <w:szCs w:val="24"/>
        </w:rPr>
        <w:t>*</w:t>
      </w:r>
      <w:r w:rsidRPr="00EB5173">
        <w:rPr>
          <w:rFonts w:ascii="Times New Roman" w:eastAsia="Microsoft YaHei" w:hAnsi="Times New Roman" w:cs="Times New Roman"/>
          <w:sz w:val="24"/>
          <w:szCs w:val="24"/>
        </w:rPr>
        <w:t>, Jing Li</w:t>
      </w:r>
      <w:r>
        <w:rPr>
          <w:rFonts w:ascii="Times New Roman" w:eastAsia="Microsoft YaHei" w:hAnsi="Times New Roman" w:cs="Times New Roman"/>
          <w:sz w:val="24"/>
          <w:szCs w:val="24"/>
        </w:rPr>
        <w:t>*</w:t>
      </w:r>
      <w:r w:rsidRPr="00EB5173">
        <w:rPr>
          <w:rFonts w:ascii="Times New Roman" w:eastAsia="Microsoft YaHei" w:hAnsi="Times New Roman" w:cs="Times New Roman"/>
          <w:sz w:val="24"/>
          <w:szCs w:val="24"/>
        </w:rPr>
        <w:t>, Mengqi Niu</w:t>
      </w:r>
      <w:r>
        <w:rPr>
          <w:rFonts w:ascii="Times New Roman" w:eastAsia="Microsoft YaHei" w:hAnsi="Times New Roman" w:cs="Times New Roman"/>
          <w:sz w:val="24"/>
          <w:szCs w:val="24"/>
        </w:rPr>
        <w:t>*</w:t>
      </w:r>
      <w:r w:rsidRPr="00EB5173">
        <w:rPr>
          <w:rFonts w:ascii="Times New Roman" w:eastAsia="Microsoft YaHei" w:hAnsi="Times New Roman" w:cs="Times New Roman"/>
          <w:sz w:val="24"/>
          <w:szCs w:val="24"/>
        </w:rPr>
        <w:t xml:space="preserve">, Abbas F. Almulla, Yiping Luo, Andre F Carvalho, </w:t>
      </w:r>
      <w:r>
        <w:rPr>
          <w:rFonts w:ascii="Times New Roman" w:eastAsia="Microsoft YaHei" w:hAnsi="Times New Roman" w:cs="Times New Roman"/>
          <w:sz w:val="24"/>
          <w:szCs w:val="24"/>
        </w:rPr>
        <w:t xml:space="preserve">Annabel Maes, </w:t>
      </w:r>
      <w:r w:rsidRPr="00EB5173">
        <w:rPr>
          <w:rFonts w:ascii="Times New Roman" w:eastAsia="Microsoft YaHei" w:hAnsi="Times New Roman" w:cs="Times New Roman"/>
          <w:sz w:val="24"/>
          <w:szCs w:val="24"/>
        </w:rPr>
        <w:t>Yingqian Zhang</w:t>
      </w:r>
      <w:r>
        <w:rPr>
          <w:rFonts w:ascii="Times New Roman" w:eastAsia="Microsoft YaHei" w:hAnsi="Times New Roman" w:cs="Times New Roman"/>
          <w:sz w:val="24"/>
          <w:szCs w:val="24"/>
        </w:rPr>
        <w:t>**</w:t>
      </w:r>
      <w:r w:rsidRPr="00EB5173">
        <w:rPr>
          <w:rFonts w:ascii="Times New Roman" w:eastAsia="Microsoft YaHei" w:hAnsi="Times New Roman" w:cs="Times New Roman"/>
          <w:sz w:val="24"/>
          <w:szCs w:val="24"/>
        </w:rPr>
        <w:t>, Michael Maes</w:t>
      </w:r>
      <w:r>
        <w:rPr>
          <w:rFonts w:ascii="Times New Roman" w:eastAsia="Microsoft YaHei" w:hAnsi="Times New Roman" w:cs="Times New Roman"/>
          <w:sz w:val="24"/>
          <w:szCs w:val="24"/>
        </w:rPr>
        <w:t>**</w:t>
      </w:r>
    </w:p>
    <w:p w14:paraId="5DDF3543" w14:textId="77777777" w:rsidR="00576A29" w:rsidRPr="003E5C1F" w:rsidRDefault="00576A29" w:rsidP="00576A29">
      <w:pPr>
        <w:spacing w:after="0" w:line="480" w:lineRule="auto"/>
        <w:rPr>
          <w:rFonts w:ascii="Times New Roman" w:eastAsia="Microsoft YaHei" w:hAnsi="Times New Roman" w:cs="Times New Roman"/>
          <w:sz w:val="24"/>
          <w:szCs w:val="24"/>
        </w:rPr>
      </w:pPr>
      <w:r w:rsidRPr="003E5C1F">
        <w:rPr>
          <w:rFonts w:ascii="Times New Roman" w:eastAsia="Microsoft YaHei" w:hAnsi="Times New Roman" w:cs="Times New Roman"/>
          <w:sz w:val="24"/>
          <w:szCs w:val="24"/>
        </w:rPr>
        <w:t>*</w:t>
      </w:r>
      <w:r>
        <w:rPr>
          <w:rFonts w:ascii="Times New Roman" w:eastAsia="Microsoft YaHei" w:hAnsi="Times New Roman" w:cs="Times New Roman"/>
          <w:sz w:val="24"/>
          <w:szCs w:val="24"/>
        </w:rPr>
        <w:t xml:space="preserve"> </w:t>
      </w:r>
      <w:r w:rsidRPr="003E5C1F">
        <w:rPr>
          <w:rFonts w:ascii="Times New Roman" w:eastAsia="Microsoft YaHei" w:hAnsi="Times New Roman" w:cs="Times New Roman"/>
          <w:sz w:val="24"/>
          <w:szCs w:val="24"/>
        </w:rPr>
        <w:t>Co-joint first authors</w:t>
      </w:r>
    </w:p>
    <w:p w14:paraId="570B32AA" w14:textId="77777777" w:rsidR="00576A29" w:rsidRDefault="00576A29" w:rsidP="00576A29">
      <w:pPr>
        <w:spacing w:after="0" w:line="480" w:lineRule="auto"/>
        <w:rPr>
          <w:rFonts w:ascii="Times New Roman" w:eastAsia="Microsoft YaHei" w:hAnsi="Times New Roman" w:cs="Times New Roman"/>
          <w:sz w:val="24"/>
          <w:szCs w:val="24"/>
        </w:rPr>
      </w:pPr>
      <w:r>
        <w:rPr>
          <w:rFonts w:ascii="Times New Roman" w:eastAsia="Microsoft YaHei" w:hAnsi="Times New Roman" w:cs="Times New Roman"/>
          <w:sz w:val="24"/>
          <w:szCs w:val="24"/>
        </w:rPr>
        <w:t>** Co-corresponding authors</w:t>
      </w:r>
    </w:p>
    <w:p w14:paraId="256D35D2" w14:textId="77777777" w:rsidR="00576A29" w:rsidRDefault="00576A29" w:rsidP="00F71F99">
      <w:pPr>
        <w:spacing w:line="480" w:lineRule="auto"/>
        <w:rPr>
          <w:rFonts w:ascii="Times New Roman" w:hAnsi="Times New Roman" w:cs="Times New Roman"/>
          <w:b/>
          <w:bCs/>
          <w:sz w:val="24"/>
          <w:szCs w:val="24"/>
        </w:rPr>
      </w:pPr>
    </w:p>
    <w:p w14:paraId="1B6B13D8" w14:textId="77777777" w:rsidR="00576A29" w:rsidRPr="00F71F99" w:rsidRDefault="00576A29" w:rsidP="00F71F99">
      <w:pPr>
        <w:spacing w:line="480" w:lineRule="auto"/>
        <w:rPr>
          <w:rFonts w:ascii="Times New Roman" w:hAnsi="Times New Roman" w:cs="Times New Roman"/>
          <w:b/>
          <w:bCs/>
          <w:sz w:val="24"/>
          <w:szCs w:val="24"/>
        </w:rPr>
      </w:pPr>
    </w:p>
    <w:p w14:paraId="32A6F557" w14:textId="52A9F6CD" w:rsidR="00D84982" w:rsidRDefault="00D84982">
      <w:pPr>
        <w:spacing w:line="278" w:lineRule="auto"/>
        <w:rPr>
          <w:b/>
          <w:bCs/>
          <w:sz w:val="40"/>
          <w:szCs w:val="40"/>
        </w:rPr>
      </w:pPr>
      <w:r>
        <w:rPr>
          <w:b/>
          <w:bCs/>
          <w:sz w:val="40"/>
          <w:szCs w:val="40"/>
        </w:rPr>
        <w:br w:type="page"/>
      </w:r>
    </w:p>
    <w:p w14:paraId="278DB6C0" w14:textId="51328C5E" w:rsidR="00D84982" w:rsidRDefault="00D84982" w:rsidP="00D84982">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b w:val="0"/>
          <w:bCs/>
          <w:i w:val="0"/>
          <w:iCs/>
        </w:rPr>
      </w:pPr>
      <w:r w:rsidRPr="001F31BE">
        <w:rPr>
          <w:rFonts w:ascii="Times New Roman" w:hAnsi="Times New Roman" w:cs="Times New Roman"/>
          <w:i w:val="0"/>
          <w:iCs/>
        </w:rPr>
        <w:lastRenderedPageBreak/>
        <w:t xml:space="preserve">ESF, Table 1. </w:t>
      </w:r>
      <w:r w:rsidRPr="001F31BE">
        <w:rPr>
          <w:rFonts w:ascii="Times New Roman" w:hAnsi="Times New Roman" w:cs="Times New Roman"/>
          <w:b w:val="0"/>
          <w:bCs/>
          <w:i w:val="0"/>
          <w:iCs/>
        </w:rPr>
        <w:t xml:space="preserve">Baseline demographic and clinical characteristics of the </w:t>
      </w:r>
      <w:r w:rsidR="001F31BE">
        <w:rPr>
          <w:rFonts w:ascii="Times New Roman" w:hAnsi="Times New Roman" w:cs="Times New Roman"/>
          <w:b w:val="0"/>
          <w:bCs/>
          <w:i w:val="0"/>
          <w:iCs/>
        </w:rPr>
        <w:t xml:space="preserve">inpatients with major depression (MDD) and healthy controls (HC) included in this </w:t>
      </w:r>
      <w:r w:rsidRPr="001F31BE">
        <w:rPr>
          <w:rFonts w:ascii="Times New Roman" w:hAnsi="Times New Roman" w:cs="Times New Roman"/>
          <w:b w:val="0"/>
          <w:bCs/>
          <w:i w:val="0"/>
          <w:iCs/>
        </w:rPr>
        <w:t>study.</w:t>
      </w:r>
    </w:p>
    <w:p w14:paraId="1E2D84A0" w14:textId="77777777" w:rsidR="001F31BE" w:rsidRPr="001F31BE" w:rsidRDefault="001F31BE" w:rsidP="00D84982">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b w:val="0"/>
          <w:bCs/>
          <w:i w:val="0"/>
          <w:iCs/>
        </w:rPr>
      </w:pPr>
    </w:p>
    <w:tbl>
      <w:tblPr>
        <w:tblW w:w="0" w:type="auto"/>
        <w:jc w:val="center"/>
        <w:tblLayout w:type="fixed"/>
        <w:tblLook w:val="04A0" w:firstRow="1" w:lastRow="0" w:firstColumn="1" w:lastColumn="0" w:noHBand="0" w:noVBand="1"/>
      </w:tblPr>
      <w:tblGrid>
        <w:gridCol w:w="3168"/>
        <w:gridCol w:w="1728"/>
        <w:gridCol w:w="1728"/>
        <w:gridCol w:w="1152"/>
        <w:gridCol w:w="1152"/>
      </w:tblGrid>
      <w:tr w:rsidR="00D84982" w:rsidRPr="001F31BE" w14:paraId="430A40D5" w14:textId="77777777" w:rsidTr="00A02C78">
        <w:trPr>
          <w:tblHeader/>
          <w:jc w:val="center"/>
        </w:trPr>
        <w:tc>
          <w:tcPr>
            <w:tcW w:w="3168"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tcPr>
          <w:p w14:paraId="02A8A77D"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Characteristics</w:t>
            </w:r>
          </w:p>
        </w:tc>
        <w:tc>
          <w:tcPr>
            <w:tcW w:w="1728"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tcPr>
          <w:p w14:paraId="1B2E21AE" w14:textId="3D2DCF7D" w:rsidR="00D84982" w:rsidRPr="001F31BE" w:rsidRDefault="00D84982" w:rsidP="00A02C7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HC (</w:t>
            </w:r>
            <w:r w:rsidR="00D72D44">
              <w:rPr>
                <w:rFonts w:ascii="Times New Roman" w:eastAsia="Times New Roman" w:hAnsi="Times New Roman" w:cs="Times New Roman"/>
                <w:color w:val="000000"/>
                <w:sz w:val="24"/>
                <w:szCs w:val="24"/>
              </w:rPr>
              <w:t>n</w:t>
            </w:r>
            <w:r w:rsidRPr="001F31BE">
              <w:rPr>
                <w:rFonts w:ascii="Times New Roman" w:eastAsia="Times New Roman" w:hAnsi="Times New Roman" w:cs="Times New Roman"/>
                <w:color w:val="000000"/>
                <w:sz w:val="24"/>
                <w:szCs w:val="24"/>
              </w:rPr>
              <w:t>=38)</w:t>
            </w:r>
          </w:p>
        </w:tc>
        <w:tc>
          <w:tcPr>
            <w:tcW w:w="1728"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tcPr>
          <w:p w14:paraId="53CEDDB0" w14:textId="6DFCF903" w:rsidR="00D84982" w:rsidRPr="001F31BE" w:rsidRDefault="00D84982" w:rsidP="00A02C7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MDD (</w:t>
            </w:r>
            <w:r w:rsidR="00D72D44">
              <w:rPr>
                <w:rFonts w:ascii="Times New Roman" w:eastAsia="Times New Roman" w:hAnsi="Times New Roman" w:cs="Times New Roman"/>
                <w:color w:val="000000"/>
                <w:sz w:val="24"/>
                <w:szCs w:val="24"/>
              </w:rPr>
              <w:t>n</w:t>
            </w:r>
            <w:r w:rsidRPr="001F31BE">
              <w:rPr>
                <w:rFonts w:ascii="Times New Roman" w:eastAsia="Times New Roman" w:hAnsi="Times New Roman" w:cs="Times New Roman"/>
                <w:color w:val="000000"/>
                <w:sz w:val="24"/>
                <w:szCs w:val="24"/>
              </w:rPr>
              <w:t>=102)</w:t>
            </w:r>
          </w:p>
        </w:tc>
        <w:tc>
          <w:tcPr>
            <w:tcW w:w="1152"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tcPr>
          <w:p w14:paraId="421B92BD"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i/>
                <w:color w:val="000000"/>
                <w:sz w:val="24"/>
                <w:szCs w:val="24"/>
              </w:rPr>
            </w:pPr>
            <w:r w:rsidRPr="001F31BE">
              <w:rPr>
                <w:rFonts w:ascii="Times New Roman" w:eastAsia="Times New Roman" w:hAnsi="Times New Roman" w:cs="Times New Roman"/>
                <w:i/>
                <w:color w:val="000000"/>
                <w:sz w:val="24"/>
                <w:szCs w:val="24"/>
              </w:rPr>
              <w:t>F / χ²</w:t>
            </w:r>
          </w:p>
        </w:tc>
        <w:tc>
          <w:tcPr>
            <w:tcW w:w="1152"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tcPr>
          <w:p w14:paraId="36D9226B"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i/>
                <w:color w:val="000000"/>
                <w:sz w:val="24"/>
                <w:szCs w:val="24"/>
              </w:rPr>
            </w:pPr>
            <w:r w:rsidRPr="001F31BE">
              <w:rPr>
                <w:rFonts w:ascii="Times New Roman" w:eastAsia="Times New Roman" w:hAnsi="Times New Roman" w:cs="Times New Roman"/>
                <w:i/>
                <w:color w:val="000000"/>
                <w:sz w:val="24"/>
                <w:szCs w:val="24"/>
              </w:rPr>
              <w:t>P</w:t>
            </w:r>
          </w:p>
        </w:tc>
      </w:tr>
      <w:tr w:rsidR="00D84982" w:rsidRPr="001F31BE" w14:paraId="0D2FDE42" w14:textId="77777777" w:rsidTr="00A02C78">
        <w:trPr>
          <w:jc w:val="center"/>
        </w:trPr>
        <w:tc>
          <w:tcPr>
            <w:tcW w:w="3168" w:type="dxa"/>
            <w:tcBorders>
              <w:top w:val="single" w:sz="12" w:space="0" w:color="666666"/>
              <w:left w:val="nil"/>
              <w:bottom w:val="nil"/>
              <w:right w:val="nil"/>
            </w:tcBorders>
            <w:shd w:val="clear" w:color="auto" w:fill="FFFFFF"/>
            <w:tcMar>
              <w:top w:w="0" w:type="dxa"/>
              <w:left w:w="0" w:type="dxa"/>
              <w:bottom w:w="0" w:type="dxa"/>
              <w:right w:w="0" w:type="dxa"/>
            </w:tcMar>
            <w:vAlign w:val="center"/>
          </w:tcPr>
          <w:p w14:paraId="7B65FCAC"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Age (years)</w:t>
            </w:r>
          </w:p>
        </w:tc>
        <w:tc>
          <w:tcPr>
            <w:tcW w:w="1728" w:type="dxa"/>
            <w:tcBorders>
              <w:top w:val="single" w:sz="12" w:space="0" w:color="666666"/>
              <w:left w:val="nil"/>
              <w:bottom w:val="nil"/>
              <w:right w:val="nil"/>
            </w:tcBorders>
            <w:shd w:val="clear" w:color="auto" w:fill="FFFFFF"/>
            <w:tcMar>
              <w:top w:w="0" w:type="dxa"/>
              <w:left w:w="0" w:type="dxa"/>
              <w:bottom w:w="0" w:type="dxa"/>
              <w:right w:w="0" w:type="dxa"/>
            </w:tcMar>
            <w:vAlign w:val="center"/>
          </w:tcPr>
          <w:p w14:paraId="129B55C3"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35.9 (13.3)</w:t>
            </w:r>
          </w:p>
        </w:tc>
        <w:tc>
          <w:tcPr>
            <w:tcW w:w="1728" w:type="dxa"/>
            <w:tcBorders>
              <w:top w:val="single" w:sz="12" w:space="0" w:color="666666"/>
              <w:left w:val="nil"/>
              <w:bottom w:val="nil"/>
              <w:right w:val="nil"/>
            </w:tcBorders>
            <w:shd w:val="clear" w:color="auto" w:fill="FFFFFF"/>
            <w:tcMar>
              <w:top w:w="0" w:type="dxa"/>
              <w:left w:w="0" w:type="dxa"/>
              <w:bottom w:w="0" w:type="dxa"/>
              <w:right w:w="0" w:type="dxa"/>
            </w:tcMar>
            <w:vAlign w:val="center"/>
          </w:tcPr>
          <w:p w14:paraId="6C35D64E"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35.8 (12.4)</w:t>
            </w:r>
          </w:p>
        </w:tc>
        <w:tc>
          <w:tcPr>
            <w:tcW w:w="1152" w:type="dxa"/>
            <w:tcBorders>
              <w:top w:val="single" w:sz="12" w:space="0" w:color="666666"/>
              <w:left w:val="nil"/>
              <w:bottom w:val="nil"/>
              <w:right w:val="nil"/>
            </w:tcBorders>
            <w:shd w:val="clear" w:color="auto" w:fill="FFFFFF"/>
            <w:tcMar>
              <w:top w:w="0" w:type="dxa"/>
              <w:left w:w="0" w:type="dxa"/>
              <w:bottom w:w="0" w:type="dxa"/>
              <w:right w:w="0" w:type="dxa"/>
            </w:tcMar>
            <w:vAlign w:val="center"/>
          </w:tcPr>
          <w:p w14:paraId="686B5E94"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0.003</w:t>
            </w:r>
          </w:p>
        </w:tc>
        <w:tc>
          <w:tcPr>
            <w:tcW w:w="1152" w:type="dxa"/>
            <w:tcBorders>
              <w:top w:val="single" w:sz="12" w:space="0" w:color="666666"/>
              <w:left w:val="nil"/>
              <w:bottom w:val="nil"/>
              <w:right w:val="nil"/>
            </w:tcBorders>
            <w:shd w:val="clear" w:color="auto" w:fill="FFFFFF"/>
            <w:tcMar>
              <w:top w:w="0" w:type="dxa"/>
              <w:left w:w="0" w:type="dxa"/>
              <w:bottom w:w="0" w:type="dxa"/>
              <w:right w:w="0" w:type="dxa"/>
            </w:tcMar>
            <w:vAlign w:val="center"/>
          </w:tcPr>
          <w:p w14:paraId="7A18317F"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.955</w:t>
            </w:r>
          </w:p>
        </w:tc>
      </w:tr>
      <w:tr w:rsidR="00D84982" w:rsidRPr="001F31BE" w14:paraId="63B17437" w14:textId="77777777" w:rsidTr="00A02C78">
        <w:trPr>
          <w:jc w:val="center"/>
        </w:trPr>
        <w:tc>
          <w:tcPr>
            <w:tcW w:w="3168" w:type="dxa"/>
            <w:tcBorders>
              <w:top w:val="nil"/>
              <w:left w:val="nil"/>
              <w:bottom w:val="nil"/>
              <w:right w:val="nil"/>
            </w:tcBorders>
            <w:shd w:val="clear" w:color="auto" w:fill="FFFFFF"/>
            <w:tcMar>
              <w:top w:w="0" w:type="dxa"/>
              <w:left w:w="0" w:type="dxa"/>
              <w:bottom w:w="0" w:type="dxa"/>
              <w:right w:w="0" w:type="dxa"/>
            </w:tcMar>
            <w:vAlign w:val="center"/>
          </w:tcPr>
          <w:p w14:paraId="006E4D0B"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Female gender, N (%)</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228E41EA" w14:textId="1CE9CD05"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26 (68.4</w:t>
            </w:r>
            <w:r w:rsidR="00D72D44">
              <w:rPr>
                <w:rFonts w:ascii="Times New Roman" w:eastAsia="Times New Roman" w:hAnsi="Times New Roman" w:cs="Times New Roman"/>
                <w:color w:val="000000"/>
                <w:sz w:val="24"/>
                <w:szCs w:val="24"/>
              </w:rPr>
              <w:t>%</w:t>
            </w:r>
            <w:r w:rsidRPr="001F31BE">
              <w:rPr>
                <w:rFonts w:ascii="Times New Roman" w:eastAsia="Times New Roman" w:hAnsi="Times New Roman" w:cs="Times New Roman"/>
                <w:color w:val="000000"/>
                <w:sz w:val="24"/>
                <w:szCs w:val="24"/>
              </w:rPr>
              <w:t>)</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46837A36" w14:textId="506B0611"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71 (69.6</w:t>
            </w:r>
            <w:r w:rsidR="00D72D44">
              <w:rPr>
                <w:rFonts w:ascii="Times New Roman" w:eastAsia="Times New Roman" w:hAnsi="Times New Roman" w:cs="Times New Roman"/>
                <w:color w:val="000000"/>
                <w:sz w:val="24"/>
                <w:szCs w:val="24"/>
              </w:rPr>
              <w:t>%</w:t>
            </w:r>
            <w:r w:rsidRPr="001F31BE">
              <w:rPr>
                <w:rFonts w:ascii="Times New Roman" w:eastAsia="Times New Roman" w:hAnsi="Times New Roman" w:cs="Times New Roman"/>
                <w:color w:val="000000"/>
                <w:sz w:val="24"/>
                <w:szCs w:val="24"/>
              </w:rPr>
              <w:t>)</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3CF4448B"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0.018</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01F65F44"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.892</w:t>
            </w:r>
          </w:p>
        </w:tc>
      </w:tr>
      <w:tr w:rsidR="00D84982" w:rsidRPr="001F31BE" w14:paraId="69DE5CF8" w14:textId="77777777" w:rsidTr="00A02C78">
        <w:trPr>
          <w:jc w:val="center"/>
        </w:trPr>
        <w:tc>
          <w:tcPr>
            <w:tcW w:w="3168" w:type="dxa"/>
            <w:tcBorders>
              <w:top w:val="nil"/>
              <w:left w:val="nil"/>
              <w:bottom w:val="nil"/>
              <w:right w:val="nil"/>
            </w:tcBorders>
            <w:shd w:val="clear" w:color="auto" w:fill="FFFFFF"/>
            <w:tcMar>
              <w:top w:w="0" w:type="dxa"/>
              <w:left w:w="0" w:type="dxa"/>
              <w:bottom w:w="0" w:type="dxa"/>
              <w:right w:w="0" w:type="dxa"/>
            </w:tcMar>
            <w:vAlign w:val="center"/>
          </w:tcPr>
          <w:p w14:paraId="29C44AE2"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Education (years)</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6A7995F8"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14.3 (4.1)</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557B2B13"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13.3 (3.4)</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71306BE3"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1.903</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69A7EA8F"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.170</w:t>
            </w:r>
          </w:p>
        </w:tc>
      </w:tr>
      <w:tr w:rsidR="00D84982" w:rsidRPr="001F31BE" w14:paraId="012E8484" w14:textId="77777777" w:rsidTr="00A02C78">
        <w:trPr>
          <w:jc w:val="center"/>
        </w:trPr>
        <w:tc>
          <w:tcPr>
            <w:tcW w:w="3168" w:type="dxa"/>
            <w:tcBorders>
              <w:top w:val="nil"/>
              <w:left w:val="nil"/>
              <w:bottom w:val="nil"/>
              <w:right w:val="nil"/>
            </w:tcBorders>
            <w:shd w:val="clear" w:color="auto" w:fill="FFFFFF"/>
            <w:tcMar>
              <w:top w:w="0" w:type="dxa"/>
              <w:left w:w="0" w:type="dxa"/>
              <w:bottom w:w="0" w:type="dxa"/>
              <w:right w:w="0" w:type="dxa"/>
            </w:tcMar>
            <w:vAlign w:val="center"/>
          </w:tcPr>
          <w:p w14:paraId="12A17AF3" w14:textId="511A40DA"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BMI (</w:t>
            </w:r>
            <w:r w:rsidR="00D72D44">
              <w:rPr>
                <w:rFonts w:ascii="Times New Roman" w:eastAsia="Times New Roman" w:hAnsi="Times New Roman" w:cs="Times New Roman"/>
                <w:color w:val="000000"/>
                <w:sz w:val="24"/>
                <w:szCs w:val="24"/>
              </w:rPr>
              <w:t>z</w:t>
            </w:r>
            <w:r w:rsidRPr="001F31BE">
              <w:rPr>
                <w:rFonts w:ascii="Times New Roman" w:eastAsia="Times New Roman" w:hAnsi="Times New Roman" w:cs="Times New Roman"/>
                <w:color w:val="000000"/>
                <w:sz w:val="24"/>
                <w:szCs w:val="24"/>
              </w:rPr>
              <w:t>-score)</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57F6827C"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0.29 (1.21)</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26F8B075"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-0.08 (0.96)</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2D963114"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3.533</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75E5850F"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.062</w:t>
            </w:r>
          </w:p>
        </w:tc>
      </w:tr>
      <w:tr w:rsidR="00D84982" w:rsidRPr="001F31BE" w14:paraId="3AD6C1AA" w14:textId="77777777" w:rsidTr="00A02C78">
        <w:trPr>
          <w:jc w:val="center"/>
        </w:trPr>
        <w:tc>
          <w:tcPr>
            <w:tcW w:w="3168" w:type="dxa"/>
            <w:tcBorders>
              <w:top w:val="nil"/>
              <w:left w:val="nil"/>
              <w:bottom w:val="nil"/>
              <w:right w:val="nil"/>
            </w:tcBorders>
            <w:shd w:val="clear" w:color="auto" w:fill="FFFFFF"/>
            <w:tcMar>
              <w:top w:w="0" w:type="dxa"/>
              <w:left w:w="0" w:type="dxa"/>
              <w:bottom w:w="0" w:type="dxa"/>
              <w:right w:w="0" w:type="dxa"/>
            </w:tcMar>
            <w:vAlign w:val="center"/>
          </w:tcPr>
          <w:p w14:paraId="709E7D5D"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Metabolic syndrome, N (%)</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0B3C4895" w14:textId="34D49E6E"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11 (28.9</w:t>
            </w:r>
            <w:r w:rsidR="00D72D44">
              <w:rPr>
                <w:rFonts w:ascii="Times New Roman" w:eastAsia="Times New Roman" w:hAnsi="Times New Roman" w:cs="Times New Roman"/>
                <w:color w:val="000000"/>
                <w:sz w:val="24"/>
                <w:szCs w:val="24"/>
              </w:rPr>
              <w:t>%</w:t>
            </w:r>
            <w:r w:rsidRPr="001F31BE">
              <w:rPr>
                <w:rFonts w:ascii="Times New Roman" w:eastAsia="Times New Roman" w:hAnsi="Times New Roman" w:cs="Times New Roman"/>
                <w:color w:val="000000"/>
                <w:sz w:val="24"/>
                <w:szCs w:val="24"/>
              </w:rPr>
              <w:t>)</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22B93B72" w14:textId="5BCEBD26"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20 (19.8</w:t>
            </w:r>
            <w:r w:rsidR="00D72D44">
              <w:rPr>
                <w:rFonts w:ascii="Times New Roman" w:eastAsia="Times New Roman" w:hAnsi="Times New Roman" w:cs="Times New Roman"/>
                <w:color w:val="000000"/>
                <w:sz w:val="24"/>
                <w:szCs w:val="24"/>
              </w:rPr>
              <w:t>%</w:t>
            </w:r>
            <w:r w:rsidRPr="001F31BE">
              <w:rPr>
                <w:rFonts w:ascii="Times New Roman" w:eastAsia="Times New Roman" w:hAnsi="Times New Roman" w:cs="Times New Roman"/>
                <w:color w:val="000000"/>
                <w:sz w:val="24"/>
                <w:szCs w:val="24"/>
              </w:rPr>
              <w:t>)</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372A4A8C"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1.333</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6C7AB74C"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.248</w:t>
            </w:r>
          </w:p>
        </w:tc>
      </w:tr>
      <w:tr w:rsidR="00D84982" w:rsidRPr="001F31BE" w14:paraId="0C2C544A" w14:textId="77777777" w:rsidTr="00A02C78">
        <w:trPr>
          <w:jc w:val="center"/>
        </w:trPr>
        <w:tc>
          <w:tcPr>
            <w:tcW w:w="3168" w:type="dxa"/>
            <w:tcBorders>
              <w:top w:val="nil"/>
              <w:left w:val="nil"/>
              <w:bottom w:val="nil"/>
              <w:right w:val="nil"/>
            </w:tcBorders>
            <w:shd w:val="clear" w:color="auto" w:fill="FFFFFF"/>
            <w:tcMar>
              <w:top w:w="0" w:type="dxa"/>
              <w:left w:w="0" w:type="dxa"/>
              <w:bottom w:w="0" w:type="dxa"/>
              <w:right w:w="0" w:type="dxa"/>
            </w:tcMar>
            <w:vAlign w:val="center"/>
          </w:tcPr>
          <w:p w14:paraId="5BD075B1" w14:textId="6BB2CBDC"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OSOD (</w:t>
            </w:r>
            <w:r w:rsidR="00D72D44">
              <w:rPr>
                <w:rFonts w:ascii="Times New Roman" w:eastAsia="Times New Roman" w:hAnsi="Times New Roman" w:cs="Times New Roman"/>
                <w:color w:val="000000"/>
                <w:sz w:val="24"/>
                <w:szCs w:val="24"/>
              </w:rPr>
              <w:t>z</w:t>
            </w:r>
            <w:r w:rsidRPr="001F31BE">
              <w:rPr>
                <w:rFonts w:ascii="Times New Roman" w:eastAsia="Times New Roman" w:hAnsi="Times New Roman" w:cs="Times New Roman"/>
                <w:color w:val="000000"/>
                <w:sz w:val="24"/>
                <w:szCs w:val="24"/>
              </w:rPr>
              <w:t>-score)</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673FE675"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-1.47 (0.26)</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19790A92"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0.46 (0.48)</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53974460"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540.171</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6D26FFB2"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4"/>
                <w:szCs w:val="24"/>
              </w:rPr>
            </w:pPr>
            <w:r w:rsidRPr="001F31BE">
              <w:rPr>
                <w:rFonts w:ascii="Times New Roman" w:eastAsia="Times New Roman" w:hAnsi="Times New Roman" w:cs="Times New Roman"/>
                <w:b/>
                <w:color w:val="000000"/>
                <w:sz w:val="24"/>
                <w:szCs w:val="24"/>
              </w:rPr>
              <w:t>&lt;.001</w:t>
            </w:r>
          </w:p>
        </w:tc>
      </w:tr>
      <w:tr w:rsidR="00D84982" w:rsidRPr="001F31BE" w14:paraId="203C6DBE" w14:textId="77777777" w:rsidTr="00A02C78">
        <w:trPr>
          <w:jc w:val="center"/>
        </w:trPr>
        <w:tc>
          <w:tcPr>
            <w:tcW w:w="3168" w:type="dxa"/>
            <w:tcBorders>
              <w:top w:val="nil"/>
              <w:left w:val="nil"/>
              <w:bottom w:val="nil"/>
              <w:right w:val="nil"/>
            </w:tcBorders>
            <w:shd w:val="clear" w:color="auto" w:fill="FFFFFF"/>
            <w:tcMar>
              <w:top w:w="0" w:type="dxa"/>
              <w:left w:w="0" w:type="dxa"/>
              <w:bottom w:w="0" w:type="dxa"/>
              <w:right w:w="0" w:type="dxa"/>
            </w:tcMar>
            <w:vAlign w:val="center"/>
          </w:tcPr>
          <w:p w14:paraId="1BAA61D8" w14:textId="4F580A07" w:rsidR="00D84982" w:rsidRPr="001F31BE" w:rsidRDefault="00D72D44" w:rsidP="00A02C78">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D84982" w:rsidRPr="001F31BE">
              <w:rPr>
                <w:rFonts w:ascii="Times New Roman" w:eastAsia="Times New Roman" w:hAnsi="Times New Roman" w:cs="Times New Roman"/>
                <w:color w:val="000000"/>
                <w:sz w:val="24"/>
                <w:szCs w:val="24"/>
              </w:rPr>
              <w:t>hysio</w:t>
            </w:r>
            <w:r>
              <w:rPr>
                <w:rFonts w:ascii="Times New Roman" w:eastAsia="Times New Roman" w:hAnsi="Times New Roman" w:cs="Times New Roman"/>
                <w:color w:val="000000"/>
                <w:sz w:val="24"/>
                <w:szCs w:val="24"/>
              </w:rPr>
              <w:t xml:space="preserve">somatic symptoms </w:t>
            </w:r>
            <w:r w:rsidR="00D84982" w:rsidRPr="001F31B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z</w:t>
            </w:r>
            <w:r w:rsidR="00D84982" w:rsidRPr="001F31BE">
              <w:rPr>
                <w:rFonts w:ascii="Times New Roman" w:eastAsia="Times New Roman" w:hAnsi="Times New Roman" w:cs="Times New Roman"/>
                <w:color w:val="000000"/>
                <w:sz w:val="24"/>
                <w:szCs w:val="24"/>
              </w:rPr>
              <w:t>-score)</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72784F77"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-1.31 (0.43)</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0C8D8AAF"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0.42 (0.63)</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2D0E1831"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236.071</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10C2E79F"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4"/>
                <w:szCs w:val="24"/>
              </w:rPr>
            </w:pPr>
            <w:r w:rsidRPr="001F31BE">
              <w:rPr>
                <w:rFonts w:ascii="Times New Roman" w:eastAsia="Times New Roman" w:hAnsi="Times New Roman" w:cs="Times New Roman"/>
                <w:b/>
                <w:color w:val="000000"/>
                <w:sz w:val="24"/>
                <w:szCs w:val="24"/>
              </w:rPr>
              <w:t>&lt;.001</w:t>
            </w:r>
          </w:p>
        </w:tc>
      </w:tr>
      <w:tr w:rsidR="00D84982" w:rsidRPr="001F31BE" w14:paraId="0B6296CF" w14:textId="77777777" w:rsidTr="00A02C78">
        <w:trPr>
          <w:jc w:val="center"/>
        </w:trPr>
        <w:tc>
          <w:tcPr>
            <w:tcW w:w="3168" w:type="dxa"/>
            <w:tcBorders>
              <w:top w:val="nil"/>
              <w:left w:val="nil"/>
              <w:bottom w:val="nil"/>
              <w:right w:val="nil"/>
            </w:tcBorders>
            <w:shd w:val="clear" w:color="auto" w:fill="FFFFFF"/>
            <w:tcMar>
              <w:top w:w="0" w:type="dxa"/>
              <w:left w:w="0" w:type="dxa"/>
              <w:bottom w:w="0" w:type="dxa"/>
              <w:right w:w="0" w:type="dxa"/>
            </w:tcMar>
            <w:vAlign w:val="center"/>
          </w:tcPr>
          <w:p w14:paraId="494AE797" w14:textId="3EF67E7C"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Current suicidal ideation (</w:t>
            </w:r>
            <w:r w:rsidR="00D72D44">
              <w:rPr>
                <w:rFonts w:ascii="Times New Roman" w:eastAsia="Times New Roman" w:hAnsi="Times New Roman" w:cs="Times New Roman"/>
                <w:color w:val="000000"/>
                <w:sz w:val="24"/>
                <w:szCs w:val="24"/>
              </w:rPr>
              <w:t>z</w:t>
            </w:r>
            <w:r w:rsidRPr="001F31BE">
              <w:rPr>
                <w:rFonts w:ascii="Times New Roman" w:eastAsia="Times New Roman" w:hAnsi="Times New Roman" w:cs="Times New Roman"/>
                <w:color w:val="000000"/>
                <w:sz w:val="24"/>
                <w:szCs w:val="24"/>
              </w:rPr>
              <w:t>-score)</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59A37654"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-0.77 (0.27)</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6EFF529F"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0.19 (0.98)</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5411A35C"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35.637</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43B4D52A"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4"/>
                <w:szCs w:val="24"/>
              </w:rPr>
            </w:pPr>
            <w:r w:rsidRPr="001F31BE">
              <w:rPr>
                <w:rFonts w:ascii="Times New Roman" w:eastAsia="Times New Roman" w:hAnsi="Times New Roman" w:cs="Times New Roman"/>
                <w:b/>
                <w:color w:val="000000"/>
                <w:sz w:val="24"/>
                <w:szCs w:val="24"/>
              </w:rPr>
              <w:t>&lt;.001</w:t>
            </w:r>
          </w:p>
        </w:tc>
      </w:tr>
      <w:tr w:rsidR="00D84982" w:rsidRPr="001F31BE" w14:paraId="2376D335" w14:textId="77777777" w:rsidTr="00A02C78">
        <w:trPr>
          <w:jc w:val="center"/>
        </w:trPr>
        <w:tc>
          <w:tcPr>
            <w:tcW w:w="3168" w:type="dxa"/>
            <w:tcBorders>
              <w:top w:val="nil"/>
              <w:left w:val="nil"/>
              <w:bottom w:val="nil"/>
              <w:right w:val="nil"/>
            </w:tcBorders>
            <w:shd w:val="clear" w:color="auto" w:fill="FFFFFF"/>
            <w:tcMar>
              <w:top w:w="0" w:type="dxa"/>
              <w:left w:w="0" w:type="dxa"/>
              <w:bottom w:w="0" w:type="dxa"/>
              <w:right w:w="0" w:type="dxa"/>
            </w:tcMar>
            <w:vAlign w:val="center"/>
          </w:tcPr>
          <w:p w14:paraId="604041EA" w14:textId="77AFFE0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ROI (</w:t>
            </w:r>
            <w:r w:rsidR="00D72D44">
              <w:rPr>
                <w:rFonts w:ascii="Times New Roman" w:eastAsia="Times New Roman" w:hAnsi="Times New Roman" w:cs="Times New Roman"/>
                <w:color w:val="000000"/>
                <w:sz w:val="24"/>
                <w:szCs w:val="24"/>
              </w:rPr>
              <w:t>z</w:t>
            </w:r>
            <w:r w:rsidRPr="001F31BE">
              <w:rPr>
                <w:rFonts w:ascii="Times New Roman" w:eastAsia="Times New Roman" w:hAnsi="Times New Roman" w:cs="Times New Roman"/>
                <w:color w:val="000000"/>
                <w:sz w:val="24"/>
                <w:szCs w:val="24"/>
              </w:rPr>
              <w:t>-score)</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1C2D8920"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-1.05 (0.15)</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19F23F4F"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0.27 (0.85)</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7D737364"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90.423</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14:paraId="511EBE49"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4"/>
                <w:szCs w:val="24"/>
              </w:rPr>
            </w:pPr>
            <w:r w:rsidRPr="001F31BE">
              <w:rPr>
                <w:rFonts w:ascii="Times New Roman" w:eastAsia="Times New Roman" w:hAnsi="Times New Roman" w:cs="Times New Roman"/>
                <w:b/>
                <w:color w:val="000000"/>
                <w:sz w:val="24"/>
                <w:szCs w:val="24"/>
              </w:rPr>
              <w:t>&lt;.001</w:t>
            </w:r>
          </w:p>
        </w:tc>
      </w:tr>
      <w:tr w:rsidR="00D84982" w:rsidRPr="001F31BE" w14:paraId="0098A71A" w14:textId="77777777" w:rsidTr="00A02C78">
        <w:trPr>
          <w:jc w:val="center"/>
        </w:trPr>
        <w:tc>
          <w:tcPr>
            <w:tcW w:w="3168" w:type="dxa"/>
            <w:tcBorders>
              <w:top w:val="nil"/>
              <w:left w:val="nil"/>
              <w:bottom w:val="single" w:sz="12" w:space="0" w:color="666666"/>
              <w:right w:val="nil"/>
            </w:tcBorders>
            <w:shd w:val="clear" w:color="auto" w:fill="FFFFFF"/>
            <w:tcMar>
              <w:top w:w="0" w:type="dxa"/>
              <w:left w:w="0" w:type="dxa"/>
              <w:bottom w:w="0" w:type="dxa"/>
              <w:right w:w="0" w:type="dxa"/>
            </w:tcMar>
            <w:vAlign w:val="center"/>
          </w:tcPr>
          <w:p w14:paraId="2091662E"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API</w:t>
            </w:r>
          </w:p>
        </w:tc>
        <w:tc>
          <w:tcPr>
            <w:tcW w:w="1728" w:type="dxa"/>
            <w:tcBorders>
              <w:top w:val="nil"/>
              <w:left w:val="nil"/>
              <w:bottom w:val="single" w:sz="12" w:space="0" w:color="666666"/>
              <w:right w:val="nil"/>
            </w:tcBorders>
            <w:shd w:val="clear" w:color="auto" w:fill="FFFFFF"/>
            <w:tcMar>
              <w:top w:w="0" w:type="dxa"/>
              <w:left w:w="0" w:type="dxa"/>
              <w:bottom w:w="0" w:type="dxa"/>
              <w:right w:w="0" w:type="dxa"/>
            </w:tcMar>
            <w:vAlign w:val="center"/>
          </w:tcPr>
          <w:p w14:paraId="0509C8F5"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-1.60 (2.01)</w:t>
            </w:r>
          </w:p>
        </w:tc>
        <w:tc>
          <w:tcPr>
            <w:tcW w:w="1728" w:type="dxa"/>
            <w:tcBorders>
              <w:top w:val="nil"/>
              <w:left w:val="nil"/>
              <w:bottom w:val="single" w:sz="12" w:space="0" w:color="666666"/>
              <w:right w:val="nil"/>
            </w:tcBorders>
            <w:shd w:val="clear" w:color="auto" w:fill="FFFFFF"/>
            <w:tcMar>
              <w:top w:w="0" w:type="dxa"/>
              <w:left w:w="0" w:type="dxa"/>
              <w:bottom w:w="0" w:type="dxa"/>
              <w:right w:w="0" w:type="dxa"/>
            </w:tcMar>
            <w:vAlign w:val="center"/>
          </w:tcPr>
          <w:p w14:paraId="636F151A"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0.48 (1.73)</w:t>
            </w:r>
          </w:p>
        </w:tc>
        <w:tc>
          <w:tcPr>
            <w:tcW w:w="1152" w:type="dxa"/>
            <w:tcBorders>
              <w:top w:val="nil"/>
              <w:left w:val="nil"/>
              <w:bottom w:val="single" w:sz="12" w:space="0" w:color="666666"/>
              <w:right w:val="nil"/>
            </w:tcBorders>
            <w:shd w:val="clear" w:color="auto" w:fill="FFFFFF"/>
            <w:tcMar>
              <w:top w:w="0" w:type="dxa"/>
              <w:left w:w="0" w:type="dxa"/>
              <w:bottom w:w="0" w:type="dxa"/>
              <w:right w:w="0" w:type="dxa"/>
            </w:tcMar>
            <w:vAlign w:val="center"/>
          </w:tcPr>
          <w:p w14:paraId="378965D4"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 w:val="24"/>
                <w:szCs w:val="24"/>
              </w:rPr>
            </w:pPr>
            <w:r w:rsidRPr="001F31BE">
              <w:rPr>
                <w:rFonts w:ascii="Times New Roman" w:eastAsia="Times New Roman" w:hAnsi="Times New Roman" w:cs="Times New Roman"/>
                <w:color w:val="000000"/>
                <w:sz w:val="24"/>
                <w:szCs w:val="24"/>
              </w:rPr>
              <w:t>36.654</w:t>
            </w:r>
          </w:p>
        </w:tc>
        <w:tc>
          <w:tcPr>
            <w:tcW w:w="1152" w:type="dxa"/>
            <w:tcBorders>
              <w:top w:val="nil"/>
              <w:left w:val="nil"/>
              <w:bottom w:val="single" w:sz="12" w:space="0" w:color="666666"/>
              <w:right w:val="nil"/>
            </w:tcBorders>
            <w:shd w:val="clear" w:color="auto" w:fill="FFFFFF"/>
            <w:tcMar>
              <w:top w:w="0" w:type="dxa"/>
              <w:left w:w="0" w:type="dxa"/>
              <w:bottom w:w="0" w:type="dxa"/>
              <w:right w:w="0" w:type="dxa"/>
            </w:tcMar>
            <w:vAlign w:val="center"/>
          </w:tcPr>
          <w:p w14:paraId="2D14589F" w14:textId="77777777" w:rsidR="00D84982" w:rsidRPr="001F31BE" w:rsidRDefault="00D84982" w:rsidP="00A02C78">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color w:val="000000"/>
                <w:sz w:val="24"/>
                <w:szCs w:val="24"/>
              </w:rPr>
            </w:pPr>
            <w:r w:rsidRPr="001F31BE">
              <w:rPr>
                <w:rFonts w:ascii="Times New Roman" w:eastAsia="Times New Roman" w:hAnsi="Times New Roman" w:cs="Times New Roman"/>
                <w:b/>
                <w:color w:val="000000"/>
                <w:sz w:val="24"/>
                <w:szCs w:val="24"/>
              </w:rPr>
              <w:t>&lt;.001</w:t>
            </w:r>
          </w:p>
        </w:tc>
      </w:tr>
      <w:tr w:rsidR="00D84982" w:rsidRPr="001F31BE" w14:paraId="2D578A9B" w14:textId="77777777" w:rsidTr="00A02C78">
        <w:trPr>
          <w:jc w:val="center"/>
        </w:trPr>
        <w:tc>
          <w:tcPr>
            <w:tcW w:w="8928" w:type="dxa"/>
            <w:gridSpan w:val="5"/>
            <w:tcBorders>
              <w:top w:val="single" w:sz="12" w:space="0" w:color="666666"/>
              <w:left w:val="nil"/>
              <w:bottom w:val="nil"/>
              <w:right w:val="nil"/>
            </w:tcBorders>
            <w:shd w:val="clear" w:color="auto" w:fill="FFFFFF"/>
            <w:tcMar>
              <w:top w:w="0" w:type="dxa"/>
              <w:left w:w="0" w:type="dxa"/>
              <w:bottom w:w="0" w:type="dxa"/>
              <w:right w:w="0" w:type="dxa"/>
            </w:tcMar>
            <w:vAlign w:val="center"/>
          </w:tcPr>
          <w:p w14:paraId="7B4F5407" w14:textId="5D687B81" w:rsidR="00D84982" w:rsidRPr="001F31BE" w:rsidRDefault="00D84982" w:rsidP="00A02C7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i/>
                <w:color w:val="000000"/>
                <w:sz w:val="24"/>
                <w:szCs w:val="24"/>
              </w:rPr>
            </w:pPr>
            <w:r w:rsidRPr="001F31BE">
              <w:rPr>
                <w:rFonts w:ascii="Times New Roman" w:eastAsia="Arial" w:hAnsi="Times New Roman" w:cs="Times New Roman"/>
                <w:i/>
                <w:color w:val="000000"/>
                <w:sz w:val="24"/>
                <w:szCs w:val="24"/>
              </w:rPr>
              <w:t xml:space="preserve">Note: </w:t>
            </w:r>
            <w:r w:rsidRPr="001F31BE">
              <w:rPr>
                <w:rFonts w:ascii="Times New Roman" w:eastAsia="Arial" w:hAnsi="Times New Roman" w:cs="Times New Roman"/>
                <w:iCs/>
                <w:color w:val="000000"/>
                <w:sz w:val="24"/>
                <w:szCs w:val="24"/>
              </w:rPr>
              <w:t xml:space="preserve">Data </w:t>
            </w:r>
            <w:r w:rsidR="00FB1B49" w:rsidRPr="001F31BE">
              <w:rPr>
                <w:rFonts w:ascii="Times New Roman" w:eastAsia="Arial" w:hAnsi="Times New Roman" w:cs="Times New Roman"/>
                <w:iCs/>
                <w:color w:val="000000"/>
                <w:sz w:val="24"/>
                <w:szCs w:val="24"/>
              </w:rPr>
              <w:t>is</w:t>
            </w:r>
            <w:r w:rsidRPr="001F31BE">
              <w:rPr>
                <w:rFonts w:ascii="Times New Roman" w:eastAsia="Arial" w:hAnsi="Times New Roman" w:cs="Times New Roman"/>
                <w:iCs/>
                <w:color w:val="000000"/>
                <w:sz w:val="24"/>
                <w:szCs w:val="24"/>
              </w:rPr>
              <w:t xml:space="preserve"> presented as Mean (SD) for continuous variables and </w:t>
            </w:r>
            <w:r w:rsidR="00D72D44">
              <w:rPr>
                <w:rFonts w:ascii="Times New Roman" w:eastAsia="Arial" w:hAnsi="Times New Roman" w:cs="Times New Roman"/>
                <w:iCs/>
                <w:color w:val="000000"/>
                <w:sz w:val="24"/>
                <w:szCs w:val="24"/>
              </w:rPr>
              <w:t>n</w:t>
            </w:r>
            <w:r w:rsidRPr="001F31BE">
              <w:rPr>
                <w:rFonts w:ascii="Times New Roman" w:eastAsia="Arial" w:hAnsi="Times New Roman" w:cs="Times New Roman"/>
                <w:iCs/>
                <w:color w:val="000000"/>
                <w:sz w:val="24"/>
                <w:szCs w:val="24"/>
              </w:rPr>
              <w:t xml:space="preserve"> (%) for categorical variables. Group differences were evaluated using Analysis of Variance (F) for continuous data and Chi-square tests (χ²) for categorical data (gender and metabolic syndrome). Significant P values (&lt;0.05) are </w:t>
            </w:r>
            <w:r w:rsidR="00FB1B49" w:rsidRPr="001F31BE">
              <w:rPr>
                <w:rFonts w:ascii="Times New Roman" w:eastAsia="Arial" w:hAnsi="Times New Roman" w:cs="Times New Roman"/>
                <w:iCs/>
                <w:color w:val="000000"/>
                <w:sz w:val="24"/>
                <w:szCs w:val="24"/>
              </w:rPr>
              <w:t>bold</w:t>
            </w:r>
            <w:r w:rsidRPr="001F31BE">
              <w:rPr>
                <w:rFonts w:ascii="Times New Roman" w:eastAsia="Arial" w:hAnsi="Times New Roman" w:cs="Times New Roman"/>
                <w:iCs/>
                <w:color w:val="000000"/>
                <w:sz w:val="24"/>
                <w:szCs w:val="24"/>
              </w:rPr>
              <w:t xml:space="preserve">. BMI, body mass index; OSOD, overall severity of depression; ROI, recurrence of illness; </w:t>
            </w:r>
            <w:r w:rsidRPr="00D72D44">
              <w:rPr>
                <w:rFonts w:ascii="Times New Roman" w:eastAsia="Arial" w:hAnsi="Times New Roman" w:cs="Times New Roman"/>
                <w:iCs/>
                <w:color w:val="000000"/>
                <w:sz w:val="24"/>
                <w:szCs w:val="24"/>
              </w:rPr>
              <w:t xml:space="preserve">API, </w:t>
            </w:r>
            <w:r w:rsidR="00D72D44" w:rsidRPr="00D72D44">
              <w:rPr>
                <w:rFonts w:ascii="Times New Roman" w:eastAsia="Arial" w:hAnsi="Times New Roman" w:cs="Times New Roman"/>
                <w:iCs/>
                <w:color w:val="000000"/>
                <w:sz w:val="24"/>
                <w:szCs w:val="24"/>
              </w:rPr>
              <w:t xml:space="preserve">acute phase-inflammatory </w:t>
            </w:r>
            <w:r w:rsidRPr="00D72D44">
              <w:rPr>
                <w:rFonts w:ascii="Times New Roman" w:eastAsia="Arial" w:hAnsi="Times New Roman" w:cs="Times New Roman"/>
                <w:iCs/>
                <w:color w:val="000000"/>
                <w:sz w:val="24"/>
                <w:szCs w:val="24"/>
              </w:rPr>
              <w:t>index.</w:t>
            </w:r>
          </w:p>
        </w:tc>
      </w:tr>
    </w:tbl>
    <w:p w14:paraId="126D1748" w14:textId="77777777" w:rsidR="00D84982" w:rsidRDefault="00D84982" w:rsidP="00D84982"/>
    <w:p w14:paraId="5D6DEE36" w14:textId="77777777" w:rsidR="00F71F99" w:rsidRPr="009527B9" w:rsidRDefault="00F71F99" w:rsidP="009C75AB">
      <w:pPr>
        <w:spacing w:after="0" w:line="480" w:lineRule="auto"/>
        <w:ind w:firstLine="720"/>
        <w:jc w:val="both"/>
        <w:rPr>
          <w:b/>
          <w:bCs/>
          <w:sz w:val="40"/>
          <w:szCs w:val="40"/>
        </w:rPr>
      </w:pPr>
    </w:p>
    <w:p w14:paraId="2DA342DA" w14:textId="77777777" w:rsidR="004713CB" w:rsidRDefault="004713CB">
      <w:pPr>
        <w:spacing w:line="278" w:lineRule="auto"/>
        <w:rPr>
          <w:highlight w:val="cyan"/>
        </w:rPr>
      </w:pPr>
      <w:r>
        <w:rPr>
          <w:highlight w:val="cyan"/>
        </w:rPr>
        <w:br w:type="page"/>
      </w:r>
    </w:p>
    <w:p w14:paraId="3037235C" w14:textId="77777777" w:rsidR="005573DE" w:rsidRDefault="0040540B" w:rsidP="005573DE">
      <w:pPr>
        <w:spacing w:after="0" w:line="480" w:lineRule="auto"/>
        <w:rPr>
          <w:rFonts w:ascii="Times New Roman" w:hAnsi="Times New Roman" w:cs="Times New Roman"/>
          <w:sz w:val="24"/>
          <w:szCs w:val="24"/>
        </w:rPr>
      </w:pPr>
      <w:r w:rsidRPr="005573DE">
        <w:rPr>
          <w:rFonts w:ascii="Times New Roman" w:hAnsi="Times New Roman" w:cs="Times New Roman"/>
          <w:b/>
          <w:bCs/>
          <w:sz w:val="24"/>
          <w:szCs w:val="24"/>
        </w:rPr>
        <w:lastRenderedPageBreak/>
        <w:t xml:space="preserve">ESF, </w:t>
      </w:r>
      <w:r w:rsidR="005573DE" w:rsidRPr="005573DE">
        <w:rPr>
          <w:rFonts w:ascii="Times New Roman" w:hAnsi="Times New Roman" w:cs="Times New Roman"/>
          <w:b/>
          <w:bCs/>
          <w:sz w:val="24"/>
          <w:szCs w:val="24"/>
        </w:rPr>
        <w:t>Figure 1</w:t>
      </w:r>
      <w:r w:rsidR="005573DE" w:rsidRPr="005573DE">
        <w:rPr>
          <w:rFonts w:ascii="Times New Roman" w:hAnsi="Times New Roman" w:cs="Times New Roman"/>
          <w:sz w:val="24"/>
          <w:szCs w:val="24"/>
        </w:rPr>
        <w:t xml:space="preserve">. </w:t>
      </w:r>
      <w:r w:rsidR="009527B9" w:rsidRPr="005573DE">
        <w:rPr>
          <w:rFonts w:ascii="Times New Roman" w:hAnsi="Times New Roman" w:cs="Times New Roman"/>
          <w:sz w:val="24"/>
          <w:szCs w:val="24"/>
        </w:rPr>
        <w:t xml:space="preserve">Major </w:t>
      </w:r>
      <w:r w:rsidR="005573DE" w:rsidRPr="005573DE">
        <w:rPr>
          <w:rFonts w:ascii="Times New Roman" w:hAnsi="Times New Roman" w:cs="Times New Roman"/>
          <w:sz w:val="24"/>
          <w:szCs w:val="24"/>
        </w:rPr>
        <w:t xml:space="preserve">gut microbiome </w:t>
      </w:r>
      <w:r w:rsidR="009527B9" w:rsidRPr="005573DE">
        <w:rPr>
          <w:rFonts w:ascii="Times New Roman" w:hAnsi="Times New Roman" w:cs="Times New Roman"/>
          <w:sz w:val="24"/>
          <w:szCs w:val="24"/>
        </w:rPr>
        <w:t>compositional patterns</w:t>
      </w:r>
      <w:r w:rsidR="005573DE" w:rsidRPr="005573DE">
        <w:rPr>
          <w:rFonts w:ascii="Times New Roman" w:hAnsi="Times New Roman" w:cs="Times New Roman"/>
          <w:sz w:val="24"/>
          <w:szCs w:val="24"/>
        </w:rPr>
        <w:t xml:space="preserve"> in patients with major depressive disorder (MDD) and healthy controls (HC).</w:t>
      </w:r>
    </w:p>
    <w:p w14:paraId="151A5228" w14:textId="13E02683" w:rsidR="00C941B7" w:rsidRDefault="006A7188" w:rsidP="009C75AB">
      <w:pPr>
        <w:spacing w:after="0" w:line="480" w:lineRule="auto"/>
        <w:ind w:firstLine="720"/>
        <w:jc w:val="both"/>
      </w:pPr>
      <w:r>
        <w:rPr>
          <w:noProof/>
        </w:rPr>
        <w:drawing>
          <wp:inline distT="0" distB="0" distL="0" distR="0" wp14:anchorId="2F67481D" wp14:editId="02C378A1">
            <wp:extent cx="2834452" cy="5100555"/>
            <wp:effectExtent l="0" t="0" r="4445" b="5080"/>
            <wp:docPr id="6" name="Picture 5">
              <a:extLst xmlns:a="http://schemas.openxmlformats.org/drawingml/2006/main">
                <a:ext uri="{FF2B5EF4-FFF2-40B4-BE49-F238E27FC236}">
                  <a16:creationId xmlns:a16="http://schemas.microsoft.com/office/drawing/2014/main" id="{74BF08C3-FD55-42C1-6072-0AF3F5FE53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4BF08C3-FD55-42C1-6072-0AF3F5FE5301}"/>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51140" cy="5130584"/>
                    </a:xfrm>
                    <a:prstGeom prst="rect">
                      <a:avLst/>
                    </a:prstGeom>
                  </pic:spPr>
                </pic:pic>
              </a:graphicData>
            </a:graphic>
          </wp:inline>
        </w:drawing>
      </w:r>
    </w:p>
    <w:p w14:paraId="00C3E681" w14:textId="45568033" w:rsidR="005573DE" w:rsidRDefault="000A03D0" w:rsidP="005573DE">
      <w:pPr>
        <w:spacing w:after="0" w:line="480" w:lineRule="auto"/>
        <w:ind w:firstLine="720"/>
        <w:jc w:val="both"/>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b/>
          <w:bCs/>
          <w:kern w:val="0"/>
          <w:sz w:val="24"/>
          <w:szCs w:val="24"/>
          <w:lang w:bidi="th-TH"/>
          <w14:ligatures w14:val="none"/>
        </w:rPr>
        <w:t xml:space="preserve">ESF, </w:t>
      </w:r>
      <w:r w:rsidR="005573DE" w:rsidRPr="00C941B7">
        <w:rPr>
          <w:rFonts w:ascii="Times New Roman" w:eastAsia="Times New Roman" w:hAnsi="Times New Roman" w:cs="Times New Roman"/>
          <w:b/>
          <w:bCs/>
          <w:kern w:val="0"/>
          <w:sz w:val="24"/>
          <w:szCs w:val="24"/>
          <w:lang w:bidi="th-TH"/>
          <w14:ligatures w14:val="none"/>
        </w:rPr>
        <w:t>Figure 1A</w:t>
      </w:r>
      <w:r w:rsidR="005573DE" w:rsidRPr="00C941B7">
        <w:rPr>
          <w:rFonts w:ascii="Times New Roman" w:eastAsia="Times New Roman" w:hAnsi="Times New Roman" w:cs="Times New Roman"/>
          <w:kern w:val="0"/>
          <w:sz w:val="24"/>
          <w:szCs w:val="24"/>
          <w:lang w:bidi="th-TH"/>
          <w14:ligatures w14:val="none"/>
        </w:rPr>
        <w:t xml:space="preserve"> illustrates the relative abundance of the top 30 dominant bacterial classes in HC and MDD. As evidenced by identical letters (a), the majority of bacterial classes exhibit comparable abundances among groups, indicating that the gut microbiome's overall higher-level phylogenetic structure is relatively stable. Nevertheless, Gammaproteobacteria, Clostridia, and Bacteroidia exhibit substantial </w:t>
      </w:r>
      <w:r w:rsidR="005573DE">
        <w:rPr>
          <w:rFonts w:ascii="Times New Roman" w:eastAsia="Times New Roman" w:hAnsi="Times New Roman" w:cs="Times New Roman"/>
          <w:kern w:val="0"/>
          <w:sz w:val="24"/>
          <w:szCs w:val="24"/>
          <w:lang w:bidi="th-TH"/>
          <w14:ligatures w14:val="none"/>
        </w:rPr>
        <w:t xml:space="preserve">differences </w:t>
      </w:r>
      <w:r w:rsidR="005573DE" w:rsidRPr="00C941B7">
        <w:rPr>
          <w:rFonts w:ascii="Times New Roman" w:eastAsia="Times New Roman" w:hAnsi="Times New Roman" w:cs="Times New Roman"/>
          <w:kern w:val="0"/>
          <w:sz w:val="24"/>
          <w:szCs w:val="24"/>
          <w:lang w:bidi="th-TH"/>
          <w14:ligatures w14:val="none"/>
        </w:rPr>
        <w:t>between MDD</w:t>
      </w:r>
      <w:r w:rsidR="005573DE">
        <w:rPr>
          <w:rFonts w:ascii="Times New Roman" w:eastAsia="Times New Roman" w:hAnsi="Times New Roman" w:cs="Times New Roman"/>
          <w:kern w:val="0"/>
          <w:sz w:val="24"/>
          <w:szCs w:val="24"/>
          <w:lang w:bidi="th-TH"/>
          <w14:ligatures w14:val="none"/>
        </w:rPr>
        <w:t xml:space="preserve"> and controls</w:t>
      </w:r>
      <w:r w:rsidR="005573DE" w:rsidRPr="00C941B7">
        <w:rPr>
          <w:rFonts w:ascii="Times New Roman" w:eastAsia="Times New Roman" w:hAnsi="Times New Roman" w:cs="Times New Roman"/>
          <w:kern w:val="0"/>
          <w:sz w:val="24"/>
          <w:szCs w:val="24"/>
          <w:lang w:bidi="th-TH"/>
          <w14:ligatures w14:val="none"/>
        </w:rPr>
        <w:t xml:space="preserve">. </w:t>
      </w:r>
    </w:p>
    <w:p w14:paraId="4018580F" w14:textId="00F70F45" w:rsidR="006A7188" w:rsidRDefault="006A7188">
      <w:pPr>
        <w:spacing w:line="278" w:lineRule="auto"/>
      </w:pPr>
      <w:r>
        <w:br w:type="page"/>
      </w:r>
    </w:p>
    <w:p w14:paraId="2111790C" w14:textId="53926152" w:rsidR="006A7188" w:rsidRDefault="006A7188" w:rsidP="009C75AB">
      <w:pPr>
        <w:spacing w:after="0" w:line="480" w:lineRule="auto"/>
        <w:ind w:firstLine="720"/>
        <w:jc w:val="both"/>
      </w:pPr>
      <w:r>
        <w:rPr>
          <w:noProof/>
        </w:rPr>
        <w:lastRenderedPageBreak/>
        <w:drawing>
          <wp:inline distT="0" distB="0" distL="0" distR="0" wp14:anchorId="31AC5E15" wp14:editId="42DC4289">
            <wp:extent cx="4684090" cy="5962099"/>
            <wp:effectExtent l="0" t="0" r="2540" b="635"/>
            <wp:docPr id="2" name="Picture 1">
              <a:extLst xmlns:a="http://schemas.openxmlformats.org/drawingml/2006/main">
                <a:ext uri="{FF2B5EF4-FFF2-40B4-BE49-F238E27FC236}">
                  <a16:creationId xmlns:a16="http://schemas.microsoft.com/office/drawing/2014/main" id="{58F1BDEE-9130-E9D5-932A-917CA3061A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8F1BDEE-9130-E9D5-932A-917CA3061A48}"/>
                        </a:ext>
                      </a:extLst>
                    </pic:cNvPr>
                    <pic:cNvPicPr>
                      <a:picLocks noChangeAspect="1"/>
                    </pic:cNvPicPr>
                  </pic:nvPicPr>
                  <pic:blipFill>
                    <a:blip r:embed="rId6"/>
                    <a:stretch>
                      <a:fillRect/>
                    </a:stretch>
                  </pic:blipFill>
                  <pic:spPr>
                    <a:xfrm>
                      <a:off x="0" y="0"/>
                      <a:ext cx="4697118" cy="5978681"/>
                    </a:xfrm>
                    <a:prstGeom prst="rect">
                      <a:avLst/>
                    </a:prstGeom>
                  </pic:spPr>
                </pic:pic>
              </a:graphicData>
            </a:graphic>
          </wp:inline>
        </w:drawing>
      </w:r>
    </w:p>
    <w:p w14:paraId="623A6478" w14:textId="0FF03261" w:rsidR="005573DE" w:rsidRDefault="005573DE" w:rsidP="005573DE">
      <w:pPr>
        <w:spacing w:after="0" w:line="480" w:lineRule="auto"/>
        <w:ind w:firstLine="720"/>
        <w:jc w:val="both"/>
        <w:rPr>
          <w:rFonts w:ascii="Times New Roman" w:eastAsia="Times New Roman" w:hAnsi="Times New Roman" w:cs="Times New Roman"/>
          <w:kern w:val="0"/>
          <w:sz w:val="24"/>
          <w:szCs w:val="24"/>
          <w:lang w:bidi="th-TH"/>
          <w14:ligatures w14:val="none"/>
        </w:rPr>
      </w:pPr>
      <w:r w:rsidRPr="00C941B7">
        <w:rPr>
          <w:rFonts w:ascii="Times New Roman" w:eastAsia="Times New Roman" w:hAnsi="Times New Roman" w:cs="Times New Roman"/>
          <w:kern w:val="0"/>
          <w:sz w:val="24"/>
          <w:szCs w:val="24"/>
          <w:lang w:bidi="th-TH"/>
          <w14:ligatures w14:val="none"/>
        </w:rPr>
        <w:t xml:space="preserve">The relative abundance of the top 30 dominant bacterial orders in MDD </w:t>
      </w:r>
      <w:r>
        <w:rPr>
          <w:rFonts w:ascii="Times New Roman" w:eastAsia="Times New Roman" w:hAnsi="Times New Roman" w:cs="Times New Roman"/>
          <w:kern w:val="0"/>
          <w:sz w:val="24"/>
          <w:szCs w:val="24"/>
          <w:lang w:bidi="th-TH"/>
          <w14:ligatures w14:val="none"/>
        </w:rPr>
        <w:t>and control subjects</w:t>
      </w:r>
      <w:r w:rsidRPr="00C941B7">
        <w:rPr>
          <w:rFonts w:ascii="Times New Roman" w:eastAsia="Times New Roman" w:hAnsi="Times New Roman" w:cs="Times New Roman"/>
          <w:kern w:val="0"/>
          <w:sz w:val="24"/>
          <w:szCs w:val="24"/>
          <w:lang w:bidi="th-TH"/>
          <w14:ligatures w14:val="none"/>
        </w:rPr>
        <w:t xml:space="preserve"> is depicted in </w:t>
      </w:r>
      <w:r w:rsidRPr="00C941B7">
        <w:rPr>
          <w:rFonts w:ascii="Times New Roman" w:eastAsia="Times New Roman" w:hAnsi="Times New Roman" w:cs="Times New Roman"/>
          <w:b/>
          <w:bCs/>
          <w:kern w:val="0"/>
          <w:sz w:val="24"/>
          <w:szCs w:val="24"/>
          <w:lang w:bidi="th-TH"/>
          <w14:ligatures w14:val="none"/>
        </w:rPr>
        <w:t>ESF, Figure 1B</w:t>
      </w:r>
      <w:r w:rsidRPr="00C941B7">
        <w:rPr>
          <w:rFonts w:ascii="Times New Roman" w:eastAsia="Times New Roman" w:hAnsi="Times New Roman" w:cs="Times New Roman"/>
          <w:kern w:val="0"/>
          <w:sz w:val="24"/>
          <w:szCs w:val="24"/>
          <w:lang w:bidi="th-TH"/>
          <w14:ligatures w14:val="none"/>
        </w:rPr>
        <w:t xml:space="preserve">. The majority of orders demonstrate comparable abundances among groups; however, Rhizobiales, Enterobacterales, Corynebacteriales, Chitinophagales, Bacteroidales, and Actinomycetales exhibit </w:t>
      </w:r>
      <w:r w:rsidR="00263211">
        <w:rPr>
          <w:rFonts w:ascii="Times New Roman" w:eastAsia="Times New Roman" w:hAnsi="Times New Roman" w:cs="Times New Roman"/>
          <w:kern w:val="0"/>
          <w:sz w:val="24"/>
          <w:szCs w:val="24"/>
          <w:lang w:bidi="th-TH"/>
          <w14:ligatures w14:val="none"/>
        </w:rPr>
        <w:t xml:space="preserve">significant </w:t>
      </w:r>
      <w:r w:rsidRPr="00C941B7">
        <w:rPr>
          <w:rFonts w:ascii="Times New Roman" w:eastAsia="Times New Roman" w:hAnsi="Times New Roman" w:cs="Times New Roman"/>
          <w:kern w:val="0"/>
          <w:sz w:val="24"/>
          <w:szCs w:val="24"/>
          <w:lang w:bidi="th-TH"/>
          <w14:ligatures w14:val="none"/>
        </w:rPr>
        <w:t>disparities between MDD</w:t>
      </w:r>
      <w:r>
        <w:rPr>
          <w:rFonts w:ascii="Times New Roman" w:eastAsia="Times New Roman" w:hAnsi="Times New Roman" w:cs="Times New Roman"/>
          <w:kern w:val="0"/>
          <w:sz w:val="24"/>
          <w:szCs w:val="24"/>
          <w:lang w:bidi="th-TH"/>
          <w14:ligatures w14:val="none"/>
        </w:rPr>
        <w:t xml:space="preserve"> and controls</w:t>
      </w:r>
      <w:r w:rsidRPr="00C941B7">
        <w:rPr>
          <w:rFonts w:ascii="Times New Roman" w:eastAsia="Times New Roman" w:hAnsi="Times New Roman" w:cs="Times New Roman"/>
          <w:kern w:val="0"/>
          <w:sz w:val="24"/>
          <w:szCs w:val="24"/>
          <w:lang w:bidi="th-TH"/>
          <w14:ligatures w14:val="none"/>
        </w:rPr>
        <w:t xml:space="preserve">. </w:t>
      </w:r>
    </w:p>
    <w:p w14:paraId="61C0C33C" w14:textId="752D3E43" w:rsidR="005573DE" w:rsidRDefault="005573DE">
      <w:pPr>
        <w:spacing w:line="278" w:lineRule="auto"/>
      </w:pPr>
    </w:p>
    <w:p w14:paraId="4050D23A" w14:textId="70B3E1F6" w:rsidR="006A7188" w:rsidRDefault="006A7188">
      <w:pPr>
        <w:spacing w:line="278" w:lineRule="auto"/>
      </w:pPr>
    </w:p>
    <w:p w14:paraId="7E22F31F" w14:textId="65544367" w:rsidR="006A7188" w:rsidRDefault="006A7188" w:rsidP="009C75AB">
      <w:pPr>
        <w:spacing w:after="0" w:line="480" w:lineRule="auto"/>
        <w:ind w:firstLine="720"/>
        <w:jc w:val="both"/>
      </w:pPr>
      <w:r>
        <w:rPr>
          <w:noProof/>
        </w:rPr>
        <w:drawing>
          <wp:inline distT="0" distB="0" distL="0" distR="0" wp14:anchorId="7B4C56D3" wp14:editId="10D9D509">
            <wp:extent cx="3605727" cy="5613253"/>
            <wp:effectExtent l="0" t="0" r="0" b="6985"/>
            <wp:docPr id="884092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20551" cy="5636331"/>
                    </a:xfrm>
                    <a:prstGeom prst="rect">
                      <a:avLst/>
                    </a:prstGeom>
                    <a:noFill/>
                  </pic:spPr>
                </pic:pic>
              </a:graphicData>
            </a:graphic>
          </wp:inline>
        </w:drawing>
      </w:r>
    </w:p>
    <w:p w14:paraId="3FE98669" w14:textId="7D076FCA" w:rsidR="007E4A48" w:rsidRDefault="007E4A48" w:rsidP="007E4A48">
      <w:pPr>
        <w:spacing w:after="0" w:line="480" w:lineRule="auto"/>
        <w:ind w:firstLine="720"/>
        <w:jc w:val="both"/>
        <w:rPr>
          <w:rFonts w:ascii="Times New Roman" w:eastAsia="Times New Roman" w:hAnsi="Times New Roman" w:cs="Times New Roman"/>
          <w:kern w:val="0"/>
          <w:sz w:val="24"/>
          <w:szCs w:val="24"/>
          <w:lang w:bidi="th-TH"/>
          <w14:ligatures w14:val="none"/>
        </w:rPr>
      </w:pPr>
      <w:r w:rsidRPr="00C941B7">
        <w:rPr>
          <w:rFonts w:ascii="Times New Roman" w:eastAsia="Times New Roman" w:hAnsi="Times New Roman" w:cs="Times New Roman"/>
          <w:kern w:val="0"/>
          <w:sz w:val="24"/>
          <w:szCs w:val="24"/>
          <w:lang w:bidi="th-TH"/>
          <w14:ligatures w14:val="none"/>
        </w:rPr>
        <w:t xml:space="preserve">The relative abundance of dominant bacterial families is depicted in </w:t>
      </w:r>
      <w:r w:rsidRPr="00C941B7">
        <w:rPr>
          <w:rFonts w:ascii="Times New Roman" w:eastAsia="Times New Roman" w:hAnsi="Times New Roman" w:cs="Times New Roman"/>
          <w:b/>
          <w:bCs/>
          <w:kern w:val="0"/>
          <w:sz w:val="24"/>
          <w:szCs w:val="24"/>
          <w:lang w:bidi="th-TH"/>
          <w14:ligatures w14:val="none"/>
        </w:rPr>
        <w:t xml:space="preserve">ESF, Figure </w:t>
      </w:r>
      <w:r>
        <w:rPr>
          <w:rFonts w:ascii="Times New Roman" w:eastAsia="Times New Roman" w:hAnsi="Times New Roman" w:cs="Times New Roman"/>
          <w:b/>
          <w:bCs/>
          <w:kern w:val="0"/>
          <w:sz w:val="24"/>
          <w:szCs w:val="24"/>
          <w:lang w:bidi="th-TH"/>
          <w14:ligatures w14:val="none"/>
        </w:rPr>
        <w:t>1</w:t>
      </w:r>
      <w:r w:rsidRPr="00C941B7">
        <w:rPr>
          <w:rFonts w:ascii="Times New Roman" w:eastAsia="Times New Roman" w:hAnsi="Times New Roman" w:cs="Times New Roman"/>
          <w:b/>
          <w:bCs/>
          <w:kern w:val="0"/>
          <w:sz w:val="24"/>
          <w:szCs w:val="24"/>
          <w:lang w:bidi="th-TH"/>
          <w14:ligatures w14:val="none"/>
        </w:rPr>
        <w:t>C</w:t>
      </w:r>
      <w:r w:rsidRPr="00C941B7">
        <w:rPr>
          <w:rFonts w:ascii="Times New Roman" w:eastAsia="Times New Roman" w:hAnsi="Times New Roman" w:cs="Times New Roman"/>
          <w:kern w:val="0"/>
          <w:sz w:val="24"/>
          <w:szCs w:val="24"/>
          <w:lang w:bidi="th-TH"/>
          <w14:ligatures w14:val="none"/>
        </w:rPr>
        <w:t>. The fundamental gut microbiota structure is suggested to be preserved by the similar abundances of most microbial families between groups. Nevertheless, there are families</w:t>
      </w:r>
      <w:r w:rsidR="000A03D0">
        <w:rPr>
          <w:rFonts w:ascii="Times New Roman" w:eastAsia="Times New Roman" w:hAnsi="Times New Roman" w:cs="Times New Roman"/>
          <w:kern w:val="0"/>
          <w:sz w:val="24"/>
          <w:szCs w:val="24"/>
          <w:lang w:bidi="th-TH"/>
          <w14:ligatures w14:val="none"/>
        </w:rPr>
        <w:t xml:space="preserve">, </w:t>
      </w:r>
      <w:r w:rsidRPr="00C941B7">
        <w:rPr>
          <w:rFonts w:ascii="Times New Roman" w:eastAsia="Times New Roman" w:hAnsi="Times New Roman" w:cs="Times New Roman"/>
          <w:kern w:val="0"/>
          <w:sz w:val="24"/>
          <w:szCs w:val="24"/>
          <w:lang w:bidi="th-TH"/>
          <w14:ligatures w14:val="none"/>
        </w:rPr>
        <w:t>such as Tannerellaceae, Ruminococcaceae, Peptostreptococcaceae, Pasteurellaceae, Oscillospiraceae, Enterobacteriaceae, Bacteroidaceae and Anaerovoracaceae</w:t>
      </w:r>
      <w:r w:rsidR="000A03D0">
        <w:rPr>
          <w:rFonts w:ascii="Times New Roman" w:eastAsia="Times New Roman" w:hAnsi="Times New Roman" w:cs="Times New Roman"/>
          <w:kern w:val="0"/>
          <w:sz w:val="24"/>
          <w:szCs w:val="24"/>
          <w:lang w:bidi="th-TH"/>
          <w14:ligatures w14:val="none"/>
        </w:rPr>
        <w:t xml:space="preserve">, </w:t>
      </w:r>
      <w:r w:rsidRPr="00C941B7">
        <w:rPr>
          <w:rFonts w:ascii="Times New Roman" w:eastAsia="Times New Roman" w:hAnsi="Times New Roman" w:cs="Times New Roman"/>
          <w:kern w:val="0"/>
          <w:sz w:val="24"/>
          <w:szCs w:val="24"/>
          <w:lang w:bidi="th-TH"/>
          <w14:ligatures w14:val="none"/>
        </w:rPr>
        <w:t>that exhibit s</w:t>
      </w:r>
      <w:r>
        <w:rPr>
          <w:rFonts w:ascii="Times New Roman" w:eastAsia="Times New Roman" w:hAnsi="Times New Roman" w:cs="Times New Roman"/>
          <w:kern w:val="0"/>
          <w:sz w:val="24"/>
          <w:szCs w:val="24"/>
          <w:lang w:bidi="th-TH"/>
          <w14:ligatures w14:val="none"/>
        </w:rPr>
        <w:t xml:space="preserve">ignificant </w:t>
      </w:r>
      <w:r w:rsidRPr="00C941B7">
        <w:rPr>
          <w:rFonts w:ascii="Times New Roman" w:eastAsia="Times New Roman" w:hAnsi="Times New Roman" w:cs="Times New Roman"/>
          <w:kern w:val="0"/>
          <w:sz w:val="24"/>
          <w:szCs w:val="24"/>
          <w:lang w:bidi="th-TH"/>
          <w14:ligatures w14:val="none"/>
        </w:rPr>
        <w:t>di</w:t>
      </w:r>
      <w:r w:rsidR="005403EB">
        <w:rPr>
          <w:rFonts w:ascii="Times New Roman" w:eastAsia="Times New Roman" w:hAnsi="Times New Roman" w:cs="Times New Roman"/>
          <w:kern w:val="0"/>
          <w:sz w:val="24"/>
          <w:szCs w:val="24"/>
          <w:lang w:bidi="th-TH"/>
          <w14:ligatures w14:val="none"/>
        </w:rPr>
        <w:t>fferences b</w:t>
      </w:r>
      <w:r w:rsidRPr="00C941B7">
        <w:rPr>
          <w:rFonts w:ascii="Times New Roman" w:eastAsia="Times New Roman" w:hAnsi="Times New Roman" w:cs="Times New Roman"/>
          <w:kern w:val="0"/>
          <w:sz w:val="24"/>
          <w:szCs w:val="24"/>
          <w:lang w:bidi="th-TH"/>
          <w14:ligatures w14:val="none"/>
        </w:rPr>
        <w:t xml:space="preserve">etween </w:t>
      </w:r>
      <w:r>
        <w:rPr>
          <w:rFonts w:ascii="Times New Roman" w:eastAsia="Times New Roman" w:hAnsi="Times New Roman" w:cs="Times New Roman"/>
          <w:kern w:val="0"/>
          <w:sz w:val="24"/>
          <w:szCs w:val="24"/>
          <w:lang w:bidi="th-TH"/>
          <w14:ligatures w14:val="none"/>
        </w:rPr>
        <w:t>both groups.</w:t>
      </w:r>
    </w:p>
    <w:p w14:paraId="6CAAC50B" w14:textId="77777777" w:rsidR="006A7188" w:rsidRDefault="006A7188">
      <w:pPr>
        <w:spacing w:line="278" w:lineRule="auto"/>
      </w:pPr>
      <w:r>
        <w:br w:type="page"/>
      </w:r>
    </w:p>
    <w:p w14:paraId="1E5606EC" w14:textId="1D0270CF" w:rsidR="006A7188" w:rsidRDefault="006A7188" w:rsidP="009C75AB">
      <w:pPr>
        <w:spacing w:after="0" w:line="480" w:lineRule="auto"/>
        <w:ind w:firstLine="720"/>
        <w:jc w:val="both"/>
      </w:pPr>
      <w:r>
        <w:rPr>
          <w:noProof/>
        </w:rPr>
        <w:lastRenderedPageBreak/>
        <w:drawing>
          <wp:inline distT="0" distB="0" distL="0" distR="0" wp14:anchorId="7C683315" wp14:editId="770157DD">
            <wp:extent cx="3414787" cy="5697822"/>
            <wp:effectExtent l="0" t="0" r="0" b="0"/>
            <wp:docPr id="257682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991" cy="5723191"/>
                    </a:xfrm>
                    <a:prstGeom prst="rect">
                      <a:avLst/>
                    </a:prstGeom>
                    <a:noFill/>
                  </pic:spPr>
                </pic:pic>
              </a:graphicData>
            </a:graphic>
          </wp:inline>
        </w:drawing>
      </w:r>
    </w:p>
    <w:p w14:paraId="236EFB8A" w14:textId="3139EB9C" w:rsidR="002746C8" w:rsidRDefault="002746C8" w:rsidP="002746C8">
      <w:pPr>
        <w:spacing w:after="0" w:line="480" w:lineRule="auto"/>
        <w:ind w:firstLine="720"/>
        <w:jc w:val="both"/>
        <w:rPr>
          <w:rFonts w:ascii="Times New Roman" w:eastAsia="Times New Roman" w:hAnsi="Times New Roman" w:cs="Times New Roman"/>
          <w:kern w:val="0"/>
          <w:sz w:val="24"/>
          <w:szCs w:val="24"/>
          <w:lang w:bidi="th-TH"/>
          <w14:ligatures w14:val="none"/>
        </w:rPr>
      </w:pPr>
      <w:r w:rsidRPr="00C941B7">
        <w:rPr>
          <w:rFonts w:ascii="Times New Roman" w:eastAsia="Times New Roman" w:hAnsi="Times New Roman" w:cs="Times New Roman"/>
          <w:b/>
          <w:bCs/>
          <w:kern w:val="0"/>
          <w:sz w:val="24"/>
          <w:szCs w:val="24"/>
          <w:lang w:bidi="th-TH"/>
          <w14:ligatures w14:val="none"/>
        </w:rPr>
        <w:t xml:space="preserve">ESF, Figure </w:t>
      </w:r>
      <w:r>
        <w:rPr>
          <w:rFonts w:ascii="Times New Roman" w:eastAsia="Times New Roman" w:hAnsi="Times New Roman" w:cs="Times New Roman"/>
          <w:b/>
          <w:bCs/>
          <w:kern w:val="0"/>
          <w:sz w:val="24"/>
          <w:szCs w:val="24"/>
          <w:lang w:bidi="th-TH"/>
          <w14:ligatures w14:val="none"/>
        </w:rPr>
        <w:t>1D</w:t>
      </w:r>
      <w:r w:rsidRPr="00C941B7">
        <w:rPr>
          <w:rFonts w:ascii="Times New Roman" w:eastAsia="Times New Roman" w:hAnsi="Times New Roman" w:cs="Times New Roman"/>
          <w:kern w:val="0"/>
          <w:sz w:val="24"/>
          <w:szCs w:val="24"/>
          <w:lang w:bidi="th-TH"/>
          <w14:ligatures w14:val="none"/>
        </w:rPr>
        <w:t xml:space="preserve"> displays a heatmap depicting the relative abundance of dominant bacterial genera. The microbial composition</w:t>
      </w:r>
      <w:r>
        <w:rPr>
          <w:rFonts w:ascii="Times New Roman" w:eastAsia="Times New Roman" w:hAnsi="Times New Roman" w:cs="Times New Roman"/>
          <w:kern w:val="0"/>
          <w:sz w:val="24"/>
          <w:szCs w:val="24"/>
          <w:lang w:bidi="th-TH"/>
          <w14:ligatures w14:val="none"/>
        </w:rPr>
        <w:t xml:space="preserve"> </w:t>
      </w:r>
      <w:r w:rsidRPr="00C941B7">
        <w:rPr>
          <w:rFonts w:ascii="Times New Roman" w:eastAsia="Times New Roman" w:hAnsi="Times New Roman" w:cs="Times New Roman"/>
          <w:kern w:val="0"/>
          <w:sz w:val="24"/>
          <w:szCs w:val="24"/>
          <w:lang w:bidi="th-TH"/>
          <w14:ligatures w14:val="none"/>
        </w:rPr>
        <w:t xml:space="preserve">is indicative of differences in genera such as </w:t>
      </w:r>
      <w:r w:rsidRPr="008C3191">
        <w:rPr>
          <w:rFonts w:ascii="Times New Roman" w:eastAsia="Times New Roman" w:hAnsi="Times New Roman" w:cs="Times New Roman"/>
          <w:i/>
          <w:iCs/>
          <w:kern w:val="0"/>
          <w:sz w:val="24"/>
          <w:szCs w:val="24"/>
          <w:lang w:bidi="th-TH"/>
          <w14:ligatures w14:val="none"/>
        </w:rPr>
        <w:t xml:space="preserve">Subdoligranulum, Romboutsia, Parabacteroides, Klebsiella, Dorea, Coprococcus, Colidextribacter, </w:t>
      </w:r>
      <w:r w:rsidRPr="008C3191">
        <w:rPr>
          <w:rFonts w:ascii="Times New Roman" w:eastAsia="Times New Roman" w:hAnsi="Times New Roman" w:cs="Times New Roman"/>
          <w:kern w:val="0"/>
          <w:sz w:val="24"/>
          <w:szCs w:val="24"/>
          <w:lang w:bidi="th-TH"/>
          <w14:ligatures w14:val="none"/>
        </w:rPr>
        <w:t xml:space="preserve">and </w:t>
      </w:r>
      <w:r w:rsidRPr="008C3191">
        <w:rPr>
          <w:rFonts w:ascii="Times New Roman" w:eastAsia="Times New Roman" w:hAnsi="Times New Roman" w:cs="Times New Roman"/>
          <w:i/>
          <w:iCs/>
          <w:kern w:val="0"/>
          <w:sz w:val="24"/>
          <w:szCs w:val="24"/>
          <w:lang w:bidi="th-TH"/>
          <w14:ligatures w14:val="none"/>
        </w:rPr>
        <w:t>Bacteroides</w:t>
      </w:r>
      <w:r w:rsidRPr="00C941B7">
        <w:rPr>
          <w:rFonts w:ascii="Times New Roman" w:eastAsia="Times New Roman" w:hAnsi="Times New Roman" w:cs="Times New Roman"/>
          <w:kern w:val="0"/>
          <w:sz w:val="24"/>
          <w:szCs w:val="24"/>
          <w:lang w:bidi="th-TH"/>
          <w14:ligatures w14:val="none"/>
        </w:rPr>
        <w:t xml:space="preserve">. In contrast, the abundances of </w:t>
      </w:r>
      <w:r w:rsidR="008C3191">
        <w:rPr>
          <w:rFonts w:ascii="Times New Roman" w:eastAsia="Times New Roman" w:hAnsi="Times New Roman" w:cs="Times New Roman"/>
          <w:kern w:val="0"/>
          <w:sz w:val="24"/>
          <w:szCs w:val="24"/>
          <w:lang w:bidi="th-TH"/>
          <w14:ligatures w14:val="none"/>
        </w:rPr>
        <w:t xml:space="preserve">many </w:t>
      </w:r>
      <w:r w:rsidRPr="00C941B7">
        <w:rPr>
          <w:rFonts w:ascii="Times New Roman" w:eastAsia="Times New Roman" w:hAnsi="Times New Roman" w:cs="Times New Roman"/>
          <w:kern w:val="0"/>
          <w:sz w:val="24"/>
          <w:szCs w:val="24"/>
          <w:lang w:bidi="th-TH"/>
          <w14:ligatures w14:val="none"/>
        </w:rPr>
        <w:t xml:space="preserve">genera, such as </w:t>
      </w:r>
      <w:r w:rsidRPr="008C3191">
        <w:rPr>
          <w:rFonts w:ascii="Times New Roman" w:eastAsia="Times New Roman" w:hAnsi="Times New Roman" w:cs="Times New Roman"/>
          <w:i/>
          <w:iCs/>
          <w:kern w:val="0"/>
          <w:sz w:val="24"/>
          <w:szCs w:val="24"/>
          <w:lang w:bidi="th-TH"/>
          <w14:ligatures w14:val="none"/>
        </w:rPr>
        <w:t xml:space="preserve">Blautia, Faecalibacterium, Bifidobacterium, Roseburia, </w:t>
      </w:r>
      <w:r w:rsidRPr="008C3191">
        <w:rPr>
          <w:rFonts w:ascii="Times New Roman" w:eastAsia="Times New Roman" w:hAnsi="Times New Roman" w:cs="Times New Roman"/>
          <w:kern w:val="0"/>
          <w:sz w:val="24"/>
          <w:szCs w:val="24"/>
          <w:lang w:bidi="th-TH"/>
          <w14:ligatures w14:val="none"/>
        </w:rPr>
        <w:t>and</w:t>
      </w:r>
      <w:r w:rsidRPr="008C3191">
        <w:rPr>
          <w:rFonts w:ascii="Times New Roman" w:eastAsia="Times New Roman" w:hAnsi="Times New Roman" w:cs="Times New Roman"/>
          <w:i/>
          <w:iCs/>
          <w:kern w:val="0"/>
          <w:sz w:val="24"/>
          <w:szCs w:val="24"/>
          <w:lang w:bidi="th-TH"/>
          <w14:ligatures w14:val="none"/>
        </w:rPr>
        <w:t xml:space="preserve"> Ruminococcus</w:t>
      </w:r>
      <w:r w:rsidRPr="00C941B7">
        <w:rPr>
          <w:rFonts w:ascii="Times New Roman" w:eastAsia="Times New Roman" w:hAnsi="Times New Roman" w:cs="Times New Roman"/>
          <w:kern w:val="0"/>
          <w:sz w:val="24"/>
          <w:szCs w:val="24"/>
          <w:lang w:bidi="th-TH"/>
          <w14:ligatures w14:val="none"/>
        </w:rPr>
        <w:t xml:space="preserve">, are comparable in both groups, suggesting the preservation of essential commensal bacteria. </w:t>
      </w:r>
    </w:p>
    <w:p w14:paraId="01AE68D4" w14:textId="7E7CC4DE" w:rsidR="006A7188" w:rsidRDefault="006A7188">
      <w:pPr>
        <w:spacing w:line="278" w:lineRule="auto"/>
      </w:pPr>
    </w:p>
    <w:p w14:paraId="66A32D01" w14:textId="30371EAD" w:rsidR="006A7188" w:rsidRDefault="006A7188" w:rsidP="009C75AB">
      <w:pPr>
        <w:spacing w:after="0" w:line="480" w:lineRule="auto"/>
        <w:ind w:firstLine="720"/>
        <w:jc w:val="both"/>
      </w:pPr>
      <w:r>
        <w:rPr>
          <w:noProof/>
        </w:rPr>
        <w:lastRenderedPageBreak/>
        <w:drawing>
          <wp:inline distT="0" distB="0" distL="0" distR="0" wp14:anchorId="41AC497D" wp14:editId="0C8AF3A2">
            <wp:extent cx="5340941" cy="4350007"/>
            <wp:effectExtent l="0" t="0" r="0" b="0"/>
            <wp:docPr id="8295841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7555" cy="4363538"/>
                    </a:xfrm>
                    <a:prstGeom prst="rect">
                      <a:avLst/>
                    </a:prstGeom>
                    <a:noFill/>
                  </pic:spPr>
                </pic:pic>
              </a:graphicData>
            </a:graphic>
          </wp:inline>
        </w:drawing>
      </w:r>
    </w:p>
    <w:p w14:paraId="49B13EEE" w14:textId="77777777" w:rsidR="0019605D" w:rsidRPr="00C941B7" w:rsidRDefault="0019605D" w:rsidP="0019605D">
      <w:pPr>
        <w:spacing w:after="0" w:line="480" w:lineRule="auto"/>
        <w:ind w:firstLine="720"/>
        <w:jc w:val="both"/>
        <w:rPr>
          <w:rFonts w:ascii="Times New Roman" w:eastAsia="Times New Roman" w:hAnsi="Times New Roman" w:cs="Times New Roman"/>
          <w:kern w:val="0"/>
          <w:sz w:val="24"/>
          <w:szCs w:val="24"/>
          <w:lang w:bidi="th-TH"/>
          <w14:ligatures w14:val="none"/>
        </w:rPr>
      </w:pPr>
      <w:r w:rsidRPr="00C941B7">
        <w:rPr>
          <w:rFonts w:ascii="Times New Roman" w:eastAsia="Times New Roman" w:hAnsi="Times New Roman" w:cs="Times New Roman"/>
          <w:kern w:val="0"/>
          <w:sz w:val="24"/>
          <w:szCs w:val="24"/>
          <w:lang w:bidi="th-TH"/>
          <w14:ligatures w14:val="none"/>
        </w:rPr>
        <w:t xml:space="preserve">The relative abundance of dominant bacterial species is depicted in the heatmap in </w:t>
      </w:r>
      <w:r w:rsidRPr="00C941B7">
        <w:rPr>
          <w:rFonts w:ascii="Times New Roman" w:eastAsia="Times New Roman" w:hAnsi="Times New Roman" w:cs="Times New Roman"/>
          <w:b/>
          <w:bCs/>
          <w:kern w:val="0"/>
          <w:sz w:val="24"/>
          <w:szCs w:val="24"/>
          <w:lang w:bidi="th-TH"/>
          <w14:ligatures w14:val="none"/>
        </w:rPr>
        <w:t xml:space="preserve">ESF, Figure </w:t>
      </w:r>
      <w:r>
        <w:rPr>
          <w:rFonts w:ascii="Times New Roman" w:eastAsia="Times New Roman" w:hAnsi="Times New Roman" w:cs="Times New Roman"/>
          <w:b/>
          <w:bCs/>
          <w:kern w:val="0"/>
          <w:sz w:val="24"/>
          <w:szCs w:val="24"/>
          <w:lang w:bidi="th-TH"/>
          <w14:ligatures w14:val="none"/>
        </w:rPr>
        <w:t>1E</w:t>
      </w:r>
      <w:r w:rsidRPr="00C941B7">
        <w:rPr>
          <w:rFonts w:ascii="Times New Roman" w:eastAsia="Times New Roman" w:hAnsi="Times New Roman" w:cs="Times New Roman"/>
          <w:kern w:val="0"/>
          <w:sz w:val="24"/>
          <w:szCs w:val="24"/>
          <w:lang w:bidi="th-TH"/>
          <w14:ligatures w14:val="none"/>
        </w:rPr>
        <w:t xml:space="preserve">. The selective alterations at the species level are indicated by the differences in </w:t>
      </w:r>
      <w:r w:rsidRPr="008C3191">
        <w:rPr>
          <w:rFonts w:ascii="Times New Roman" w:eastAsia="Times New Roman" w:hAnsi="Times New Roman" w:cs="Times New Roman"/>
          <w:i/>
          <w:iCs/>
          <w:kern w:val="0"/>
          <w:sz w:val="24"/>
          <w:szCs w:val="24"/>
          <w:lang w:bidi="th-TH"/>
          <w14:ligatures w14:val="none"/>
        </w:rPr>
        <w:t xml:space="preserve">Variovorax sp. PMC12, Slackia piriformis, Roseburia hominis A2–183, Odoribacter splanchnicus, </w:t>
      </w:r>
      <w:r w:rsidRPr="008C3191">
        <w:rPr>
          <w:rFonts w:ascii="Times New Roman" w:eastAsia="Times New Roman" w:hAnsi="Times New Roman" w:cs="Times New Roman"/>
          <w:kern w:val="0"/>
          <w:sz w:val="24"/>
          <w:szCs w:val="24"/>
          <w:lang w:bidi="th-TH"/>
          <w14:ligatures w14:val="none"/>
        </w:rPr>
        <w:t>and</w:t>
      </w:r>
      <w:r w:rsidRPr="008C3191">
        <w:rPr>
          <w:rFonts w:ascii="Times New Roman" w:eastAsia="Times New Roman" w:hAnsi="Times New Roman" w:cs="Times New Roman"/>
          <w:i/>
          <w:iCs/>
          <w:kern w:val="0"/>
          <w:sz w:val="24"/>
          <w:szCs w:val="24"/>
          <w:lang w:bidi="th-TH"/>
          <w14:ligatures w14:val="none"/>
        </w:rPr>
        <w:t xml:space="preserve"> Bacteroides salyersiae.</w:t>
      </w:r>
      <w:r w:rsidRPr="00C941B7">
        <w:rPr>
          <w:rFonts w:ascii="Times New Roman" w:eastAsia="Times New Roman" w:hAnsi="Times New Roman" w:cs="Times New Roman"/>
          <w:kern w:val="0"/>
          <w:sz w:val="24"/>
          <w:szCs w:val="24"/>
          <w:lang w:bidi="th-TH"/>
          <w14:ligatures w14:val="none"/>
        </w:rPr>
        <w:t xml:space="preserve"> </w:t>
      </w:r>
    </w:p>
    <w:p w14:paraId="797D12BF" w14:textId="77777777" w:rsidR="00094F0B" w:rsidRDefault="00094F0B" w:rsidP="009C75AB">
      <w:pPr>
        <w:spacing w:after="0" w:line="480" w:lineRule="auto"/>
        <w:ind w:firstLine="720"/>
        <w:jc w:val="both"/>
      </w:pPr>
    </w:p>
    <w:p w14:paraId="4BEF5355" w14:textId="77777777" w:rsidR="00094F0B" w:rsidRDefault="00094F0B" w:rsidP="009C75AB">
      <w:pPr>
        <w:spacing w:after="0" w:line="480" w:lineRule="auto"/>
        <w:ind w:firstLine="720"/>
        <w:jc w:val="both"/>
      </w:pPr>
    </w:p>
    <w:p w14:paraId="7C62A7F4" w14:textId="6FD223A3" w:rsidR="00094F0B" w:rsidRDefault="00094F0B">
      <w:pPr>
        <w:spacing w:line="278" w:lineRule="auto"/>
      </w:pPr>
      <w:r>
        <w:br w:type="page"/>
      </w:r>
    </w:p>
    <w:p w14:paraId="1329EF75" w14:textId="737D291B" w:rsidR="00DD3D68" w:rsidRPr="008F1668" w:rsidRDefault="00094F0B" w:rsidP="00642C6F">
      <w:pPr>
        <w:spacing w:after="0"/>
        <w:rPr>
          <w:rStyle w:val="Strong"/>
          <w:rFonts w:ascii="Times New Roman" w:eastAsiaTheme="majorEastAsia" w:hAnsi="Times New Roman" w:cs="Times New Roman"/>
          <w:b w:val="0"/>
          <w:bCs w:val="0"/>
          <w:sz w:val="24"/>
          <w:szCs w:val="24"/>
        </w:rPr>
      </w:pPr>
      <w:r w:rsidRPr="008F1668">
        <w:rPr>
          <w:rFonts w:ascii="Times New Roman" w:hAnsi="Times New Roman" w:cs="Times New Roman"/>
          <w:b/>
          <w:bCs/>
          <w:sz w:val="24"/>
          <w:szCs w:val="24"/>
        </w:rPr>
        <w:lastRenderedPageBreak/>
        <w:t xml:space="preserve">ESF, </w:t>
      </w:r>
      <w:r w:rsidR="008F1668" w:rsidRPr="008F1668">
        <w:rPr>
          <w:rFonts w:ascii="Times New Roman" w:hAnsi="Times New Roman" w:cs="Times New Roman"/>
          <w:b/>
          <w:bCs/>
          <w:sz w:val="24"/>
          <w:szCs w:val="24"/>
        </w:rPr>
        <w:t>Figure 2</w:t>
      </w:r>
      <w:r w:rsidR="008F1668">
        <w:rPr>
          <w:rFonts w:ascii="Times New Roman" w:hAnsi="Times New Roman" w:cs="Times New Roman"/>
          <w:b/>
          <w:bCs/>
          <w:sz w:val="24"/>
          <w:szCs w:val="24"/>
        </w:rPr>
        <w:t>.</w:t>
      </w:r>
      <w:r w:rsidR="008F1668" w:rsidRPr="008F1668">
        <w:rPr>
          <w:rFonts w:ascii="Times New Roman" w:hAnsi="Times New Roman" w:cs="Times New Roman"/>
          <w:b/>
          <w:bCs/>
          <w:sz w:val="24"/>
          <w:szCs w:val="24"/>
        </w:rPr>
        <w:t xml:space="preserve"> </w:t>
      </w:r>
      <w:r w:rsidR="008F1668">
        <w:rPr>
          <w:rStyle w:val="Strong"/>
          <w:rFonts w:ascii="Times New Roman" w:eastAsiaTheme="majorEastAsia" w:hAnsi="Times New Roman" w:cs="Times New Roman"/>
          <w:b w:val="0"/>
          <w:bCs w:val="0"/>
          <w:sz w:val="24"/>
          <w:szCs w:val="24"/>
        </w:rPr>
        <w:t>Ph</w:t>
      </w:r>
      <w:r w:rsidRPr="008F1668">
        <w:rPr>
          <w:rStyle w:val="Strong"/>
          <w:rFonts w:ascii="Times New Roman" w:eastAsiaTheme="majorEastAsia" w:hAnsi="Times New Roman" w:cs="Times New Roman"/>
          <w:b w:val="0"/>
          <w:bCs w:val="0"/>
          <w:sz w:val="24"/>
          <w:szCs w:val="24"/>
        </w:rPr>
        <w:t>ylogenetic cladogram</w:t>
      </w:r>
    </w:p>
    <w:p w14:paraId="3B4FA70A" w14:textId="7960EFDE" w:rsidR="00094F0B" w:rsidRDefault="00094F0B" w:rsidP="009C75AB">
      <w:pPr>
        <w:spacing w:after="0" w:line="480" w:lineRule="auto"/>
        <w:ind w:firstLine="720"/>
        <w:jc w:val="both"/>
      </w:pPr>
      <w:r>
        <w:rPr>
          <w:noProof/>
        </w:rPr>
        <w:drawing>
          <wp:inline distT="0" distB="0" distL="0" distR="0" wp14:anchorId="16DF05A5" wp14:editId="4D5F4587">
            <wp:extent cx="6305550" cy="6305550"/>
            <wp:effectExtent l="0" t="0" r="0" b="0"/>
            <wp:docPr id="5" name="Picture 4">
              <a:extLst xmlns:a="http://schemas.openxmlformats.org/drawingml/2006/main">
                <a:ext uri="{FF2B5EF4-FFF2-40B4-BE49-F238E27FC236}">
                  <a16:creationId xmlns:a16="http://schemas.microsoft.com/office/drawing/2014/main" id="{CDB46380-507C-1E81-6E17-F7CA367555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DB46380-507C-1E81-6E17-F7CA3675551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05550" cy="6305550"/>
                    </a:xfrm>
                    <a:prstGeom prst="rect">
                      <a:avLst/>
                    </a:prstGeom>
                  </pic:spPr>
                </pic:pic>
              </a:graphicData>
            </a:graphic>
          </wp:inline>
        </w:drawing>
      </w:r>
    </w:p>
    <w:p w14:paraId="36911162" w14:textId="65495594" w:rsidR="008F1668" w:rsidRDefault="008F1668" w:rsidP="008F1668">
      <w:pPr>
        <w:spacing w:after="0" w:line="480" w:lineRule="auto"/>
        <w:ind w:firstLine="720"/>
        <w:jc w:val="both"/>
        <w:rPr>
          <w:rFonts w:ascii="Times New Roman" w:eastAsia="Times New Roman" w:hAnsi="Times New Roman" w:cs="Times New Roman"/>
          <w:kern w:val="0"/>
          <w:sz w:val="24"/>
          <w:szCs w:val="24"/>
          <w:lang w:bidi="th-TH"/>
          <w14:ligatures w14:val="none"/>
        </w:rPr>
      </w:pPr>
      <w:r w:rsidRPr="00DD3D68">
        <w:rPr>
          <w:rFonts w:ascii="Times New Roman" w:eastAsia="Times New Roman" w:hAnsi="Times New Roman" w:cs="Times New Roman"/>
          <w:kern w:val="0"/>
          <w:sz w:val="24"/>
          <w:szCs w:val="24"/>
          <w:lang w:bidi="th-TH"/>
          <w14:ligatures w14:val="none"/>
        </w:rPr>
        <w:t xml:space="preserve">ESF, Figure 2 illustrates the LEfSe phylogenetic cladogram, which identifies bacterial taxa that are distinct </w:t>
      </w:r>
      <w:r w:rsidR="00723CFB">
        <w:rPr>
          <w:rFonts w:ascii="Times New Roman" w:eastAsia="Times New Roman" w:hAnsi="Times New Roman" w:cs="Times New Roman"/>
          <w:kern w:val="0"/>
          <w:sz w:val="24"/>
          <w:szCs w:val="24"/>
          <w:lang w:bidi="th-TH"/>
          <w14:ligatures w14:val="none"/>
        </w:rPr>
        <w:t>between major depression (</w:t>
      </w:r>
      <w:r w:rsidRPr="00DD3D68">
        <w:rPr>
          <w:rFonts w:ascii="Times New Roman" w:eastAsia="Times New Roman" w:hAnsi="Times New Roman" w:cs="Times New Roman"/>
          <w:kern w:val="0"/>
          <w:sz w:val="24"/>
          <w:szCs w:val="24"/>
          <w:lang w:bidi="th-TH"/>
          <w14:ligatures w14:val="none"/>
        </w:rPr>
        <w:t>MDD</w:t>
      </w:r>
      <w:r w:rsidR="00723CFB">
        <w:rPr>
          <w:rFonts w:ascii="Times New Roman" w:eastAsia="Times New Roman" w:hAnsi="Times New Roman" w:cs="Times New Roman"/>
          <w:kern w:val="0"/>
          <w:sz w:val="24"/>
          <w:szCs w:val="24"/>
          <w:lang w:bidi="th-TH"/>
          <w14:ligatures w14:val="none"/>
        </w:rPr>
        <w:t>)</w:t>
      </w:r>
      <w:r w:rsidRPr="00DD3D68">
        <w:rPr>
          <w:rFonts w:ascii="Times New Roman" w:eastAsia="Times New Roman" w:hAnsi="Times New Roman" w:cs="Times New Roman"/>
          <w:kern w:val="0"/>
          <w:sz w:val="24"/>
          <w:szCs w:val="24"/>
          <w:lang w:bidi="th-TH"/>
          <w14:ligatures w14:val="none"/>
        </w:rPr>
        <w:t xml:space="preserve"> and </w:t>
      </w:r>
      <w:r w:rsidR="00723CFB">
        <w:rPr>
          <w:rFonts w:ascii="Times New Roman" w:eastAsia="Times New Roman" w:hAnsi="Times New Roman" w:cs="Times New Roman"/>
          <w:kern w:val="0"/>
          <w:sz w:val="24"/>
          <w:szCs w:val="24"/>
          <w:lang w:bidi="th-TH"/>
          <w14:ligatures w14:val="none"/>
        </w:rPr>
        <w:t xml:space="preserve">healthy </w:t>
      </w:r>
      <w:r w:rsidRPr="00DD3D68">
        <w:rPr>
          <w:rFonts w:ascii="Times New Roman" w:eastAsia="Times New Roman" w:hAnsi="Times New Roman" w:cs="Times New Roman"/>
          <w:kern w:val="0"/>
          <w:sz w:val="24"/>
          <w:szCs w:val="24"/>
          <w:lang w:bidi="th-TH"/>
          <w14:ligatures w14:val="none"/>
        </w:rPr>
        <w:t>controls</w:t>
      </w:r>
      <w:r w:rsidR="00723CFB">
        <w:rPr>
          <w:rFonts w:ascii="Times New Roman" w:eastAsia="Times New Roman" w:hAnsi="Times New Roman" w:cs="Times New Roman"/>
          <w:kern w:val="0"/>
          <w:sz w:val="24"/>
          <w:szCs w:val="24"/>
          <w:lang w:bidi="th-TH"/>
          <w14:ligatures w14:val="none"/>
        </w:rPr>
        <w:t xml:space="preserve"> (HC)</w:t>
      </w:r>
      <w:r>
        <w:rPr>
          <w:rFonts w:ascii="Times New Roman" w:eastAsia="Times New Roman" w:hAnsi="Times New Roman" w:cs="Times New Roman"/>
          <w:kern w:val="0"/>
          <w:sz w:val="24"/>
          <w:szCs w:val="24"/>
          <w:lang w:bidi="th-TH"/>
          <w14:ligatures w14:val="none"/>
        </w:rPr>
        <w:t xml:space="preserve">. </w:t>
      </w:r>
      <w:r w:rsidRPr="00DD3D68">
        <w:rPr>
          <w:rFonts w:ascii="Times New Roman" w:eastAsia="Times New Roman" w:hAnsi="Times New Roman" w:cs="Times New Roman"/>
          <w:kern w:val="0"/>
          <w:sz w:val="24"/>
          <w:szCs w:val="24"/>
          <w:lang w:bidi="th-TH"/>
          <w14:ligatures w14:val="none"/>
        </w:rPr>
        <w:t xml:space="preserve">The cladogram illustrates the phylogenetic hierarchy of bacterial taxa, highlighting those that exhibit significant differences from phylum to lower taxonomic levels. </w:t>
      </w:r>
      <w:r w:rsidR="00257832">
        <w:rPr>
          <w:rFonts w:ascii="Times New Roman" w:eastAsia="Times New Roman" w:hAnsi="Times New Roman" w:cs="Times New Roman"/>
          <w:kern w:val="0"/>
          <w:sz w:val="24"/>
          <w:szCs w:val="24"/>
          <w:lang w:bidi="th-TH"/>
          <w14:ligatures w14:val="none"/>
        </w:rPr>
        <w:t xml:space="preserve">Green </w:t>
      </w:r>
      <w:r w:rsidRPr="00DD3D68">
        <w:rPr>
          <w:rFonts w:ascii="Times New Roman" w:eastAsia="Times New Roman" w:hAnsi="Times New Roman" w:cs="Times New Roman"/>
          <w:kern w:val="0"/>
          <w:sz w:val="24"/>
          <w:szCs w:val="24"/>
          <w:lang w:bidi="th-TH"/>
          <w14:ligatures w14:val="none"/>
        </w:rPr>
        <w:t xml:space="preserve">nodes in the cladogram denote taxa </w:t>
      </w:r>
      <w:r w:rsidRPr="00DD3D68">
        <w:rPr>
          <w:rFonts w:ascii="Times New Roman" w:eastAsia="Times New Roman" w:hAnsi="Times New Roman" w:cs="Times New Roman"/>
          <w:kern w:val="0"/>
          <w:sz w:val="24"/>
          <w:szCs w:val="24"/>
          <w:lang w:bidi="th-TH"/>
          <w14:ligatures w14:val="none"/>
        </w:rPr>
        <w:lastRenderedPageBreak/>
        <w:t xml:space="preserve">that are enriched in MDD, </w:t>
      </w:r>
      <w:r w:rsidR="00257832">
        <w:rPr>
          <w:rFonts w:ascii="Times New Roman" w:eastAsia="Times New Roman" w:hAnsi="Times New Roman" w:cs="Times New Roman"/>
          <w:kern w:val="0"/>
          <w:sz w:val="24"/>
          <w:szCs w:val="24"/>
          <w:lang w:bidi="th-TH"/>
          <w14:ligatures w14:val="none"/>
        </w:rPr>
        <w:t xml:space="preserve">whereas red </w:t>
      </w:r>
      <w:r w:rsidRPr="00DD3D68">
        <w:rPr>
          <w:rFonts w:ascii="Times New Roman" w:eastAsia="Times New Roman" w:hAnsi="Times New Roman" w:cs="Times New Roman"/>
          <w:kern w:val="0"/>
          <w:sz w:val="24"/>
          <w:szCs w:val="24"/>
          <w:lang w:bidi="th-TH"/>
          <w14:ligatures w14:val="none"/>
        </w:rPr>
        <w:t>nodes in the cladogram denote taxa that are enriched in HC, and yellow nodes represent taxa that do not exhibit any significant distinctions.</w:t>
      </w:r>
      <w:r w:rsidR="00257832">
        <w:rPr>
          <w:rFonts w:ascii="Times New Roman" w:eastAsia="Times New Roman" w:hAnsi="Times New Roman" w:cs="Times New Roman"/>
          <w:kern w:val="0"/>
          <w:sz w:val="24"/>
          <w:szCs w:val="24"/>
          <w:lang w:bidi="th-TH"/>
          <w14:ligatures w14:val="none"/>
        </w:rPr>
        <w:t xml:space="preserve"> </w:t>
      </w:r>
      <w:r w:rsidRPr="00DD3D68">
        <w:rPr>
          <w:rFonts w:ascii="Times New Roman" w:eastAsia="Times New Roman" w:hAnsi="Times New Roman" w:cs="Times New Roman"/>
          <w:kern w:val="0"/>
          <w:sz w:val="24"/>
          <w:szCs w:val="24"/>
          <w:lang w:bidi="th-TH"/>
          <w14:ligatures w14:val="none"/>
        </w:rPr>
        <w:t>In general, the figure demonstrates that microbial differences between groups are observed within specific phylogenetic branches rather than across the entire microbiome, indicati</w:t>
      </w:r>
      <w:r>
        <w:rPr>
          <w:rFonts w:ascii="Times New Roman" w:eastAsia="Times New Roman" w:hAnsi="Times New Roman" w:cs="Times New Roman"/>
          <w:kern w:val="0"/>
          <w:sz w:val="24"/>
          <w:szCs w:val="24"/>
          <w:lang w:bidi="th-TH"/>
          <w14:ligatures w14:val="none"/>
        </w:rPr>
        <w:t xml:space="preserve">ng </w:t>
      </w:r>
      <w:r w:rsidRPr="00DD3D68">
        <w:rPr>
          <w:rFonts w:ascii="Times New Roman" w:eastAsia="Times New Roman" w:hAnsi="Times New Roman" w:cs="Times New Roman"/>
          <w:kern w:val="0"/>
          <w:sz w:val="24"/>
          <w:szCs w:val="24"/>
          <w:lang w:bidi="th-TH"/>
          <w14:ligatures w14:val="none"/>
        </w:rPr>
        <w:t>selective microbial shifts in MDD.</w:t>
      </w:r>
    </w:p>
    <w:p w14:paraId="28303E05" w14:textId="6E22222B" w:rsidR="008F1668" w:rsidRPr="00DD3D68" w:rsidRDefault="008F1668" w:rsidP="008F1668">
      <w:pPr>
        <w:spacing w:after="0" w:line="480" w:lineRule="auto"/>
        <w:ind w:firstLine="720"/>
        <w:jc w:val="both"/>
        <w:rPr>
          <w:rFonts w:ascii="Times New Roman" w:eastAsia="Times New Roman" w:hAnsi="Times New Roman" w:cs="Times New Roman"/>
          <w:kern w:val="0"/>
          <w:sz w:val="24"/>
          <w:szCs w:val="24"/>
          <w:lang w:bidi="th-TH"/>
          <w14:ligatures w14:val="none"/>
        </w:rPr>
      </w:pPr>
      <w:r w:rsidRPr="00DD3D68">
        <w:rPr>
          <w:rFonts w:ascii="Times New Roman" w:eastAsia="Times New Roman" w:hAnsi="Times New Roman" w:cs="Times New Roman"/>
          <w:kern w:val="0"/>
          <w:sz w:val="24"/>
          <w:szCs w:val="24"/>
          <w:lang w:bidi="th-TH"/>
          <w14:ligatures w14:val="none"/>
        </w:rPr>
        <w:t xml:space="preserve">Several taxa belonging to the Bacteroidota lineage appear enriched in MDD, including branches within Bacteroidales → Tannerellaceae → </w:t>
      </w:r>
      <w:r w:rsidRPr="00257832">
        <w:rPr>
          <w:rFonts w:ascii="Times New Roman" w:eastAsia="Times New Roman" w:hAnsi="Times New Roman" w:cs="Times New Roman"/>
          <w:i/>
          <w:iCs/>
          <w:kern w:val="0"/>
          <w:sz w:val="24"/>
          <w:szCs w:val="24"/>
          <w:lang w:bidi="th-TH"/>
          <w14:ligatures w14:val="none"/>
        </w:rPr>
        <w:t>Parabacteroides</w:t>
      </w:r>
      <w:r>
        <w:rPr>
          <w:rFonts w:ascii="Times New Roman" w:eastAsia="Times New Roman" w:hAnsi="Times New Roman" w:cs="Times New Roman"/>
          <w:kern w:val="0"/>
          <w:sz w:val="24"/>
          <w:szCs w:val="24"/>
          <w:lang w:bidi="th-TH"/>
          <w14:ligatures w14:val="none"/>
        </w:rPr>
        <w:t xml:space="preserve"> and </w:t>
      </w:r>
      <w:r w:rsidRPr="00DD3D68">
        <w:rPr>
          <w:rFonts w:ascii="Times New Roman" w:eastAsia="Times New Roman" w:hAnsi="Times New Roman" w:cs="Times New Roman"/>
          <w:kern w:val="0"/>
          <w:sz w:val="24"/>
          <w:szCs w:val="24"/>
          <w:lang w:bidi="th-TH"/>
          <w14:ligatures w14:val="none"/>
        </w:rPr>
        <w:t xml:space="preserve">related </w:t>
      </w:r>
      <w:r w:rsidR="00FB1B49" w:rsidRPr="00DD3D68">
        <w:rPr>
          <w:rFonts w:ascii="Times New Roman" w:eastAsia="Times New Roman" w:hAnsi="Times New Roman" w:cs="Times New Roman"/>
          <w:kern w:val="0"/>
          <w:sz w:val="24"/>
          <w:szCs w:val="24"/>
          <w:lang w:bidi="th-TH"/>
          <w14:ligatures w14:val="none"/>
        </w:rPr>
        <w:t>taxa:</w:t>
      </w:r>
      <w:r w:rsidRPr="00DD3D68">
        <w:rPr>
          <w:rFonts w:ascii="Times New Roman" w:eastAsia="Times New Roman" w:hAnsi="Times New Roman" w:cs="Times New Roman"/>
          <w:kern w:val="0"/>
          <w:sz w:val="24"/>
          <w:szCs w:val="24"/>
          <w:lang w:bidi="th-TH"/>
          <w14:ligatures w14:val="none"/>
        </w:rPr>
        <w:t xml:space="preserve"> Bacteroidales → Bacteroidaceae → </w:t>
      </w:r>
      <w:r w:rsidRPr="00257832">
        <w:rPr>
          <w:rFonts w:ascii="Times New Roman" w:eastAsia="Times New Roman" w:hAnsi="Times New Roman" w:cs="Times New Roman"/>
          <w:i/>
          <w:iCs/>
          <w:kern w:val="0"/>
          <w:sz w:val="24"/>
          <w:szCs w:val="24"/>
          <w:lang w:bidi="th-TH"/>
          <w14:ligatures w14:val="none"/>
        </w:rPr>
        <w:t>Bacteroides</w:t>
      </w:r>
      <w:r w:rsidRPr="00DD3D68">
        <w:rPr>
          <w:rFonts w:ascii="Times New Roman" w:eastAsia="Times New Roman" w:hAnsi="Times New Roman" w:cs="Times New Roman"/>
          <w:kern w:val="0"/>
          <w:sz w:val="24"/>
          <w:szCs w:val="24"/>
          <w:lang w:bidi="th-TH"/>
          <w14:ligatures w14:val="none"/>
        </w:rPr>
        <w:t xml:space="preserve">. Within Proteobacteria, enrichment is observed in branches belonging to Gammaproteobacteria → Pseudomonadales → Moraxellaceae; and Gammaproteobacteria → Pseudomonadales → Pseudomonadaceae. Additional MDD-associated lineages occur within Fusobacteriota → Fusobacteriales → </w:t>
      </w:r>
      <w:r w:rsidRPr="00257832">
        <w:rPr>
          <w:rFonts w:ascii="Times New Roman" w:eastAsia="Times New Roman" w:hAnsi="Times New Roman" w:cs="Times New Roman"/>
          <w:kern w:val="0"/>
          <w:sz w:val="24"/>
          <w:szCs w:val="24"/>
          <w:lang w:bidi="th-TH"/>
          <w14:ligatures w14:val="none"/>
        </w:rPr>
        <w:t>Fusobacteriaceae;</w:t>
      </w:r>
      <w:r w:rsidRPr="00DD3D68">
        <w:rPr>
          <w:rFonts w:ascii="Times New Roman" w:eastAsia="Times New Roman" w:hAnsi="Times New Roman" w:cs="Times New Roman"/>
          <w:kern w:val="0"/>
          <w:sz w:val="24"/>
          <w:szCs w:val="24"/>
          <w:lang w:bidi="th-TH"/>
          <w14:ligatures w14:val="none"/>
        </w:rPr>
        <w:t xml:space="preserve"> Synergistota → Synergistales → </w:t>
      </w:r>
      <w:r w:rsidRPr="00257832">
        <w:rPr>
          <w:rFonts w:ascii="Times New Roman" w:eastAsia="Times New Roman" w:hAnsi="Times New Roman" w:cs="Times New Roman"/>
          <w:kern w:val="0"/>
          <w:sz w:val="24"/>
          <w:szCs w:val="24"/>
          <w:lang w:bidi="th-TH"/>
          <w14:ligatures w14:val="none"/>
        </w:rPr>
        <w:t>Synergistaceae.</w:t>
      </w:r>
      <w:r w:rsidR="00F97ABB">
        <w:rPr>
          <w:rFonts w:ascii="Times New Roman" w:eastAsia="Times New Roman" w:hAnsi="Times New Roman" w:cs="Times New Roman"/>
          <w:kern w:val="0"/>
          <w:sz w:val="24"/>
          <w:szCs w:val="24"/>
          <w:lang w:bidi="th-TH"/>
          <w14:ligatures w14:val="none"/>
        </w:rPr>
        <w:t xml:space="preserve"> </w:t>
      </w:r>
      <w:r w:rsidRPr="00DD3D68">
        <w:rPr>
          <w:rFonts w:ascii="Times New Roman" w:eastAsia="Times New Roman" w:hAnsi="Times New Roman" w:cs="Times New Roman"/>
          <w:kern w:val="0"/>
          <w:sz w:val="24"/>
          <w:szCs w:val="24"/>
          <w:lang w:bidi="th-TH"/>
          <w14:ligatures w14:val="none"/>
        </w:rPr>
        <w:t>Some taxa enriched in controls occur within Firmicutes-related lineages, including branches of Lachnospirales / Oscillospirales; Clostridiaceae and related fermentative families; Coriobacteriaceae (Actinobacteria).</w:t>
      </w:r>
    </w:p>
    <w:p w14:paraId="2486ECE0" w14:textId="77777777" w:rsidR="00DD3D19" w:rsidRDefault="00DD3D19" w:rsidP="009C75AB">
      <w:pPr>
        <w:spacing w:after="0" w:line="480" w:lineRule="auto"/>
        <w:ind w:firstLine="720"/>
        <w:jc w:val="both"/>
      </w:pPr>
    </w:p>
    <w:p w14:paraId="210AC85F" w14:textId="77777777" w:rsidR="00DD3D19" w:rsidRDefault="00DD3D19" w:rsidP="009C75AB">
      <w:pPr>
        <w:spacing w:after="0" w:line="480" w:lineRule="auto"/>
        <w:ind w:firstLine="720"/>
        <w:jc w:val="both"/>
      </w:pPr>
    </w:p>
    <w:p w14:paraId="1737C12C" w14:textId="50FA805D" w:rsidR="00DD3D19" w:rsidRDefault="00DD3D19">
      <w:pPr>
        <w:spacing w:line="278" w:lineRule="auto"/>
      </w:pPr>
      <w:r>
        <w:br w:type="page"/>
      </w:r>
    </w:p>
    <w:p w14:paraId="6E194B88" w14:textId="043FC0AD" w:rsidR="000E3D34" w:rsidRDefault="001E0239" w:rsidP="000E3D34">
      <w:pPr>
        <w:spacing w:after="0" w:line="480" w:lineRule="auto"/>
        <w:jc w:val="both"/>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lastRenderedPageBreak/>
        <w:t xml:space="preserve">ESF, Figure 3. </w:t>
      </w:r>
      <w:r w:rsidR="00DD3D19">
        <w:rPr>
          <w:rFonts w:ascii="Times New Roman" w:eastAsia="Times New Roman" w:hAnsi="Times New Roman" w:cs="Times New Roman"/>
          <w:kern w:val="0"/>
          <w:sz w:val="24"/>
          <w:szCs w:val="24"/>
          <w:lang w:bidi="th-TH"/>
          <w14:ligatures w14:val="none"/>
        </w:rPr>
        <w:t>Microbial metabolic pathways</w:t>
      </w:r>
      <w:r w:rsidR="001F562F">
        <w:rPr>
          <w:rFonts w:ascii="Times New Roman" w:eastAsia="Times New Roman" w:hAnsi="Times New Roman" w:cs="Times New Roman"/>
          <w:kern w:val="0"/>
          <w:sz w:val="24"/>
          <w:szCs w:val="24"/>
          <w:lang w:bidi="th-TH"/>
          <w14:ligatures w14:val="none"/>
        </w:rPr>
        <w:t>. KEGG enrichment analysis.</w:t>
      </w:r>
    </w:p>
    <w:p w14:paraId="755F941F" w14:textId="2C152FA3" w:rsidR="006A0296" w:rsidRDefault="006A0296" w:rsidP="000E3D34">
      <w:pPr>
        <w:spacing w:after="0" w:line="480" w:lineRule="auto"/>
        <w:jc w:val="both"/>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Figure 3A. Tax4Fun results</w:t>
      </w:r>
      <w:r w:rsidR="008217C6">
        <w:rPr>
          <w:rFonts w:ascii="Times New Roman" w:eastAsia="Times New Roman" w:hAnsi="Times New Roman" w:cs="Times New Roman"/>
          <w:kern w:val="0"/>
          <w:sz w:val="24"/>
          <w:szCs w:val="24"/>
          <w:lang w:bidi="th-TH"/>
          <w14:ligatures w14:val="none"/>
        </w:rPr>
        <w:t>: KEGG, level 2</w:t>
      </w:r>
    </w:p>
    <w:p w14:paraId="03F7BD91" w14:textId="035773CC" w:rsidR="00AC0130" w:rsidRDefault="00AC0130">
      <w:pPr>
        <w:spacing w:line="278" w:lineRule="auto"/>
        <w:rPr>
          <w:rFonts w:ascii="Times New Roman" w:eastAsia="Times New Roman" w:hAnsi="Times New Roman" w:cs="Times New Roman"/>
          <w:kern w:val="0"/>
          <w:sz w:val="24"/>
          <w:szCs w:val="24"/>
          <w:lang w:bidi="th-TH"/>
          <w14:ligatures w14:val="none"/>
        </w:rPr>
      </w:pPr>
    </w:p>
    <w:p w14:paraId="4D50F451" w14:textId="3E6BAF06" w:rsidR="00AC0130" w:rsidRDefault="00AC0130" w:rsidP="000E3D34">
      <w:pPr>
        <w:spacing w:after="0" w:line="480" w:lineRule="auto"/>
        <w:jc w:val="both"/>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noProof/>
          <w:kern w:val="0"/>
          <w:sz w:val="24"/>
          <w:szCs w:val="24"/>
          <w:lang w:bidi="th-TH"/>
          <w14:ligatures w14:val="none"/>
        </w:rPr>
        <w:drawing>
          <wp:inline distT="0" distB="0" distL="0" distR="0" wp14:anchorId="3E745EFE" wp14:editId="2B2C764E">
            <wp:extent cx="6164450" cy="2637489"/>
            <wp:effectExtent l="0" t="0" r="8255" b="0"/>
            <wp:docPr id="42522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0927" cy="2657375"/>
                    </a:xfrm>
                    <a:prstGeom prst="rect">
                      <a:avLst/>
                    </a:prstGeom>
                    <a:noFill/>
                  </pic:spPr>
                </pic:pic>
              </a:graphicData>
            </a:graphic>
          </wp:inline>
        </w:drawing>
      </w:r>
    </w:p>
    <w:p w14:paraId="47A40A14" w14:textId="77777777" w:rsidR="00AC0130" w:rsidRDefault="00AC0130" w:rsidP="000E3D34">
      <w:pPr>
        <w:spacing w:after="0" w:line="480" w:lineRule="auto"/>
        <w:jc w:val="both"/>
        <w:rPr>
          <w:rFonts w:ascii="Times New Roman" w:eastAsia="Times New Roman" w:hAnsi="Times New Roman" w:cs="Times New Roman"/>
          <w:kern w:val="0"/>
          <w:sz w:val="24"/>
          <w:szCs w:val="24"/>
          <w:lang w:bidi="th-TH"/>
          <w14:ligatures w14:val="none"/>
        </w:rPr>
      </w:pPr>
    </w:p>
    <w:p w14:paraId="31A53D46" w14:textId="77777777" w:rsidR="00AC0130" w:rsidRDefault="00AC0130" w:rsidP="00AC0130">
      <w:pPr>
        <w:spacing w:after="0" w:line="480" w:lineRule="auto"/>
        <w:ind w:firstLine="720"/>
        <w:jc w:val="both"/>
        <w:rPr>
          <w:rFonts w:ascii="Times New Roman" w:eastAsia="Times New Roman" w:hAnsi="Times New Roman" w:cs="Times New Roman"/>
          <w:kern w:val="0"/>
          <w:sz w:val="24"/>
          <w:szCs w:val="24"/>
          <w:lang w:bidi="th-TH"/>
          <w14:ligatures w14:val="none"/>
        </w:rPr>
      </w:pPr>
      <w:r w:rsidRPr="00B90A0B">
        <w:rPr>
          <w:rFonts w:ascii="Times New Roman" w:eastAsia="Times New Roman" w:hAnsi="Times New Roman" w:cs="Times New Roman"/>
          <w:kern w:val="0"/>
          <w:sz w:val="24"/>
          <w:szCs w:val="24"/>
          <w:lang w:bidi="th-TH"/>
          <w14:ligatures w14:val="none"/>
        </w:rPr>
        <w:t xml:space="preserve">Wilcoxon rank-sum tests were employed to </w:t>
      </w:r>
      <w:r>
        <w:rPr>
          <w:rFonts w:ascii="Times New Roman" w:eastAsia="Times New Roman" w:hAnsi="Times New Roman" w:cs="Times New Roman"/>
          <w:kern w:val="0"/>
          <w:sz w:val="24"/>
          <w:szCs w:val="24"/>
          <w:lang w:bidi="th-TH"/>
          <w14:ligatures w14:val="none"/>
        </w:rPr>
        <w:t xml:space="preserve">examine the </w:t>
      </w:r>
      <w:r w:rsidRPr="00B90A0B">
        <w:rPr>
          <w:rFonts w:ascii="Times New Roman" w:eastAsia="Times New Roman" w:hAnsi="Times New Roman" w:cs="Times New Roman"/>
          <w:kern w:val="0"/>
          <w:sz w:val="24"/>
          <w:szCs w:val="24"/>
          <w:lang w:bidi="th-TH"/>
          <w14:ligatures w14:val="none"/>
        </w:rPr>
        <w:t>differences in microbial metabolic pathway</w:t>
      </w:r>
      <w:r>
        <w:rPr>
          <w:rFonts w:ascii="Times New Roman" w:eastAsia="Times New Roman" w:hAnsi="Times New Roman" w:cs="Times New Roman"/>
          <w:kern w:val="0"/>
          <w:sz w:val="24"/>
          <w:szCs w:val="24"/>
          <w:lang w:bidi="th-TH"/>
          <w14:ligatures w14:val="none"/>
        </w:rPr>
        <w:t xml:space="preserve"> </w:t>
      </w:r>
      <w:r w:rsidRPr="00B90A0B">
        <w:rPr>
          <w:rFonts w:ascii="Times New Roman" w:eastAsia="Times New Roman" w:hAnsi="Times New Roman" w:cs="Times New Roman"/>
          <w:kern w:val="0"/>
          <w:sz w:val="24"/>
          <w:szCs w:val="24"/>
          <w:lang w:bidi="th-TH"/>
          <w14:ligatures w14:val="none"/>
        </w:rPr>
        <w:t>s</w:t>
      </w:r>
      <w:r>
        <w:rPr>
          <w:rFonts w:ascii="Times New Roman" w:eastAsia="Times New Roman" w:hAnsi="Times New Roman" w:cs="Times New Roman"/>
          <w:kern w:val="0"/>
          <w:sz w:val="24"/>
          <w:szCs w:val="24"/>
          <w:lang w:bidi="th-TH"/>
          <w14:ligatures w14:val="none"/>
        </w:rPr>
        <w:t>cores</w:t>
      </w:r>
      <w:r w:rsidRPr="00B90A0B">
        <w:rPr>
          <w:rFonts w:ascii="Times New Roman" w:eastAsia="Times New Roman" w:hAnsi="Times New Roman" w:cs="Times New Roman"/>
          <w:kern w:val="0"/>
          <w:sz w:val="24"/>
          <w:szCs w:val="24"/>
          <w:lang w:bidi="th-TH"/>
          <w14:ligatures w14:val="none"/>
        </w:rPr>
        <w:t xml:space="preserve"> between MDD and </w:t>
      </w:r>
      <w:r>
        <w:rPr>
          <w:rFonts w:ascii="Times New Roman" w:eastAsia="Times New Roman" w:hAnsi="Times New Roman" w:cs="Times New Roman"/>
          <w:kern w:val="0"/>
          <w:sz w:val="24"/>
          <w:szCs w:val="24"/>
          <w:lang w:bidi="th-TH"/>
          <w14:ligatures w14:val="none"/>
        </w:rPr>
        <w:t xml:space="preserve">HC </w:t>
      </w:r>
      <w:r w:rsidRPr="00B90A0B">
        <w:rPr>
          <w:rFonts w:ascii="Times New Roman" w:eastAsia="Times New Roman" w:hAnsi="Times New Roman" w:cs="Times New Roman"/>
          <w:kern w:val="0"/>
          <w:sz w:val="24"/>
          <w:szCs w:val="24"/>
          <w:lang w:bidi="th-TH"/>
          <w14:ligatures w14:val="none"/>
        </w:rPr>
        <w:t xml:space="preserve">using the Tax4Fun functional prediction at KEGG level 2 (ESF, Figure 3A). The controls exhibited a substantially higher level of microbial biosynthetic and cellular maintenance activity, as evidenced by the significantly higher pathways related to membrane transport, global metabolic overview maps, translation, replication and repair, nucleotide metabolism, folding/sorting/degradation, and transcription. Conversely, MDD exhibited a relatively high level of enrichment in pathways related to signal transduction, cell motility, lipid metabolism, bacterial infectious disease pathways, transport and catabolism, immune system processes, and environmental </w:t>
      </w:r>
      <w:r w:rsidRPr="00AC0130">
        <w:rPr>
          <w:rFonts w:ascii="Times New Roman" w:eastAsia="Times New Roman" w:hAnsi="Times New Roman" w:cs="Times New Roman"/>
          <w:kern w:val="0"/>
          <w:sz w:val="24"/>
          <w:szCs w:val="24"/>
          <w:lang w:bidi="th-TH"/>
          <w14:ligatures w14:val="none"/>
        </w:rPr>
        <w:t>adaptation. This suggests that microbial stress responses, motility, and host–microbe interaction pathways were enhanced.</w:t>
      </w:r>
    </w:p>
    <w:p w14:paraId="1AFD0F12" w14:textId="77777777" w:rsidR="00AC0130" w:rsidRDefault="00AC0130" w:rsidP="000E3D34">
      <w:pPr>
        <w:spacing w:after="0" w:line="480" w:lineRule="auto"/>
        <w:jc w:val="both"/>
        <w:rPr>
          <w:rFonts w:ascii="Times New Roman" w:eastAsia="Times New Roman" w:hAnsi="Times New Roman" w:cs="Times New Roman"/>
          <w:kern w:val="0"/>
          <w:sz w:val="24"/>
          <w:szCs w:val="24"/>
          <w:lang w:bidi="th-TH"/>
          <w14:ligatures w14:val="none"/>
        </w:rPr>
      </w:pPr>
    </w:p>
    <w:p w14:paraId="6F5C36D0" w14:textId="77777777" w:rsidR="00AC0130" w:rsidRDefault="00AC0130" w:rsidP="000E3D34">
      <w:pPr>
        <w:spacing w:after="0" w:line="480" w:lineRule="auto"/>
        <w:jc w:val="both"/>
        <w:rPr>
          <w:rFonts w:ascii="Times New Roman" w:eastAsia="Times New Roman" w:hAnsi="Times New Roman" w:cs="Times New Roman"/>
          <w:kern w:val="0"/>
          <w:sz w:val="24"/>
          <w:szCs w:val="24"/>
          <w:lang w:bidi="th-TH"/>
          <w14:ligatures w14:val="none"/>
        </w:rPr>
      </w:pPr>
    </w:p>
    <w:p w14:paraId="22E53181" w14:textId="64BFB2CE" w:rsidR="008217C6" w:rsidRDefault="008217C6" w:rsidP="00AC0130">
      <w:pPr>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lastRenderedPageBreak/>
        <w:t>ESF, Figure 3B. Tax4Fun, KEGG level 3.</w:t>
      </w:r>
    </w:p>
    <w:p w14:paraId="2046C26B" w14:textId="63D51EC1" w:rsidR="00DA14CB" w:rsidRDefault="00DA14CB" w:rsidP="000E3D34">
      <w:pPr>
        <w:spacing w:after="0" w:line="480" w:lineRule="auto"/>
        <w:ind w:firstLine="720"/>
        <w:jc w:val="both"/>
        <w:rPr>
          <w:rFonts w:ascii="Times New Roman" w:eastAsia="Times New Roman" w:hAnsi="Times New Roman" w:cs="Times New Roman"/>
          <w:kern w:val="0"/>
          <w:sz w:val="24"/>
          <w:szCs w:val="24"/>
          <w:lang w:bidi="th-TH"/>
          <w14:ligatures w14:val="none"/>
        </w:rPr>
      </w:pPr>
      <w:r w:rsidRPr="00DA14CB">
        <w:rPr>
          <w:rFonts w:ascii="Times New Roman" w:eastAsia="Times New Roman" w:hAnsi="Times New Roman" w:cs="Times New Roman"/>
          <w:noProof/>
          <w:kern w:val="0"/>
          <w:sz w:val="24"/>
          <w:szCs w:val="24"/>
          <w:lang w:bidi="th-TH"/>
          <w14:ligatures w14:val="none"/>
        </w:rPr>
        <w:drawing>
          <wp:inline distT="0" distB="0" distL="0" distR="0" wp14:anchorId="0209B58C" wp14:editId="3ACB7254">
            <wp:extent cx="5670125" cy="4602736"/>
            <wp:effectExtent l="0" t="0" r="6985" b="7620"/>
            <wp:docPr id="878936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36909" name=""/>
                    <pic:cNvPicPr/>
                  </pic:nvPicPr>
                  <pic:blipFill>
                    <a:blip r:embed="rId12"/>
                    <a:stretch>
                      <a:fillRect/>
                    </a:stretch>
                  </pic:blipFill>
                  <pic:spPr>
                    <a:xfrm>
                      <a:off x="0" y="0"/>
                      <a:ext cx="5678139" cy="4609241"/>
                    </a:xfrm>
                    <a:prstGeom prst="rect">
                      <a:avLst/>
                    </a:prstGeom>
                  </pic:spPr>
                </pic:pic>
              </a:graphicData>
            </a:graphic>
          </wp:inline>
        </w:drawing>
      </w:r>
    </w:p>
    <w:p w14:paraId="12CC3DD8" w14:textId="77777777" w:rsidR="00DA14CB" w:rsidRDefault="00DA14CB" w:rsidP="00DA14CB">
      <w:pPr>
        <w:spacing w:after="0" w:line="276" w:lineRule="auto"/>
        <w:ind w:firstLine="720"/>
        <w:jc w:val="both"/>
        <w:rPr>
          <w:rFonts w:ascii="Times New Roman" w:eastAsia="Times New Roman" w:hAnsi="Times New Roman" w:cs="Times New Roman"/>
          <w:kern w:val="0"/>
          <w:sz w:val="24"/>
          <w:szCs w:val="24"/>
          <w:lang w:bidi="th-TH"/>
          <w14:ligatures w14:val="none"/>
        </w:rPr>
      </w:pPr>
    </w:p>
    <w:p w14:paraId="4A9DC2B6" w14:textId="6F817870" w:rsidR="00265B50" w:rsidRDefault="000E3D34" w:rsidP="00265B50">
      <w:pPr>
        <w:spacing w:after="0" w:line="360" w:lineRule="auto"/>
        <w:jc w:val="both"/>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T</w:t>
      </w:r>
      <w:r w:rsidR="00B90A0B" w:rsidRPr="00B90A0B">
        <w:rPr>
          <w:rFonts w:ascii="Times New Roman" w:eastAsia="Times New Roman" w:hAnsi="Times New Roman" w:cs="Times New Roman"/>
          <w:kern w:val="0"/>
          <w:sz w:val="24"/>
          <w:szCs w:val="24"/>
          <w:lang w:bidi="th-TH"/>
          <w14:ligatures w14:val="none"/>
        </w:rPr>
        <w:t xml:space="preserve">he functional prediction of Tax4Fun at KEGG level 3 (ESF, Figure 3B) identified differences in microbial metabolic pathways between MDD and controls. The </w:t>
      </w:r>
      <w:r>
        <w:rPr>
          <w:rFonts w:ascii="Times New Roman" w:eastAsia="Times New Roman" w:hAnsi="Times New Roman" w:cs="Times New Roman"/>
          <w:kern w:val="0"/>
          <w:sz w:val="24"/>
          <w:szCs w:val="24"/>
          <w:lang w:bidi="th-TH"/>
          <w14:ligatures w14:val="none"/>
        </w:rPr>
        <w:t xml:space="preserve">latter </w:t>
      </w:r>
      <w:r w:rsidR="00B90A0B" w:rsidRPr="00B90A0B">
        <w:rPr>
          <w:rFonts w:ascii="Times New Roman" w:eastAsia="Times New Roman" w:hAnsi="Times New Roman" w:cs="Times New Roman"/>
          <w:kern w:val="0"/>
          <w:sz w:val="24"/>
          <w:szCs w:val="24"/>
          <w:lang w:bidi="th-TH"/>
          <w14:ligatures w14:val="none"/>
        </w:rPr>
        <w:t xml:space="preserve">exhibited substantially higher levels of pathways related to ABC transporters, biosynthesis of amino acids, secondary metabolite biosynthesis, pyrimidine metabolism, homologous recombination, and DNA replication, which suggests that the microbial biosynthetic and replication activity was more robust. On the other hand, MDD enriched pathways associated with two-component systems, flagellar assembly, bacterial chemotaxis, biofilm formation (e.g., </w:t>
      </w:r>
      <w:r w:rsidR="00B90A0B" w:rsidRPr="00C80669">
        <w:rPr>
          <w:rFonts w:ascii="Times New Roman" w:eastAsia="Times New Roman" w:hAnsi="Times New Roman" w:cs="Times New Roman"/>
          <w:i/>
          <w:iCs/>
          <w:kern w:val="0"/>
          <w:sz w:val="24"/>
          <w:szCs w:val="24"/>
          <w:lang w:bidi="th-TH"/>
          <w14:ligatures w14:val="none"/>
        </w:rPr>
        <w:t>Pseudomonas aeruginosa</w:t>
      </w:r>
      <w:r w:rsidR="00B90A0B" w:rsidRPr="00B90A0B">
        <w:rPr>
          <w:rFonts w:ascii="Times New Roman" w:eastAsia="Times New Roman" w:hAnsi="Times New Roman" w:cs="Times New Roman"/>
          <w:kern w:val="0"/>
          <w:sz w:val="24"/>
          <w:szCs w:val="24"/>
          <w:lang w:bidi="th-TH"/>
          <w14:ligatures w14:val="none"/>
        </w:rPr>
        <w:t xml:space="preserve">), amino sugar metabolism, glyoxylate metabolism, and pentose interconversions, indicating an increase in bacterial environmental sensing, motility, and host interaction functions. Furthermore, metabolic </w:t>
      </w:r>
      <w:r w:rsidR="00C80669">
        <w:rPr>
          <w:rFonts w:ascii="Times New Roman" w:eastAsia="Times New Roman" w:hAnsi="Times New Roman" w:cs="Times New Roman"/>
          <w:kern w:val="0"/>
          <w:sz w:val="24"/>
          <w:szCs w:val="24"/>
          <w:lang w:bidi="th-TH"/>
          <w14:ligatures w14:val="none"/>
        </w:rPr>
        <w:t xml:space="preserve">stress </w:t>
      </w:r>
      <w:r w:rsidR="00B90A0B" w:rsidRPr="00B90A0B">
        <w:rPr>
          <w:rFonts w:ascii="Times New Roman" w:eastAsia="Times New Roman" w:hAnsi="Times New Roman" w:cs="Times New Roman"/>
          <w:kern w:val="0"/>
          <w:sz w:val="24"/>
          <w:szCs w:val="24"/>
          <w:lang w:bidi="th-TH"/>
          <w14:ligatures w14:val="none"/>
        </w:rPr>
        <w:t xml:space="preserve">adaptation </w:t>
      </w:r>
      <w:r w:rsidR="00C80669">
        <w:rPr>
          <w:rFonts w:ascii="Times New Roman" w:eastAsia="Times New Roman" w:hAnsi="Times New Roman" w:cs="Times New Roman"/>
          <w:kern w:val="0"/>
          <w:sz w:val="24"/>
          <w:szCs w:val="24"/>
          <w:lang w:bidi="th-TH"/>
          <w14:ligatures w14:val="none"/>
        </w:rPr>
        <w:t xml:space="preserve">is </w:t>
      </w:r>
      <w:r w:rsidR="00B90A0B" w:rsidRPr="00B90A0B">
        <w:rPr>
          <w:rFonts w:ascii="Times New Roman" w:eastAsia="Times New Roman" w:hAnsi="Times New Roman" w:cs="Times New Roman"/>
          <w:kern w:val="0"/>
          <w:sz w:val="24"/>
          <w:szCs w:val="24"/>
          <w:lang w:bidi="th-TH"/>
          <w14:ligatures w14:val="none"/>
        </w:rPr>
        <w:t>suggested by the observed increases in glutathione metabolism and branched-chain amino acid metabolism.</w:t>
      </w:r>
      <w:r w:rsidR="00265B50">
        <w:rPr>
          <w:rFonts w:ascii="Times New Roman" w:eastAsia="Times New Roman" w:hAnsi="Times New Roman" w:cs="Times New Roman"/>
          <w:kern w:val="0"/>
          <w:sz w:val="24"/>
          <w:szCs w:val="24"/>
          <w:lang w:bidi="th-TH"/>
          <w14:ligatures w14:val="none"/>
        </w:rPr>
        <w:br w:type="page"/>
      </w:r>
      <w:r w:rsidR="00265B50">
        <w:rPr>
          <w:rFonts w:ascii="Times New Roman" w:eastAsia="Times New Roman" w:hAnsi="Times New Roman" w:cs="Times New Roman"/>
          <w:kern w:val="0"/>
          <w:sz w:val="24"/>
          <w:szCs w:val="24"/>
          <w:lang w:bidi="th-TH"/>
          <w14:ligatures w14:val="none"/>
        </w:rPr>
        <w:lastRenderedPageBreak/>
        <w:t>Figure 4A. PICRUS</w:t>
      </w:r>
      <w:r w:rsidR="00BB774F">
        <w:rPr>
          <w:rFonts w:ascii="Times New Roman" w:eastAsia="Times New Roman" w:hAnsi="Times New Roman" w:cs="Times New Roman"/>
          <w:kern w:val="0"/>
          <w:sz w:val="24"/>
          <w:szCs w:val="24"/>
          <w:lang w:bidi="th-TH"/>
          <w14:ligatures w14:val="none"/>
        </w:rPr>
        <w:t>t</w:t>
      </w:r>
      <w:r w:rsidR="00265B50">
        <w:rPr>
          <w:rFonts w:ascii="Times New Roman" w:eastAsia="Times New Roman" w:hAnsi="Times New Roman" w:cs="Times New Roman"/>
          <w:kern w:val="0"/>
          <w:sz w:val="24"/>
          <w:szCs w:val="24"/>
          <w:lang w:bidi="th-TH"/>
          <w14:ligatures w14:val="none"/>
        </w:rPr>
        <w:t xml:space="preserve"> results: KEGG, level 2</w:t>
      </w:r>
    </w:p>
    <w:p w14:paraId="430FE85B" w14:textId="77777777" w:rsidR="00265B50" w:rsidRDefault="00265B50" w:rsidP="00265B50">
      <w:pPr>
        <w:spacing w:after="0" w:line="360" w:lineRule="auto"/>
        <w:jc w:val="both"/>
        <w:rPr>
          <w:rFonts w:ascii="Times New Roman" w:eastAsia="Times New Roman" w:hAnsi="Times New Roman" w:cs="Times New Roman"/>
          <w:kern w:val="0"/>
          <w:sz w:val="24"/>
          <w:szCs w:val="24"/>
          <w:lang w:bidi="th-TH"/>
          <w14:ligatures w14:val="none"/>
        </w:rPr>
      </w:pPr>
    </w:p>
    <w:p w14:paraId="5F6BC3B1" w14:textId="088BA9EF" w:rsidR="00265B50" w:rsidRDefault="00265B50" w:rsidP="00265B50">
      <w:pPr>
        <w:spacing w:after="0" w:line="360" w:lineRule="auto"/>
        <w:jc w:val="both"/>
        <w:rPr>
          <w:rFonts w:ascii="Times New Roman" w:eastAsia="Times New Roman" w:hAnsi="Times New Roman" w:cs="Times New Roman"/>
          <w:kern w:val="0"/>
          <w:sz w:val="24"/>
          <w:szCs w:val="24"/>
          <w:lang w:bidi="th-TH"/>
          <w14:ligatures w14:val="none"/>
        </w:rPr>
      </w:pPr>
      <w:r w:rsidRPr="00265B50">
        <w:rPr>
          <w:rFonts w:ascii="Times New Roman" w:eastAsia="Times New Roman" w:hAnsi="Times New Roman" w:cs="Times New Roman"/>
          <w:noProof/>
          <w:kern w:val="0"/>
          <w:sz w:val="24"/>
          <w:szCs w:val="24"/>
          <w:lang w:bidi="th-TH"/>
          <w14:ligatures w14:val="none"/>
        </w:rPr>
        <w:drawing>
          <wp:inline distT="0" distB="0" distL="0" distR="0" wp14:anchorId="7102F7FC" wp14:editId="52219483">
            <wp:extent cx="5943600" cy="1978660"/>
            <wp:effectExtent l="0" t="0" r="0" b="2540"/>
            <wp:docPr id="1926025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025278" name=""/>
                    <pic:cNvPicPr/>
                  </pic:nvPicPr>
                  <pic:blipFill>
                    <a:blip r:embed="rId13"/>
                    <a:stretch>
                      <a:fillRect/>
                    </a:stretch>
                  </pic:blipFill>
                  <pic:spPr>
                    <a:xfrm>
                      <a:off x="0" y="0"/>
                      <a:ext cx="5943600" cy="1978660"/>
                    </a:xfrm>
                    <a:prstGeom prst="rect">
                      <a:avLst/>
                    </a:prstGeom>
                  </pic:spPr>
                </pic:pic>
              </a:graphicData>
            </a:graphic>
          </wp:inline>
        </w:drawing>
      </w:r>
    </w:p>
    <w:p w14:paraId="4A4419F4" w14:textId="77777777" w:rsidR="00265B50" w:rsidRDefault="00265B50" w:rsidP="00265B50">
      <w:pPr>
        <w:spacing w:after="0" w:line="360" w:lineRule="auto"/>
        <w:jc w:val="both"/>
        <w:rPr>
          <w:rFonts w:ascii="Times New Roman" w:eastAsia="Times New Roman" w:hAnsi="Times New Roman" w:cs="Times New Roman"/>
          <w:kern w:val="0"/>
          <w:sz w:val="24"/>
          <w:szCs w:val="24"/>
          <w:lang w:bidi="th-TH"/>
          <w14:ligatures w14:val="none"/>
        </w:rPr>
      </w:pPr>
    </w:p>
    <w:p w14:paraId="26411861" w14:textId="472CE1EC" w:rsidR="00265B50" w:rsidRDefault="00265B50" w:rsidP="00265B50">
      <w:pPr>
        <w:spacing w:after="0" w:line="480" w:lineRule="auto"/>
        <w:ind w:firstLine="720"/>
        <w:jc w:val="both"/>
        <w:rPr>
          <w:rFonts w:ascii="Times New Roman" w:eastAsia="Times New Roman" w:hAnsi="Times New Roman" w:cs="Times New Roman"/>
          <w:kern w:val="0"/>
          <w:sz w:val="24"/>
          <w:szCs w:val="24"/>
          <w:lang w:bidi="th-TH"/>
          <w14:ligatures w14:val="none"/>
        </w:rPr>
      </w:pPr>
      <w:r w:rsidRPr="00B90A0B">
        <w:rPr>
          <w:rFonts w:ascii="Times New Roman" w:eastAsia="Times New Roman" w:hAnsi="Times New Roman" w:cs="Times New Roman"/>
          <w:kern w:val="0"/>
          <w:sz w:val="24"/>
          <w:szCs w:val="24"/>
          <w:lang w:bidi="th-TH"/>
          <w14:ligatures w14:val="none"/>
        </w:rPr>
        <w:t xml:space="preserve">The PICRUSt functional prediction at KEGG level 2 (ESF, figure 4A) demonstrated significant differences in microbial functional pathways between MDD and </w:t>
      </w:r>
      <w:r w:rsidR="00BB774F">
        <w:rPr>
          <w:rFonts w:ascii="Times New Roman" w:eastAsia="Times New Roman" w:hAnsi="Times New Roman" w:cs="Times New Roman"/>
          <w:kern w:val="0"/>
          <w:sz w:val="24"/>
          <w:szCs w:val="24"/>
          <w:lang w:bidi="th-TH"/>
          <w14:ligatures w14:val="none"/>
        </w:rPr>
        <w:t>HC</w:t>
      </w:r>
      <w:r w:rsidRPr="00B90A0B">
        <w:rPr>
          <w:rFonts w:ascii="Times New Roman" w:eastAsia="Times New Roman" w:hAnsi="Times New Roman" w:cs="Times New Roman"/>
          <w:kern w:val="0"/>
          <w:sz w:val="24"/>
          <w:szCs w:val="24"/>
          <w:lang w:bidi="th-TH"/>
          <w14:ligatures w14:val="none"/>
        </w:rPr>
        <w:t xml:space="preserve">. The pathways associated with translation, amino acid metabolism, nucleotide metabolism, and transcription were substantially elevated in </w:t>
      </w:r>
      <w:r w:rsidR="00BB774F">
        <w:rPr>
          <w:rFonts w:ascii="Times New Roman" w:eastAsia="Times New Roman" w:hAnsi="Times New Roman" w:cs="Times New Roman"/>
          <w:kern w:val="0"/>
          <w:sz w:val="24"/>
          <w:szCs w:val="24"/>
          <w:lang w:bidi="th-TH"/>
          <w14:ligatures w14:val="none"/>
        </w:rPr>
        <w:t>HC</w:t>
      </w:r>
      <w:r w:rsidRPr="00B90A0B">
        <w:rPr>
          <w:rFonts w:ascii="Times New Roman" w:eastAsia="Times New Roman" w:hAnsi="Times New Roman" w:cs="Times New Roman"/>
          <w:kern w:val="0"/>
          <w:sz w:val="24"/>
          <w:szCs w:val="24"/>
          <w:lang w:bidi="th-TH"/>
          <w14:ligatures w14:val="none"/>
        </w:rPr>
        <w:t xml:space="preserve">, </w:t>
      </w:r>
      <w:r w:rsidRPr="00BB774F">
        <w:rPr>
          <w:rFonts w:ascii="Times New Roman" w:eastAsia="Times New Roman" w:hAnsi="Times New Roman" w:cs="Times New Roman"/>
          <w:kern w:val="0"/>
          <w:sz w:val="24"/>
          <w:szCs w:val="24"/>
          <w:lang w:bidi="th-TH"/>
          <w14:ligatures w14:val="none"/>
        </w:rPr>
        <w:t>suggesting that there was a higher level of microbial biosynthetic and genetic processing.</w:t>
      </w:r>
      <w:r w:rsidRPr="00B90A0B">
        <w:rPr>
          <w:rFonts w:ascii="Times New Roman" w:eastAsia="Times New Roman" w:hAnsi="Times New Roman" w:cs="Times New Roman"/>
          <w:kern w:val="0"/>
          <w:sz w:val="24"/>
          <w:szCs w:val="24"/>
          <w:lang w:bidi="th-TH"/>
          <w14:ligatures w14:val="none"/>
        </w:rPr>
        <w:t xml:space="preserve"> Conversely, MDD exhibited a relatively high level of enrichment in signal transduction, transport and catabolism, cellular community–prokaryotes, and glycan biosynthesis and metabolism</w:t>
      </w:r>
      <w:r w:rsidR="00BB774F">
        <w:rPr>
          <w:rFonts w:ascii="Times New Roman" w:eastAsia="Times New Roman" w:hAnsi="Times New Roman" w:cs="Times New Roman"/>
          <w:kern w:val="0"/>
          <w:sz w:val="24"/>
          <w:szCs w:val="24"/>
          <w:lang w:bidi="th-TH"/>
          <w14:ligatures w14:val="none"/>
        </w:rPr>
        <w:t xml:space="preserve">. This may </w:t>
      </w:r>
      <w:r w:rsidRPr="00BB774F">
        <w:rPr>
          <w:rFonts w:ascii="Times New Roman" w:eastAsia="Times New Roman" w:hAnsi="Times New Roman" w:cs="Times New Roman"/>
          <w:kern w:val="0"/>
          <w:sz w:val="24"/>
          <w:szCs w:val="24"/>
          <w:lang w:bidi="th-TH"/>
          <w14:ligatures w14:val="none"/>
        </w:rPr>
        <w:t>impl</w:t>
      </w:r>
      <w:r w:rsidR="00BB774F" w:rsidRPr="00BB774F">
        <w:rPr>
          <w:rFonts w:ascii="Times New Roman" w:eastAsia="Times New Roman" w:hAnsi="Times New Roman" w:cs="Times New Roman"/>
          <w:kern w:val="0"/>
          <w:sz w:val="24"/>
          <w:szCs w:val="24"/>
          <w:lang w:bidi="th-TH"/>
          <w14:ligatures w14:val="none"/>
        </w:rPr>
        <w:t xml:space="preserve">y </w:t>
      </w:r>
      <w:r w:rsidRPr="00BB774F">
        <w:rPr>
          <w:rFonts w:ascii="Times New Roman" w:eastAsia="Times New Roman" w:hAnsi="Times New Roman" w:cs="Times New Roman"/>
          <w:kern w:val="0"/>
          <w:sz w:val="24"/>
          <w:szCs w:val="24"/>
          <w:lang w:bidi="th-TH"/>
          <w14:ligatures w14:val="none"/>
        </w:rPr>
        <w:t>microbial environmental sensing, inter-bacterial interaction, and host–microbe interface processes.</w:t>
      </w:r>
      <w:r w:rsidRPr="00B90A0B">
        <w:rPr>
          <w:rFonts w:ascii="Times New Roman" w:eastAsia="Times New Roman" w:hAnsi="Times New Roman" w:cs="Times New Roman"/>
          <w:kern w:val="0"/>
          <w:sz w:val="24"/>
          <w:szCs w:val="24"/>
          <w:lang w:bidi="th-TH"/>
          <w14:ligatures w14:val="none"/>
        </w:rPr>
        <w:t xml:space="preserve"> Furthermore, the metabolic pathways of microbial energy utilization were altered between the groups, as evidenced by the changes in carbohydrate metabolism.</w:t>
      </w:r>
    </w:p>
    <w:p w14:paraId="1003149E" w14:textId="77777777" w:rsidR="00265B50" w:rsidRDefault="00265B50" w:rsidP="00265B50">
      <w:pPr>
        <w:spacing w:after="0" w:line="360" w:lineRule="auto"/>
        <w:jc w:val="both"/>
        <w:rPr>
          <w:rFonts w:ascii="Times New Roman" w:eastAsia="Times New Roman" w:hAnsi="Times New Roman" w:cs="Times New Roman"/>
          <w:kern w:val="0"/>
          <w:sz w:val="24"/>
          <w:szCs w:val="24"/>
          <w:lang w:bidi="th-TH"/>
          <w14:ligatures w14:val="none"/>
        </w:rPr>
      </w:pPr>
    </w:p>
    <w:p w14:paraId="41B76F98" w14:textId="21438D12" w:rsidR="00265B50" w:rsidRDefault="00265B50">
      <w:pPr>
        <w:spacing w:line="278" w:lineRule="auto"/>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br w:type="page"/>
      </w:r>
    </w:p>
    <w:p w14:paraId="04B21988" w14:textId="2209D5AE" w:rsidR="00BB774F" w:rsidRDefault="00BB774F" w:rsidP="00BB774F">
      <w:pPr>
        <w:spacing w:after="0" w:line="360" w:lineRule="auto"/>
        <w:jc w:val="both"/>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lastRenderedPageBreak/>
        <w:t>Figure 4B. PICRUSt results: KEGG, level 3</w:t>
      </w:r>
    </w:p>
    <w:p w14:paraId="48B0272C" w14:textId="5C9EBEE7" w:rsidR="00265B50" w:rsidRDefault="00137A40" w:rsidP="00265B50">
      <w:pPr>
        <w:spacing w:after="0" w:line="360" w:lineRule="auto"/>
        <w:ind w:firstLine="720"/>
        <w:jc w:val="both"/>
        <w:rPr>
          <w:rFonts w:ascii="Times New Roman" w:eastAsia="Times New Roman" w:hAnsi="Times New Roman" w:cs="Times New Roman"/>
          <w:kern w:val="0"/>
          <w:sz w:val="24"/>
          <w:szCs w:val="24"/>
          <w:lang w:bidi="th-TH"/>
          <w14:ligatures w14:val="none"/>
        </w:rPr>
      </w:pPr>
      <w:r w:rsidRPr="00137A40">
        <w:rPr>
          <w:rFonts w:ascii="Times New Roman" w:eastAsia="Times New Roman" w:hAnsi="Times New Roman" w:cs="Times New Roman"/>
          <w:noProof/>
          <w:kern w:val="0"/>
          <w:sz w:val="24"/>
          <w:szCs w:val="24"/>
          <w:lang w:bidi="th-TH"/>
          <w14:ligatures w14:val="none"/>
        </w:rPr>
        <w:drawing>
          <wp:inline distT="0" distB="0" distL="0" distR="0" wp14:anchorId="510E8A58" wp14:editId="77C0EE7B">
            <wp:extent cx="5614329" cy="5253836"/>
            <wp:effectExtent l="0" t="0" r="5715" b="4445"/>
            <wp:docPr id="591645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645111" name=""/>
                    <pic:cNvPicPr/>
                  </pic:nvPicPr>
                  <pic:blipFill>
                    <a:blip r:embed="rId14"/>
                    <a:stretch>
                      <a:fillRect/>
                    </a:stretch>
                  </pic:blipFill>
                  <pic:spPr>
                    <a:xfrm>
                      <a:off x="0" y="0"/>
                      <a:ext cx="5627571" cy="5266228"/>
                    </a:xfrm>
                    <a:prstGeom prst="rect">
                      <a:avLst/>
                    </a:prstGeom>
                  </pic:spPr>
                </pic:pic>
              </a:graphicData>
            </a:graphic>
          </wp:inline>
        </w:drawing>
      </w:r>
    </w:p>
    <w:p w14:paraId="30891006" w14:textId="5D50D654" w:rsidR="00137A40" w:rsidRDefault="00B90A0B" w:rsidP="00DB66DC">
      <w:pPr>
        <w:spacing w:after="0" w:line="480" w:lineRule="auto"/>
        <w:ind w:firstLine="720"/>
        <w:jc w:val="both"/>
      </w:pPr>
      <w:r w:rsidRPr="00B90A0B">
        <w:rPr>
          <w:rFonts w:ascii="Times New Roman" w:eastAsia="Times New Roman" w:hAnsi="Times New Roman" w:cs="Times New Roman"/>
          <w:kern w:val="0"/>
          <w:sz w:val="24"/>
          <w:szCs w:val="24"/>
          <w:lang w:bidi="th-TH"/>
          <w14:ligatures w14:val="none"/>
        </w:rPr>
        <w:t xml:space="preserve">PICRUSt functional prediction at KEGG level 3 </w:t>
      </w:r>
      <w:r w:rsidR="00137A40">
        <w:rPr>
          <w:rFonts w:ascii="Times New Roman" w:eastAsia="Times New Roman" w:hAnsi="Times New Roman" w:cs="Times New Roman"/>
          <w:kern w:val="0"/>
          <w:sz w:val="24"/>
          <w:szCs w:val="24"/>
          <w:lang w:bidi="th-TH"/>
          <w14:ligatures w14:val="none"/>
        </w:rPr>
        <w:t xml:space="preserve">showed </w:t>
      </w:r>
      <w:r w:rsidRPr="00B90A0B">
        <w:rPr>
          <w:rFonts w:ascii="Times New Roman" w:eastAsia="Times New Roman" w:hAnsi="Times New Roman" w:cs="Times New Roman"/>
          <w:kern w:val="0"/>
          <w:sz w:val="24"/>
          <w:szCs w:val="24"/>
          <w:lang w:bidi="th-TH"/>
          <w14:ligatures w14:val="none"/>
        </w:rPr>
        <w:t xml:space="preserve">differences in metabolic pathways between MDD and </w:t>
      </w:r>
      <w:r w:rsidR="00137A40">
        <w:rPr>
          <w:rFonts w:ascii="Times New Roman" w:eastAsia="Times New Roman" w:hAnsi="Times New Roman" w:cs="Times New Roman"/>
          <w:kern w:val="0"/>
          <w:sz w:val="24"/>
          <w:szCs w:val="24"/>
          <w:lang w:bidi="th-TH"/>
          <w14:ligatures w14:val="none"/>
        </w:rPr>
        <w:t>HC</w:t>
      </w:r>
      <w:r w:rsidRPr="00B90A0B">
        <w:rPr>
          <w:rFonts w:ascii="Times New Roman" w:eastAsia="Times New Roman" w:hAnsi="Times New Roman" w:cs="Times New Roman"/>
          <w:kern w:val="0"/>
          <w:sz w:val="24"/>
          <w:szCs w:val="24"/>
          <w:lang w:bidi="th-TH"/>
          <w14:ligatures w14:val="none"/>
        </w:rPr>
        <w:t xml:space="preserve">. In </w:t>
      </w:r>
      <w:r w:rsidR="00DB0A0E">
        <w:rPr>
          <w:rFonts w:ascii="Times New Roman" w:eastAsia="Times New Roman" w:hAnsi="Times New Roman" w:cs="Times New Roman"/>
          <w:kern w:val="0"/>
          <w:sz w:val="24"/>
          <w:szCs w:val="24"/>
          <w:lang w:bidi="th-TH"/>
          <w14:ligatures w14:val="none"/>
        </w:rPr>
        <w:t xml:space="preserve">the latter, </w:t>
      </w:r>
      <w:r w:rsidRPr="00B90A0B">
        <w:rPr>
          <w:rFonts w:ascii="Times New Roman" w:eastAsia="Times New Roman" w:hAnsi="Times New Roman" w:cs="Times New Roman"/>
          <w:kern w:val="0"/>
          <w:sz w:val="24"/>
          <w:szCs w:val="24"/>
          <w:lang w:bidi="th-TH"/>
          <w14:ligatures w14:val="none"/>
        </w:rPr>
        <w:t xml:space="preserve">pathways associated with RNA polymerase, pyrimidine metabolism, peptidoglycan biosynthesis, </w:t>
      </w:r>
      <w:r w:rsidR="00414098">
        <w:rPr>
          <w:rFonts w:ascii="Times New Roman" w:eastAsia="Times New Roman" w:hAnsi="Times New Roman" w:cs="Times New Roman"/>
          <w:kern w:val="0"/>
          <w:sz w:val="24"/>
          <w:szCs w:val="24"/>
          <w:lang w:bidi="th-TH"/>
          <w14:ligatures w14:val="none"/>
        </w:rPr>
        <w:t xml:space="preserve">and </w:t>
      </w:r>
      <w:r w:rsidRPr="00B90A0B">
        <w:rPr>
          <w:rFonts w:ascii="Times New Roman" w:eastAsia="Times New Roman" w:hAnsi="Times New Roman" w:cs="Times New Roman"/>
          <w:kern w:val="0"/>
          <w:sz w:val="24"/>
          <w:szCs w:val="24"/>
          <w:lang w:bidi="th-TH"/>
          <w14:ligatures w14:val="none"/>
        </w:rPr>
        <w:t xml:space="preserve">aminoacyl-tRNA biosynthesis were significantly elevated </w:t>
      </w:r>
      <w:r w:rsidR="00FB1B49" w:rsidRPr="00B90A0B">
        <w:rPr>
          <w:rFonts w:ascii="Times New Roman" w:eastAsia="Times New Roman" w:hAnsi="Times New Roman" w:cs="Times New Roman"/>
          <w:kern w:val="0"/>
          <w:sz w:val="24"/>
          <w:szCs w:val="24"/>
          <w:lang w:bidi="th-TH"/>
          <w14:ligatures w14:val="none"/>
        </w:rPr>
        <w:t>the</w:t>
      </w:r>
      <w:r w:rsidRPr="00B90A0B">
        <w:rPr>
          <w:rFonts w:ascii="Times New Roman" w:eastAsia="Times New Roman" w:hAnsi="Times New Roman" w:cs="Times New Roman"/>
          <w:kern w:val="0"/>
          <w:sz w:val="24"/>
          <w:szCs w:val="24"/>
          <w:lang w:bidi="th-TH"/>
          <w14:ligatures w14:val="none"/>
        </w:rPr>
        <w:t xml:space="preserve"> biosynthesis of unsaturated fatty acids, base excision repair, and alanine, aspartate, and glutamate metabolism were among the </w:t>
      </w:r>
      <w:r w:rsidR="00137A40">
        <w:rPr>
          <w:rFonts w:ascii="Times New Roman" w:eastAsia="Times New Roman" w:hAnsi="Times New Roman" w:cs="Times New Roman"/>
          <w:kern w:val="0"/>
          <w:sz w:val="24"/>
          <w:szCs w:val="24"/>
          <w:lang w:bidi="th-TH"/>
          <w14:ligatures w14:val="none"/>
        </w:rPr>
        <w:t xml:space="preserve">other </w:t>
      </w:r>
      <w:r w:rsidRPr="00B90A0B">
        <w:rPr>
          <w:rFonts w:ascii="Times New Roman" w:eastAsia="Times New Roman" w:hAnsi="Times New Roman" w:cs="Times New Roman"/>
          <w:kern w:val="0"/>
          <w:sz w:val="24"/>
          <w:szCs w:val="24"/>
          <w:lang w:bidi="th-TH"/>
          <w14:ligatures w14:val="none"/>
        </w:rPr>
        <w:t xml:space="preserve">pathways </w:t>
      </w:r>
      <w:r w:rsidR="00137A40">
        <w:rPr>
          <w:rFonts w:ascii="Times New Roman" w:eastAsia="Times New Roman" w:hAnsi="Times New Roman" w:cs="Times New Roman"/>
          <w:kern w:val="0"/>
          <w:sz w:val="24"/>
          <w:szCs w:val="24"/>
          <w:lang w:bidi="th-TH"/>
          <w14:ligatures w14:val="none"/>
        </w:rPr>
        <w:t xml:space="preserve">which </w:t>
      </w:r>
      <w:r w:rsidRPr="00B90A0B">
        <w:rPr>
          <w:rFonts w:ascii="Times New Roman" w:eastAsia="Times New Roman" w:hAnsi="Times New Roman" w:cs="Times New Roman"/>
          <w:kern w:val="0"/>
          <w:sz w:val="24"/>
          <w:szCs w:val="24"/>
          <w:lang w:bidi="th-TH"/>
          <w14:ligatures w14:val="none"/>
        </w:rPr>
        <w:t xml:space="preserve">were enriched in </w:t>
      </w:r>
      <w:r w:rsidR="00137A40">
        <w:rPr>
          <w:rFonts w:ascii="Times New Roman" w:eastAsia="Times New Roman" w:hAnsi="Times New Roman" w:cs="Times New Roman"/>
          <w:kern w:val="0"/>
          <w:sz w:val="24"/>
          <w:szCs w:val="24"/>
          <w:lang w:bidi="th-TH"/>
          <w14:ligatures w14:val="none"/>
        </w:rPr>
        <w:t>HC</w:t>
      </w:r>
      <w:r w:rsidRPr="00B90A0B">
        <w:rPr>
          <w:rFonts w:ascii="Times New Roman" w:eastAsia="Times New Roman" w:hAnsi="Times New Roman" w:cs="Times New Roman"/>
          <w:kern w:val="0"/>
          <w:sz w:val="24"/>
          <w:szCs w:val="24"/>
          <w:lang w:bidi="th-TH"/>
          <w14:ligatures w14:val="none"/>
        </w:rPr>
        <w:t xml:space="preserve">. </w:t>
      </w:r>
      <w:r w:rsidRPr="00137A40">
        <w:rPr>
          <w:rFonts w:ascii="Times New Roman" w:eastAsia="Times New Roman" w:hAnsi="Times New Roman" w:cs="Times New Roman"/>
          <w:kern w:val="0"/>
          <w:sz w:val="24"/>
          <w:szCs w:val="24"/>
          <w:lang w:bidi="th-TH"/>
          <w14:ligatures w14:val="none"/>
        </w:rPr>
        <w:t xml:space="preserve">These pathways </w:t>
      </w:r>
      <w:r w:rsidR="00137A40">
        <w:rPr>
          <w:rFonts w:ascii="Times New Roman" w:eastAsia="Times New Roman" w:hAnsi="Times New Roman" w:cs="Times New Roman"/>
          <w:kern w:val="0"/>
          <w:sz w:val="24"/>
          <w:szCs w:val="24"/>
          <w:lang w:bidi="th-TH"/>
          <w14:ligatures w14:val="none"/>
        </w:rPr>
        <w:t xml:space="preserve">suggest </w:t>
      </w:r>
      <w:r w:rsidRPr="00137A40">
        <w:rPr>
          <w:rFonts w:ascii="Times New Roman" w:eastAsia="Times New Roman" w:hAnsi="Times New Roman" w:cs="Times New Roman"/>
          <w:kern w:val="0"/>
          <w:sz w:val="24"/>
          <w:szCs w:val="24"/>
          <w:lang w:bidi="th-TH"/>
          <w14:ligatures w14:val="none"/>
        </w:rPr>
        <w:t>more robust metabolic maintenance processes and microbial replication. Conversely</w:t>
      </w:r>
      <w:r w:rsidRPr="00B90A0B">
        <w:rPr>
          <w:rFonts w:ascii="Times New Roman" w:eastAsia="Times New Roman" w:hAnsi="Times New Roman" w:cs="Times New Roman"/>
          <w:kern w:val="0"/>
          <w:sz w:val="24"/>
          <w:szCs w:val="24"/>
          <w:lang w:bidi="th-TH"/>
          <w14:ligatures w14:val="none"/>
        </w:rPr>
        <w:t xml:space="preserve">, MDD exhibited an enrichment of glyoxylate and dicarboxylate metabolism, pentose </w:t>
      </w:r>
      <w:r w:rsidRPr="00B90A0B">
        <w:rPr>
          <w:rFonts w:ascii="Times New Roman" w:eastAsia="Times New Roman" w:hAnsi="Times New Roman" w:cs="Times New Roman"/>
          <w:kern w:val="0"/>
          <w:sz w:val="24"/>
          <w:szCs w:val="24"/>
          <w:lang w:bidi="th-TH"/>
          <w14:ligatures w14:val="none"/>
        </w:rPr>
        <w:lastRenderedPageBreak/>
        <w:t>and glucuronate interconversions, carbon fixation pathways, lipopolysaccharide biosynthesis, and other glycan degradation, indicating an increase in microbial carbohydrate utilization and cell envelope remodeling.</w:t>
      </w:r>
    </w:p>
    <w:sectPr w:rsidR="00137A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47B1F"/>
    <w:multiLevelType w:val="multilevel"/>
    <w:tmpl w:val="30126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B14A3C"/>
    <w:multiLevelType w:val="multilevel"/>
    <w:tmpl w:val="5012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6464C"/>
    <w:multiLevelType w:val="multilevel"/>
    <w:tmpl w:val="4B78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DF3B45"/>
    <w:multiLevelType w:val="multilevel"/>
    <w:tmpl w:val="FB06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B02A36"/>
    <w:multiLevelType w:val="multilevel"/>
    <w:tmpl w:val="058A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8678033">
    <w:abstractNumId w:val="2"/>
  </w:num>
  <w:num w:numId="2" w16cid:durableId="134300605">
    <w:abstractNumId w:val="1"/>
  </w:num>
  <w:num w:numId="3" w16cid:durableId="483862007">
    <w:abstractNumId w:val="4"/>
  </w:num>
  <w:num w:numId="4" w16cid:durableId="157119452">
    <w:abstractNumId w:val="3"/>
  </w:num>
  <w:num w:numId="5" w16cid:durableId="130719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5AB"/>
    <w:rsid w:val="0001682F"/>
    <w:rsid w:val="00094F0B"/>
    <w:rsid w:val="000A03D0"/>
    <w:rsid w:val="000E3D34"/>
    <w:rsid w:val="00137A40"/>
    <w:rsid w:val="0019605D"/>
    <w:rsid w:val="001E0239"/>
    <w:rsid w:val="001F31BE"/>
    <w:rsid w:val="001F562F"/>
    <w:rsid w:val="00257832"/>
    <w:rsid w:val="00263211"/>
    <w:rsid w:val="00265B50"/>
    <w:rsid w:val="002746C8"/>
    <w:rsid w:val="002E63DA"/>
    <w:rsid w:val="003670B3"/>
    <w:rsid w:val="003A7683"/>
    <w:rsid w:val="003C6E6A"/>
    <w:rsid w:val="0040540B"/>
    <w:rsid w:val="00414098"/>
    <w:rsid w:val="004375AD"/>
    <w:rsid w:val="004713CB"/>
    <w:rsid w:val="005403EB"/>
    <w:rsid w:val="005573DE"/>
    <w:rsid w:val="00576A29"/>
    <w:rsid w:val="005A3946"/>
    <w:rsid w:val="00642C6F"/>
    <w:rsid w:val="0065657E"/>
    <w:rsid w:val="006A0296"/>
    <w:rsid w:val="006A7188"/>
    <w:rsid w:val="006C1393"/>
    <w:rsid w:val="00723CFB"/>
    <w:rsid w:val="0078179D"/>
    <w:rsid w:val="007C397C"/>
    <w:rsid w:val="007C3A65"/>
    <w:rsid w:val="007E4A48"/>
    <w:rsid w:val="008217C6"/>
    <w:rsid w:val="008251ED"/>
    <w:rsid w:val="00840516"/>
    <w:rsid w:val="008C3191"/>
    <w:rsid w:val="008F1668"/>
    <w:rsid w:val="009273E6"/>
    <w:rsid w:val="009527B9"/>
    <w:rsid w:val="009C61F0"/>
    <w:rsid w:val="009C75AB"/>
    <w:rsid w:val="00A93D80"/>
    <w:rsid w:val="00AC0130"/>
    <w:rsid w:val="00AC1B92"/>
    <w:rsid w:val="00B1623E"/>
    <w:rsid w:val="00B81481"/>
    <w:rsid w:val="00B90A0B"/>
    <w:rsid w:val="00BB774F"/>
    <w:rsid w:val="00C80669"/>
    <w:rsid w:val="00C941B7"/>
    <w:rsid w:val="00CA388F"/>
    <w:rsid w:val="00D219F4"/>
    <w:rsid w:val="00D72D44"/>
    <w:rsid w:val="00D84982"/>
    <w:rsid w:val="00DA14CB"/>
    <w:rsid w:val="00DB0A0E"/>
    <w:rsid w:val="00DB66DC"/>
    <w:rsid w:val="00DD3D19"/>
    <w:rsid w:val="00DD3D68"/>
    <w:rsid w:val="00DE125D"/>
    <w:rsid w:val="00DF6D81"/>
    <w:rsid w:val="00E05444"/>
    <w:rsid w:val="00E242D1"/>
    <w:rsid w:val="00E478FE"/>
    <w:rsid w:val="00E8510F"/>
    <w:rsid w:val="00EC4A8B"/>
    <w:rsid w:val="00F71F99"/>
    <w:rsid w:val="00F90606"/>
    <w:rsid w:val="00F97ABB"/>
    <w:rsid w:val="00FB1B4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C60F1"/>
  <w15:chartTrackingRefBased/>
  <w15:docId w15:val="{BD5AB31A-9FEB-4581-A72B-F3B15F0D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AB"/>
    <w:pPr>
      <w:spacing w:line="259" w:lineRule="auto"/>
    </w:pPr>
    <w:rPr>
      <w:sz w:val="22"/>
      <w:szCs w:val="22"/>
      <w:lang w:bidi="ar-SA"/>
    </w:rPr>
  </w:style>
  <w:style w:type="paragraph" w:styleId="Heading1">
    <w:name w:val="heading 1"/>
    <w:basedOn w:val="Normal"/>
    <w:next w:val="Normal"/>
    <w:link w:val="Heading1Char"/>
    <w:uiPriority w:val="9"/>
    <w:qFormat/>
    <w:rsid w:val="009C75A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9C75A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9C75AB"/>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9C75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75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75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5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5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5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5A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9C75A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9C75AB"/>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9C75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75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75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5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5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5AB"/>
    <w:rPr>
      <w:rFonts w:eastAsiaTheme="majorEastAsia" w:cstheme="majorBidi"/>
      <w:color w:val="272727" w:themeColor="text1" w:themeTint="D8"/>
    </w:rPr>
  </w:style>
  <w:style w:type="paragraph" w:styleId="Title">
    <w:name w:val="Title"/>
    <w:basedOn w:val="Normal"/>
    <w:next w:val="Normal"/>
    <w:link w:val="TitleChar"/>
    <w:uiPriority w:val="10"/>
    <w:qFormat/>
    <w:rsid w:val="009C75A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C75A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9C75A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9C75A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9C75AB"/>
    <w:pPr>
      <w:spacing w:before="160"/>
      <w:jc w:val="center"/>
    </w:pPr>
    <w:rPr>
      <w:i/>
      <w:iCs/>
      <w:color w:val="404040" w:themeColor="text1" w:themeTint="BF"/>
    </w:rPr>
  </w:style>
  <w:style w:type="character" w:customStyle="1" w:styleId="QuoteChar">
    <w:name w:val="Quote Char"/>
    <w:basedOn w:val="DefaultParagraphFont"/>
    <w:link w:val="Quote"/>
    <w:uiPriority w:val="29"/>
    <w:rsid w:val="009C75AB"/>
    <w:rPr>
      <w:i/>
      <w:iCs/>
      <w:color w:val="404040" w:themeColor="text1" w:themeTint="BF"/>
    </w:rPr>
  </w:style>
  <w:style w:type="paragraph" w:styleId="ListParagraph">
    <w:name w:val="List Paragraph"/>
    <w:basedOn w:val="Normal"/>
    <w:uiPriority w:val="34"/>
    <w:qFormat/>
    <w:rsid w:val="009C75AB"/>
    <w:pPr>
      <w:ind w:left="720"/>
      <w:contextualSpacing/>
    </w:pPr>
  </w:style>
  <w:style w:type="character" w:styleId="IntenseEmphasis">
    <w:name w:val="Intense Emphasis"/>
    <w:basedOn w:val="DefaultParagraphFont"/>
    <w:uiPriority w:val="21"/>
    <w:qFormat/>
    <w:rsid w:val="009C75AB"/>
    <w:rPr>
      <w:i/>
      <w:iCs/>
      <w:color w:val="0F4761" w:themeColor="accent1" w:themeShade="BF"/>
    </w:rPr>
  </w:style>
  <w:style w:type="paragraph" w:styleId="IntenseQuote">
    <w:name w:val="Intense Quote"/>
    <w:basedOn w:val="Normal"/>
    <w:next w:val="Normal"/>
    <w:link w:val="IntenseQuoteChar"/>
    <w:uiPriority w:val="30"/>
    <w:qFormat/>
    <w:rsid w:val="009C75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75AB"/>
    <w:rPr>
      <w:i/>
      <w:iCs/>
      <w:color w:val="0F4761" w:themeColor="accent1" w:themeShade="BF"/>
    </w:rPr>
  </w:style>
  <w:style w:type="character" w:styleId="IntenseReference">
    <w:name w:val="Intense Reference"/>
    <w:basedOn w:val="DefaultParagraphFont"/>
    <w:uiPriority w:val="32"/>
    <w:qFormat/>
    <w:rsid w:val="009C75AB"/>
    <w:rPr>
      <w:b/>
      <w:bCs/>
      <w:smallCaps/>
      <w:color w:val="0F4761" w:themeColor="accent1" w:themeShade="BF"/>
      <w:spacing w:val="5"/>
    </w:rPr>
  </w:style>
  <w:style w:type="character" w:styleId="Strong">
    <w:name w:val="Strong"/>
    <w:basedOn w:val="DefaultParagraphFont"/>
    <w:uiPriority w:val="22"/>
    <w:qFormat/>
    <w:rsid w:val="009C75AB"/>
    <w:rPr>
      <w:b/>
      <w:bCs/>
    </w:rPr>
  </w:style>
  <w:style w:type="paragraph" w:styleId="NormalWeb">
    <w:name w:val="Normal (Web)"/>
    <w:basedOn w:val="Normal"/>
    <w:uiPriority w:val="99"/>
    <w:unhideWhenUsed/>
    <w:rsid w:val="00094F0B"/>
    <w:pPr>
      <w:spacing w:before="100" w:beforeAutospacing="1" w:after="100" w:afterAutospacing="1" w:line="240" w:lineRule="auto"/>
    </w:pPr>
    <w:rPr>
      <w:rFonts w:ascii="Times New Roman" w:eastAsia="Times New Roman" w:hAnsi="Times New Roman" w:cs="Times New Roman"/>
      <w:kern w:val="0"/>
      <w:sz w:val="24"/>
      <w:szCs w:val="24"/>
      <w:lang w:bidi="th-TH"/>
      <w14:ligatures w14:val="none"/>
    </w:rPr>
  </w:style>
  <w:style w:type="character" w:styleId="Emphasis">
    <w:name w:val="Emphasis"/>
    <w:basedOn w:val="DefaultParagraphFont"/>
    <w:uiPriority w:val="20"/>
    <w:qFormat/>
    <w:rsid w:val="00DD3D19"/>
    <w:rPr>
      <w:i/>
      <w:iCs/>
    </w:rPr>
  </w:style>
  <w:style w:type="paragraph" w:customStyle="1" w:styleId="TableCaption">
    <w:name w:val="Table Caption"/>
    <w:basedOn w:val="Normal"/>
    <w:qFormat/>
    <w:rsid w:val="00D84982"/>
    <w:pPr>
      <w:spacing w:after="0" w:line="240" w:lineRule="auto"/>
      <w:jc w:val="center"/>
    </w:pPr>
    <w:rPr>
      <w:b/>
      <w:i/>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1381</Words>
  <Characters>7873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MichaelMaes MichaelMaes</dc:creator>
  <cp:keywords/>
  <dc:description/>
  <cp:lastModifiedBy>Yingqian Zhang</cp:lastModifiedBy>
  <cp:revision>4</cp:revision>
  <dcterms:created xsi:type="dcterms:W3CDTF">2026-04-07T05:02:00Z</dcterms:created>
  <dcterms:modified xsi:type="dcterms:W3CDTF">2026-08-05T06:21:00Z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f79c39cf-86a3-4a47-99ae-7c2f34e8b7b2</vt:lpwstr>
  </property>
</Properties>
</file>