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87DD4" w14:textId="781D3C01" w:rsidR="00184DE3" w:rsidRDefault="00184DE3" w:rsidP="00FF22F9">
      <w:pPr>
        <w:pStyle w:val="Title"/>
        <w:rPr>
          <w:rFonts w:eastAsia="Aptos Display"/>
        </w:rPr>
      </w:pPr>
      <w:r>
        <w:rPr>
          <w:rFonts w:eastAsia="Aptos Display"/>
        </w:rPr>
        <w:t>Supplem</w:t>
      </w:r>
      <w:r w:rsidR="00FF22F9">
        <w:rPr>
          <w:rFonts w:eastAsia="Aptos Display"/>
        </w:rPr>
        <w:t>entary information</w:t>
      </w:r>
    </w:p>
    <w:p w14:paraId="346FAF18" w14:textId="77777777" w:rsidR="00740708" w:rsidRPr="00740708" w:rsidRDefault="00740708" w:rsidP="00740708"/>
    <w:p w14:paraId="3C408732" w14:textId="7269B57F" w:rsidR="005429A0" w:rsidRPr="007C2E30" w:rsidRDefault="005429A0" w:rsidP="00FF22F9">
      <w:pPr>
        <w:pStyle w:val="Title"/>
      </w:pPr>
      <w:r w:rsidRPr="007C2E30">
        <w:rPr>
          <w:rFonts w:eastAsia="Aptos Display"/>
        </w:rPr>
        <w:t xml:space="preserve">Accounting for non-equivalence of carbon emissions and removals in meeting national </w:t>
      </w:r>
      <w:r w:rsidR="00BB41F0">
        <w:rPr>
          <w:rFonts w:eastAsia="Aptos Display"/>
        </w:rPr>
        <w:t xml:space="preserve">net </w:t>
      </w:r>
      <w:r w:rsidRPr="007C2E30">
        <w:rPr>
          <w:rFonts w:eastAsia="Aptos Display"/>
        </w:rPr>
        <w:t>zero</w:t>
      </w:r>
      <w:r w:rsidR="00C17DEB">
        <w:rPr>
          <w:rFonts w:eastAsia="Aptos Display"/>
        </w:rPr>
        <w:t xml:space="preserve"> </w:t>
      </w:r>
      <w:r w:rsidRPr="007C2E30">
        <w:rPr>
          <w:rFonts w:eastAsia="Aptos Display"/>
        </w:rPr>
        <w:t>emission</w:t>
      </w:r>
      <w:r>
        <w:rPr>
          <w:rFonts w:eastAsia="Aptos Display"/>
        </w:rPr>
        <w:t>s</w:t>
      </w:r>
      <w:r w:rsidRPr="007C2E30">
        <w:rPr>
          <w:rFonts w:eastAsia="Aptos Display"/>
        </w:rPr>
        <w:t xml:space="preserve"> targets in the United Kingdom</w:t>
      </w:r>
    </w:p>
    <w:p w14:paraId="0D5C9B40" w14:textId="77777777" w:rsidR="005E4A12" w:rsidRDefault="005E4A12"/>
    <w:p w14:paraId="398902B6" w14:textId="77777777" w:rsidR="00C960C6" w:rsidRDefault="00C960C6"/>
    <w:p w14:paraId="4C1D60DD" w14:textId="77777777" w:rsidR="0008607B" w:rsidRDefault="0008607B"/>
    <w:p w14:paraId="63AFB0D3" w14:textId="77777777" w:rsidR="0008607B" w:rsidRDefault="0008607B"/>
    <w:sdt>
      <w:sdtPr>
        <w:rPr>
          <w:rFonts w:ascii="UCL Sans" w:eastAsiaTheme="minorHAnsi" w:hAnsi="UCL Sans" w:cstheme="minorBidi"/>
          <w:color w:val="auto"/>
          <w:kern w:val="2"/>
          <w:sz w:val="21"/>
          <w:szCs w:val="22"/>
          <w:lang w:val="en-GB"/>
          <w14:ligatures w14:val="standardContextual"/>
        </w:rPr>
        <w:id w:val="-1433192030"/>
        <w:docPartObj>
          <w:docPartGallery w:val="Table of Contents"/>
          <w:docPartUnique/>
        </w:docPartObj>
      </w:sdtPr>
      <w:sdtEndPr>
        <w:rPr>
          <w:b/>
          <w:bCs/>
          <w:noProof/>
        </w:rPr>
      </w:sdtEndPr>
      <w:sdtContent>
        <w:p w14:paraId="05AB8CF7" w14:textId="46E114AC" w:rsidR="00C960C6" w:rsidRDefault="00C960C6">
          <w:pPr>
            <w:pStyle w:val="TOCHeading"/>
          </w:pPr>
          <w:r>
            <w:t>Contents</w:t>
          </w:r>
        </w:p>
        <w:p w14:paraId="0C7EA2DA" w14:textId="5104E0C9" w:rsidR="00C960C6" w:rsidRDefault="00C960C6">
          <w:pPr>
            <w:pStyle w:val="TOC2"/>
            <w:tabs>
              <w:tab w:val="left" w:pos="960"/>
              <w:tab w:val="right" w:leader="dot" w:pos="9016"/>
            </w:tabs>
            <w:rPr>
              <w:noProof/>
            </w:rPr>
          </w:pPr>
          <w:r>
            <w:fldChar w:fldCharType="begin"/>
          </w:r>
          <w:r>
            <w:instrText xml:space="preserve"> TOC \o "1-3" \h \z \u </w:instrText>
          </w:r>
          <w:r>
            <w:fldChar w:fldCharType="separate"/>
          </w:r>
          <w:hyperlink w:anchor="_Toc236808836" w:history="1">
            <w:r w:rsidRPr="00922A1F">
              <w:rPr>
                <w:rStyle w:val="Hyperlink"/>
                <w:noProof/>
                <w:lang w:val="fr-FR"/>
              </w:rPr>
              <w:t>SI.1.</w:t>
            </w:r>
            <w:r>
              <w:rPr>
                <w:noProof/>
              </w:rPr>
              <w:tab/>
            </w:r>
            <w:r w:rsidRPr="00922A1F">
              <w:rPr>
                <w:rStyle w:val="Hyperlink"/>
                <w:noProof/>
                <w:lang w:val="fr-FR"/>
              </w:rPr>
              <w:t>UK TIMES carbon capture options</w:t>
            </w:r>
            <w:r>
              <w:rPr>
                <w:noProof/>
                <w:webHidden/>
              </w:rPr>
              <w:tab/>
            </w:r>
            <w:r>
              <w:rPr>
                <w:noProof/>
                <w:webHidden/>
              </w:rPr>
              <w:fldChar w:fldCharType="begin"/>
            </w:r>
            <w:r>
              <w:rPr>
                <w:noProof/>
                <w:webHidden/>
              </w:rPr>
              <w:instrText xml:space="preserve"> PAGEREF _Toc236808836 \h </w:instrText>
            </w:r>
            <w:r>
              <w:rPr>
                <w:noProof/>
                <w:webHidden/>
              </w:rPr>
            </w:r>
            <w:r>
              <w:rPr>
                <w:noProof/>
                <w:webHidden/>
              </w:rPr>
              <w:fldChar w:fldCharType="separate"/>
            </w:r>
            <w:r>
              <w:rPr>
                <w:noProof/>
                <w:webHidden/>
              </w:rPr>
              <w:t>2</w:t>
            </w:r>
            <w:r>
              <w:rPr>
                <w:noProof/>
                <w:webHidden/>
              </w:rPr>
              <w:fldChar w:fldCharType="end"/>
            </w:r>
          </w:hyperlink>
        </w:p>
        <w:p w14:paraId="713A4315" w14:textId="3040E7EF" w:rsidR="00C960C6" w:rsidRDefault="00C960C6">
          <w:pPr>
            <w:pStyle w:val="TOC2"/>
            <w:tabs>
              <w:tab w:val="left" w:pos="960"/>
              <w:tab w:val="right" w:leader="dot" w:pos="9016"/>
            </w:tabs>
            <w:rPr>
              <w:noProof/>
            </w:rPr>
          </w:pPr>
          <w:hyperlink w:anchor="_Toc236808837" w:history="1">
            <w:r w:rsidRPr="00922A1F">
              <w:rPr>
                <w:rStyle w:val="Hyperlink"/>
                <w:noProof/>
              </w:rPr>
              <w:t>SI.2.</w:t>
            </w:r>
            <w:r>
              <w:rPr>
                <w:noProof/>
              </w:rPr>
              <w:tab/>
            </w:r>
            <w:r w:rsidRPr="00922A1F">
              <w:rPr>
                <w:rStyle w:val="Hyperlink"/>
                <w:noProof/>
              </w:rPr>
              <w:t>Sectoral electricity and hydrogen use</w:t>
            </w:r>
            <w:r>
              <w:rPr>
                <w:noProof/>
                <w:webHidden/>
              </w:rPr>
              <w:tab/>
            </w:r>
            <w:r>
              <w:rPr>
                <w:noProof/>
                <w:webHidden/>
              </w:rPr>
              <w:fldChar w:fldCharType="begin"/>
            </w:r>
            <w:r>
              <w:rPr>
                <w:noProof/>
                <w:webHidden/>
              </w:rPr>
              <w:instrText xml:space="preserve"> PAGEREF _Toc236808837 \h </w:instrText>
            </w:r>
            <w:r>
              <w:rPr>
                <w:noProof/>
                <w:webHidden/>
              </w:rPr>
            </w:r>
            <w:r>
              <w:rPr>
                <w:noProof/>
                <w:webHidden/>
              </w:rPr>
              <w:fldChar w:fldCharType="separate"/>
            </w:r>
            <w:r>
              <w:rPr>
                <w:noProof/>
                <w:webHidden/>
              </w:rPr>
              <w:t>4</w:t>
            </w:r>
            <w:r>
              <w:rPr>
                <w:noProof/>
                <w:webHidden/>
              </w:rPr>
              <w:fldChar w:fldCharType="end"/>
            </w:r>
          </w:hyperlink>
        </w:p>
        <w:p w14:paraId="632C7E2E" w14:textId="57437DF6" w:rsidR="00C960C6" w:rsidRDefault="00C960C6">
          <w:pPr>
            <w:pStyle w:val="TOC2"/>
            <w:tabs>
              <w:tab w:val="left" w:pos="960"/>
              <w:tab w:val="right" w:leader="dot" w:pos="9016"/>
            </w:tabs>
            <w:rPr>
              <w:noProof/>
            </w:rPr>
          </w:pPr>
          <w:hyperlink w:anchor="_Toc236808838" w:history="1">
            <w:r w:rsidRPr="00922A1F">
              <w:rPr>
                <w:rStyle w:val="Hyperlink"/>
                <w:noProof/>
              </w:rPr>
              <w:t>SI.3.</w:t>
            </w:r>
            <w:r>
              <w:rPr>
                <w:noProof/>
              </w:rPr>
              <w:tab/>
            </w:r>
            <w:r w:rsidRPr="00922A1F">
              <w:rPr>
                <w:rStyle w:val="Hyperlink"/>
                <w:noProof/>
              </w:rPr>
              <w:t>Direct air capture and fossil CCS</w:t>
            </w:r>
            <w:r>
              <w:rPr>
                <w:noProof/>
                <w:webHidden/>
              </w:rPr>
              <w:tab/>
            </w:r>
            <w:r>
              <w:rPr>
                <w:noProof/>
                <w:webHidden/>
              </w:rPr>
              <w:fldChar w:fldCharType="begin"/>
            </w:r>
            <w:r>
              <w:rPr>
                <w:noProof/>
                <w:webHidden/>
              </w:rPr>
              <w:instrText xml:space="preserve"> PAGEREF _Toc236808838 \h </w:instrText>
            </w:r>
            <w:r>
              <w:rPr>
                <w:noProof/>
                <w:webHidden/>
              </w:rPr>
            </w:r>
            <w:r>
              <w:rPr>
                <w:noProof/>
                <w:webHidden/>
              </w:rPr>
              <w:fldChar w:fldCharType="separate"/>
            </w:r>
            <w:r>
              <w:rPr>
                <w:noProof/>
                <w:webHidden/>
              </w:rPr>
              <w:t>6</w:t>
            </w:r>
            <w:r>
              <w:rPr>
                <w:noProof/>
                <w:webHidden/>
              </w:rPr>
              <w:fldChar w:fldCharType="end"/>
            </w:r>
          </w:hyperlink>
        </w:p>
        <w:p w14:paraId="3CF186CC" w14:textId="7854FA42" w:rsidR="00C960C6" w:rsidRDefault="00C960C6">
          <w:pPr>
            <w:pStyle w:val="TOC2"/>
            <w:tabs>
              <w:tab w:val="left" w:pos="960"/>
              <w:tab w:val="right" w:leader="dot" w:pos="9016"/>
            </w:tabs>
            <w:rPr>
              <w:noProof/>
            </w:rPr>
          </w:pPr>
          <w:hyperlink w:anchor="_Toc236808839" w:history="1">
            <w:r w:rsidRPr="00922A1F">
              <w:rPr>
                <w:rStyle w:val="Hyperlink"/>
                <w:noProof/>
              </w:rPr>
              <w:t>SI.4.</w:t>
            </w:r>
            <w:r>
              <w:rPr>
                <w:noProof/>
              </w:rPr>
              <w:tab/>
            </w:r>
            <w:r w:rsidRPr="00922A1F">
              <w:rPr>
                <w:rStyle w:val="Hyperlink"/>
                <w:noProof/>
              </w:rPr>
              <w:t>Electricity and hydrogen production</w:t>
            </w:r>
            <w:r>
              <w:rPr>
                <w:noProof/>
                <w:webHidden/>
              </w:rPr>
              <w:tab/>
            </w:r>
            <w:r>
              <w:rPr>
                <w:noProof/>
                <w:webHidden/>
              </w:rPr>
              <w:fldChar w:fldCharType="begin"/>
            </w:r>
            <w:r>
              <w:rPr>
                <w:noProof/>
                <w:webHidden/>
              </w:rPr>
              <w:instrText xml:space="preserve"> PAGEREF _Toc236808839 \h </w:instrText>
            </w:r>
            <w:r>
              <w:rPr>
                <w:noProof/>
                <w:webHidden/>
              </w:rPr>
            </w:r>
            <w:r>
              <w:rPr>
                <w:noProof/>
                <w:webHidden/>
              </w:rPr>
              <w:fldChar w:fldCharType="separate"/>
            </w:r>
            <w:r>
              <w:rPr>
                <w:noProof/>
                <w:webHidden/>
              </w:rPr>
              <w:t>7</w:t>
            </w:r>
            <w:r>
              <w:rPr>
                <w:noProof/>
                <w:webHidden/>
              </w:rPr>
              <w:fldChar w:fldCharType="end"/>
            </w:r>
          </w:hyperlink>
        </w:p>
        <w:p w14:paraId="18CD2304" w14:textId="14534239" w:rsidR="00C960C6" w:rsidRDefault="00C960C6">
          <w:pPr>
            <w:pStyle w:val="TOC2"/>
            <w:tabs>
              <w:tab w:val="right" w:leader="dot" w:pos="9016"/>
            </w:tabs>
            <w:rPr>
              <w:noProof/>
            </w:rPr>
          </w:pPr>
          <w:hyperlink w:anchor="_Toc236808840" w:history="1">
            <w:r w:rsidRPr="00922A1F">
              <w:rPr>
                <w:rStyle w:val="Hyperlink"/>
                <w:noProof/>
                <w:lang w:eastAsia="ja-JP"/>
              </w:rPr>
              <w:t>References – SI only</w:t>
            </w:r>
            <w:r>
              <w:rPr>
                <w:noProof/>
                <w:webHidden/>
              </w:rPr>
              <w:tab/>
            </w:r>
            <w:r>
              <w:rPr>
                <w:noProof/>
                <w:webHidden/>
              </w:rPr>
              <w:fldChar w:fldCharType="begin"/>
            </w:r>
            <w:r>
              <w:rPr>
                <w:noProof/>
                <w:webHidden/>
              </w:rPr>
              <w:instrText xml:space="preserve"> PAGEREF _Toc236808840 \h </w:instrText>
            </w:r>
            <w:r>
              <w:rPr>
                <w:noProof/>
                <w:webHidden/>
              </w:rPr>
            </w:r>
            <w:r>
              <w:rPr>
                <w:noProof/>
                <w:webHidden/>
              </w:rPr>
              <w:fldChar w:fldCharType="separate"/>
            </w:r>
            <w:r>
              <w:rPr>
                <w:noProof/>
                <w:webHidden/>
              </w:rPr>
              <w:t>10</w:t>
            </w:r>
            <w:r>
              <w:rPr>
                <w:noProof/>
                <w:webHidden/>
              </w:rPr>
              <w:fldChar w:fldCharType="end"/>
            </w:r>
          </w:hyperlink>
        </w:p>
        <w:p w14:paraId="214B8D24" w14:textId="59204AC4" w:rsidR="00C960C6" w:rsidRDefault="00C960C6">
          <w:r>
            <w:rPr>
              <w:b/>
              <w:bCs/>
              <w:noProof/>
            </w:rPr>
            <w:fldChar w:fldCharType="end"/>
          </w:r>
        </w:p>
      </w:sdtContent>
    </w:sdt>
    <w:p w14:paraId="3C157893" w14:textId="77777777" w:rsidR="00C960C6" w:rsidRDefault="00C960C6"/>
    <w:p w14:paraId="3661707C" w14:textId="5325166B" w:rsidR="009C4416" w:rsidRDefault="009C4416">
      <w:r>
        <w:br w:type="page"/>
      </w:r>
    </w:p>
    <w:p w14:paraId="3DB66475" w14:textId="58DA94CE" w:rsidR="00F23F1D" w:rsidRDefault="00F23F1D" w:rsidP="00F81BB3">
      <w:pPr>
        <w:pStyle w:val="Heading2"/>
        <w:numPr>
          <w:ilvl w:val="0"/>
          <w:numId w:val="2"/>
        </w:numPr>
        <w:rPr>
          <w:lang w:val="fr-FR"/>
        </w:rPr>
      </w:pPr>
      <w:bookmarkStart w:id="0" w:name="_Toc236808836"/>
      <w:r w:rsidRPr="00F23F1D">
        <w:rPr>
          <w:lang w:val="fr-FR"/>
        </w:rPr>
        <w:lastRenderedPageBreak/>
        <w:t xml:space="preserve">UK TIMES </w:t>
      </w:r>
      <w:r w:rsidR="00352114">
        <w:rPr>
          <w:lang w:val="fr-FR"/>
        </w:rPr>
        <w:t>carbon capture options</w:t>
      </w:r>
      <w:bookmarkEnd w:id="0"/>
    </w:p>
    <w:p w14:paraId="238887A4" w14:textId="4452C293" w:rsidR="00030F35" w:rsidRDefault="0009677C" w:rsidP="001E753E">
      <w:r>
        <w:t>UK TIMES is a bottom up, technology rich model of the UK energy system</w:t>
      </w:r>
      <w:r w:rsidR="001E753E">
        <w:t xml:space="preserve">. It is built using </w:t>
      </w:r>
      <w:r w:rsidR="0090622D">
        <w:t xml:space="preserve">interconnected </w:t>
      </w:r>
      <w:r w:rsidR="001E753E">
        <w:t xml:space="preserve">technologies and commodities which together describe supply chains </w:t>
      </w:r>
      <w:r w:rsidR="0090622D">
        <w:t>for energy service demand</w:t>
      </w:r>
      <w:r w:rsidR="00F343D9">
        <w:t>s</w:t>
      </w:r>
      <w:r w:rsidR="0090622D">
        <w:t xml:space="preserve"> (mobility, heat</w:t>
      </w:r>
      <w:r w:rsidR="0095034F">
        <w:t>, etc.</w:t>
      </w:r>
      <w:r w:rsidR="0090622D">
        <w:t xml:space="preserve">) in end use sectors. </w:t>
      </w:r>
    </w:p>
    <w:p w14:paraId="12EE8063" w14:textId="3B2D1CE4" w:rsidR="006D12BA" w:rsidRPr="000224C4" w:rsidRDefault="00B146B4" w:rsidP="001E753E">
      <w:r>
        <w:t>In the context of meeting nationally legislated net zero emissions targets and 5-yearly carbon budgets</w:t>
      </w:r>
      <w:r w:rsidR="003873CF">
        <w:rPr>
          <w:vertAlign w:val="superscript"/>
        </w:rPr>
        <w:t>1</w:t>
      </w:r>
      <w:r>
        <w:t>, c</w:t>
      </w:r>
      <w:r w:rsidR="006D12BA" w:rsidRPr="000224C4">
        <w:t>arbon dioxide removal (CDR) and fossil</w:t>
      </w:r>
      <w:r w:rsidR="00343E8D" w:rsidRPr="000224C4">
        <w:t xml:space="preserve"> </w:t>
      </w:r>
      <w:r w:rsidR="006D12BA" w:rsidRPr="000224C4">
        <w:t xml:space="preserve">CCS </w:t>
      </w:r>
      <w:r w:rsidR="00343E8D" w:rsidRPr="000224C4">
        <w:t xml:space="preserve">technologies </w:t>
      </w:r>
      <w:r w:rsidR="000224C4" w:rsidRPr="000224C4">
        <w:t xml:space="preserve">represent an </w:t>
      </w:r>
      <w:r w:rsidR="000224C4">
        <w:t>important sub-group of technologies</w:t>
      </w:r>
      <w:r w:rsidR="00810E2E">
        <w:t xml:space="preserve">. Recent governmental analysis of carbon budget 7 </w:t>
      </w:r>
      <w:r w:rsidR="0020769E">
        <w:t xml:space="preserve">stated that </w:t>
      </w:r>
      <w:r w:rsidR="00E5734F">
        <w:t xml:space="preserve">it was not possible to achieve net zero GHG emissions in 2050 without engineered removals, and described pathways with </w:t>
      </w:r>
      <w:r w:rsidR="0099185E">
        <w:t>carbon capture, use and storage (CCUS) levels of 59-100 MtCO</w:t>
      </w:r>
      <w:r w:rsidR="0099185E">
        <w:rPr>
          <w:vertAlign w:val="subscript"/>
        </w:rPr>
        <w:t>2</w:t>
      </w:r>
      <w:r w:rsidR="0099185E">
        <w:t>y</w:t>
      </w:r>
      <w:r w:rsidR="0099185E">
        <w:rPr>
          <w:vertAlign w:val="superscript"/>
        </w:rPr>
        <w:t>-1</w:t>
      </w:r>
      <w:r w:rsidR="007A35E0">
        <w:t xml:space="preserve"> by 2050</w:t>
      </w:r>
      <w:r w:rsidR="00E743DB">
        <w:rPr>
          <w:vertAlign w:val="superscript"/>
        </w:rPr>
        <w:t>2</w:t>
      </w:r>
      <w:r w:rsidR="007A35E0">
        <w:t>.</w:t>
      </w:r>
    </w:p>
    <w:p w14:paraId="1AC80976" w14:textId="5BB6F552" w:rsidR="003B5F2C" w:rsidRPr="009E4710" w:rsidRDefault="00886FBF" w:rsidP="001E753E">
      <w:r>
        <w:t xml:space="preserve">Carbon capture </w:t>
      </w:r>
      <w:r w:rsidR="00763A48" w:rsidRPr="00255D3D">
        <w:t>options included in UK TIMES are shown in stylised form in</w:t>
      </w:r>
      <w:r>
        <w:t xml:space="preserve"> </w:t>
      </w:r>
      <w:r w:rsidR="00254B39">
        <w:fldChar w:fldCharType="begin"/>
      </w:r>
      <w:r w:rsidR="00254B39">
        <w:instrText xml:space="preserve"> REF _Ref236723240 \h </w:instrText>
      </w:r>
      <w:r w:rsidR="00254B39">
        <w:fldChar w:fldCharType="separate"/>
      </w:r>
      <w:r w:rsidR="00254B39">
        <w:t xml:space="preserve">Figure </w:t>
      </w:r>
      <w:r w:rsidR="00254B39">
        <w:rPr>
          <w:noProof/>
        </w:rPr>
        <w:t>A</w:t>
      </w:r>
      <w:r w:rsidR="00254B39">
        <w:fldChar w:fldCharType="end"/>
      </w:r>
      <w:r w:rsidR="00254B39">
        <w:t xml:space="preserve">. </w:t>
      </w:r>
      <w:r w:rsidR="00B75346">
        <w:t xml:space="preserve">We distinguish </w:t>
      </w:r>
      <w:r w:rsidR="00F84E59">
        <w:t xml:space="preserve">between conventional CDR, </w:t>
      </w:r>
      <w:r w:rsidR="00CB7210">
        <w:t>which include well established methods deployed at scale</w:t>
      </w:r>
      <w:r w:rsidR="0016352B">
        <w:t xml:space="preserve"> around the world as part of countries’ LULUCF activities</w:t>
      </w:r>
      <w:r w:rsidR="00542BF3">
        <w:t xml:space="preserve">, from novel CDR, covering all other methods </w:t>
      </w:r>
      <w:r w:rsidR="00802868">
        <w:t xml:space="preserve">and </w:t>
      </w:r>
      <w:r w:rsidR="00542BF3">
        <w:t xml:space="preserve">generally associated with longer storage timescales but </w:t>
      </w:r>
      <w:r w:rsidR="0029003A">
        <w:t>deployed at much smaller scales</w:t>
      </w:r>
      <w:r w:rsidR="009143E9">
        <w:rPr>
          <w:vertAlign w:val="superscript"/>
        </w:rPr>
        <w:t>3</w:t>
      </w:r>
      <w:r w:rsidR="0029003A">
        <w:t xml:space="preserve">. </w:t>
      </w:r>
      <w:r w:rsidR="00E441A6">
        <w:t xml:space="preserve">Where </w:t>
      </w:r>
      <w:r w:rsidR="008E450E">
        <w:t>conventional CDR have averaged 2.2 GtCO</w:t>
      </w:r>
      <w:r w:rsidR="008E450E">
        <w:rPr>
          <w:vertAlign w:val="subscript"/>
        </w:rPr>
        <w:t>2</w:t>
      </w:r>
      <w:r w:rsidR="008E450E">
        <w:t>y</w:t>
      </w:r>
      <w:r w:rsidR="008E450E">
        <w:rPr>
          <w:vertAlign w:val="superscript"/>
        </w:rPr>
        <w:t>-1</w:t>
      </w:r>
      <w:r w:rsidR="008E450E">
        <w:t xml:space="preserve"> removals </w:t>
      </w:r>
      <w:r w:rsidR="009E4710">
        <w:t xml:space="preserve">globally </w:t>
      </w:r>
      <w:r w:rsidR="008E450E">
        <w:t xml:space="preserve">(2014-2023), </w:t>
      </w:r>
      <w:r w:rsidR="009E4710">
        <w:t>novel CDR accounted</w:t>
      </w:r>
      <w:r w:rsidR="001621A5">
        <w:t xml:space="preserve"> for</w:t>
      </w:r>
      <w:r w:rsidR="009E4710">
        <w:t xml:space="preserve"> 2.04 MtCO</w:t>
      </w:r>
      <w:r w:rsidR="009E4710">
        <w:rPr>
          <w:vertAlign w:val="subscript"/>
        </w:rPr>
        <w:t>2</w:t>
      </w:r>
      <w:r w:rsidR="009E4710">
        <w:t xml:space="preserve"> stored in 2025</w:t>
      </w:r>
      <w:r w:rsidR="009143E9">
        <w:rPr>
          <w:vertAlign w:val="superscript"/>
        </w:rPr>
        <w:t>4</w:t>
      </w:r>
      <w:r w:rsidR="009E4710">
        <w:t>.</w:t>
      </w:r>
      <w:r w:rsidR="00B020F6">
        <w:t xml:space="preserve"> Note that </w:t>
      </w:r>
      <w:r w:rsidR="00B020F6">
        <w:fldChar w:fldCharType="begin"/>
      </w:r>
      <w:r w:rsidR="00B020F6">
        <w:instrText xml:space="preserve"> REF _Ref236723240 \h </w:instrText>
      </w:r>
      <w:r w:rsidR="00B020F6">
        <w:fldChar w:fldCharType="separate"/>
      </w:r>
      <w:r w:rsidR="00B020F6">
        <w:t xml:space="preserve">Figure </w:t>
      </w:r>
      <w:r w:rsidR="00B020F6">
        <w:rPr>
          <w:noProof/>
        </w:rPr>
        <w:t>A</w:t>
      </w:r>
      <w:r w:rsidR="00B020F6">
        <w:fldChar w:fldCharType="end"/>
      </w:r>
      <w:r w:rsidR="00B020F6">
        <w:t xml:space="preserve"> </w:t>
      </w:r>
      <w:r w:rsidR="00A64B96">
        <w:t>combines</w:t>
      </w:r>
      <w:r w:rsidR="00B020F6">
        <w:t xml:space="preserve"> Novel CDR </w:t>
      </w:r>
      <w:r w:rsidR="00A64B96">
        <w:t>and</w:t>
      </w:r>
      <w:r w:rsidR="00B020F6">
        <w:t xml:space="preserve"> </w:t>
      </w:r>
      <w:r w:rsidR="00693FDF">
        <w:t xml:space="preserve">Carbon Capture and Storage (CCS) technologies for simplicity, creating a category </w:t>
      </w:r>
      <w:r w:rsidR="0051468B">
        <w:t xml:space="preserve">sometimes referred to as engineered options. </w:t>
      </w:r>
    </w:p>
    <w:p w14:paraId="38C02C32" w14:textId="6481132C" w:rsidR="00763A48" w:rsidRPr="00255D3D" w:rsidRDefault="0051468B" w:rsidP="001E753E">
      <w:r>
        <w:t xml:space="preserve">Together, these carbon capture options feed </w:t>
      </w:r>
      <w:r w:rsidR="002473CA">
        <w:t xml:space="preserve">either a Land or a Geological </w:t>
      </w:r>
      <w:r>
        <w:t xml:space="preserve">carbon </w:t>
      </w:r>
      <w:r w:rsidR="002473CA">
        <w:t>sink</w:t>
      </w:r>
      <w:r w:rsidR="00B236BA">
        <w:t>:</w:t>
      </w:r>
      <w:r w:rsidR="00763A48" w:rsidRPr="00255D3D">
        <w:t xml:space="preserve"> </w:t>
      </w:r>
    </w:p>
    <w:p w14:paraId="3F6C5B46" w14:textId="0AEDB2C3" w:rsidR="00763A48" w:rsidRPr="00255D3D" w:rsidRDefault="00763A48" w:rsidP="00123C90">
      <w:pPr>
        <w:pStyle w:val="ListParagraph"/>
        <w:numPr>
          <w:ilvl w:val="0"/>
          <w:numId w:val="5"/>
        </w:numPr>
      </w:pPr>
      <w:r w:rsidRPr="00255D3D">
        <w:t>Afforestation</w:t>
      </w:r>
      <w:r w:rsidR="00123C90">
        <w:t>,</w:t>
      </w:r>
      <w:r w:rsidR="00387E7D">
        <w:t xml:space="preserve"> </w:t>
      </w:r>
      <w:commentRangeStart w:id="1"/>
      <w:r w:rsidRPr="00255D3D">
        <w:t>energy crops</w:t>
      </w:r>
      <w:commentRangeEnd w:id="1"/>
      <w:r>
        <w:rPr>
          <w:rStyle w:val="CommentReference"/>
          <w:sz w:val="21"/>
          <w:szCs w:val="22"/>
        </w:rPr>
        <w:commentReference w:id="1"/>
      </w:r>
      <w:r w:rsidR="00123C90">
        <w:t>,</w:t>
      </w:r>
      <w:r w:rsidRPr="00255D3D">
        <w:t xml:space="preserve"> changes in agricultural practice or soil remediation</w:t>
      </w:r>
      <w:r w:rsidR="00123C90">
        <w:t>, affect soil carbon balances</w:t>
      </w:r>
      <w:r w:rsidR="008E7580">
        <w:t xml:space="preserve"> and are therefore linked to the </w:t>
      </w:r>
      <w:r w:rsidRPr="00255D3D">
        <w:t xml:space="preserve">land-sink. </w:t>
      </w:r>
      <w:r w:rsidR="00B710DD">
        <w:t xml:space="preserve">For </w:t>
      </w:r>
      <w:r w:rsidRPr="00255D3D">
        <w:t xml:space="preserve">afforestation and </w:t>
      </w:r>
      <w:r w:rsidR="00B710DD">
        <w:t xml:space="preserve">energy crops, the carbon accrued in above </w:t>
      </w:r>
      <w:r w:rsidR="007832F8">
        <w:t xml:space="preserve">ground biomass that is removed either through crop harvesting or forest management </w:t>
      </w:r>
      <w:r w:rsidR="00DB7C62">
        <w:t xml:space="preserve">does not accrue to the land sink. </w:t>
      </w:r>
      <w:r w:rsidR="00245D44">
        <w:t>The woody biomass pellet</w:t>
      </w:r>
      <w:r w:rsidR="007979C1">
        <w:t>s are used in</w:t>
      </w:r>
      <w:r w:rsidRPr="00255D3D">
        <w:t xml:space="preserve"> </w:t>
      </w:r>
      <w:r w:rsidR="00245D44">
        <w:t xml:space="preserve">the </w:t>
      </w:r>
      <w:r w:rsidR="007979C1">
        <w:t xml:space="preserve">wider </w:t>
      </w:r>
      <w:r w:rsidRPr="00255D3D">
        <w:t>energy system</w:t>
      </w:r>
      <w:r>
        <w:t xml:space="preserve"> </w:t>
      </w:r>
      <w:r w:rsidR="00245D44">
        <w:t>and could lead to accruals in the geological sink if used for bioenergy with carbon capture and storage (BECCS)</w:t>
      </w:r>
      <w:r>
        <w:t>.</w:t>
      </w:r>
    </w:p>
    <w:p w14:paraId="3AF64F7E" w14:textId="0CBF1360" w:rsidR="00763A48" w:rsidRPr="00255D3D" w:rsidRDefault="004B7264" w:rsidP="001E753E">
      <w:pPr>
        <w:pStyle w:val="ListParagraph"/>
        <w:numPr>
          <w:ilvl w:val="0"/>
          <w:numId w:val="5"/>
        </w:numPr>
      </w:pPr>
      <w:r>
        <w:t xml:space="preserve">Novel </w:t>
      </w:r>
      <w:r w:rsidR="00E66D3A">
        <w:t>CDR and CCS technologies are spread across the electricity,</w:t>
      </w:r>
      <w:r w:rsidR="00804DD5">
        <w:t xml:space="preserve"> hydrogen production,</w:t>
      </w:r>
      <w:r w:rsidR="00E66D3A">
        <w:t xml:space="preserve"> </w:t>
      </w:r>
      <w:r w:rsidR="00804DD5">
        <w:t xml:space="preserve">fuel and feedstock </w:t>
      </w:r>
      <w:r w:rsidR="00E66D3A">
        <w:t xml:space="preserve">processing, and industrial sectors </w:t>
      </w:r>
      <w:r w:rsidR="00804DD5">
        <w:t xml:space="preserve">of the model. </w:t>
      </w:r>
      <w:r w:rsidR="008A77C2">
        <w:t xml:space="preserve">Their capture processes generate </w:t>
      </w:r>
      <w:r w:rsidR="00763A48" w:rsidRPr="00255D3D">
        <w:t>streams of CO</w:t>
      </w:r>
      <w:r w:rsidR="00763A48" w:rsidRPr="001E753E">
        <w:rPr>
          <w:vertAlign w:val="subscript"/>
        </w:rPr>
        <w:t>2</w:t>
      </w:r>
      <w:r w:rsidR="00763A48" w:rsidRPr="00255D3D">
        <w:t xml:space="preserve"> </w:t>
      </w:r>
      <w:r w:rsidR="008A77C2">
        <w:t xml:space="preserve">that can be </w:t>
      </w:r>
      <w:r w:rsidR="00763A48" w:rsidRPr="00255D3D">
        <w:t xml:space="preserve">used </w:t>
      </w:r>
      <w:r w:rsidR="00C14A20">
        <w:t xml:space="preserve">in </w:t>
      </w:r>
      <w:r w:rsidR="00763A48" w:rsidRPr="00255D3D">
        <w:t>synthetic fuel</w:t>
      </w:r>
      <w:r w:rsidR="008A77C2">
        <w:t xml:space="preserve"> processes, or stored offshore on </w:t>
      </w:r>
      <w:r w:rsidR="00763A48" w:rsidRPr="00255D3D">
        <w:t xml:space="preserve">geological </w:t>
      </w:r>
      <w:r w:rsidR="008A77C2">
        <w:t>timescales</w:t>
      </w:r>
      <w:r w:rsidR="00763A48" w:rsidRPr="00255D3D">
        <w:t xml:space="preserve">. </w:t>
      </w:r>
    </w:p>
    <w:p w14:paraId="16545E0E" w14:textId="0EAD59DF" w:rsidR="00763A48" w:rsidRDefault="00763A48" w:rsidP="001E753E">
      <w:r w:rsidRPr="00255D3D">
        <w:t xml:space="preserve">The net carbon </w:t>
      </w:r>
      <w:r w:rsidR="00C14A20">
        <w:t xml:space="preserve">and energy </w:t>
      </w:r>
      <w:r w:rsidRPr="00255D3D">
        <w:t>balance</w:t>
      </w:r>
      <w:r w:rsidR="00C14A20">
        <w:t>s</w:t>
      </w:r>
      <w:r w:rsidRPr="00255D3D">
        <w:t xml:space="preserve"> of </w:t>
      </w:r>
      <w:r w:rsidR="00C14A20">
        <w:t xml:space="preserve">different novel CDR and </w:t>
      </w:r>
      <w:r w:rsidR="00C14A20" w:rsidRPr="00255D3D">
        <w:t xml:space="preserve">CCS </w:t>
      </w:r>
      <w:r w:rsidR="00C14A20">
        <w:t xml:space="preserve">technologies account for </w:t>
      </w:r>
      <w:r w:rsidR="00CD1B3E">
        <w:t xml:space="preserve">the different feedstock fuels they use and their efficiencies of capture as part of the model’s </w:t>
      </w:r>
      <w:r w:rsidRPr="00255D3D">
        <w:t>consistent emissions accounting system</w:t>
      </w:r>
      <w:r w:rsidR="009D1417">
        <w:t xml:space="preserve"> (see main manuscript).</w:t>
      </w:r>
    </w:p>
    <w:p w14:paraId="74DE7202" w14:textId="120F650F" w:rsidR="00BB5234" w:rsidRPr="00E81E33" w:rsidRDefault="00BB5234" w:rsidP="00BB5234">
      <w:pPr>
        <w:rPr>
          <w:lang w:eastAsia="ja-JP"/>
        </w:rPr>
      </w:pPr>
      <w:r>
        <w:t xml:space="preserve">CDR and CCS options are part of the wider </w:t>
      </w:r>
      <w:r w:rsidR="00125765">
        <w:t xml:space="preserve">set of over 2000 technologies and 1000 commodities included in </w:t>
      </w:r>
      <w:r>
        <w:t xml:space="preserve">the UK TIMES </w:t>
      </w:r>
      <w:r w:rsidR="00125765">
        <w:t>whole energy system model.</w:t>
      </w:r>
      <w:r>
        <w:t xml:space="preserve"> </w:t>
      </w:r>
    </w:p>
    <w:p w14:paraId="4F22608A" w14:textId="77777777" w:rsidR="00BB5234" w:rsidRPr="00255D3D" w:rsidRDefault="00BB5234" w:rsidP="001E753E"/>
    <w:p w14:paraId="019BBBF6" w14:textId="0270F2F3" w:rsidR="00F236A5" w:rsidRDefault="00826D79" w:rsidP="00826D79">
      <w:pPr>
        <w:keepNext/>
        <w:jc w:val="center"/>
      </w:pPr>
      <w:r>
        <w:rPr>
          <w:noProof/>
        </w:rPr>
        <w:drawing>
          <wp:inline distT="0" distB="0" distL="0" distR="0" wp14:anchorId="42250129" wp14:editId="3D810FE8">
            <wp:extent cx="4399472" cy="4250808"/>
            <wp:effectExtent l="0" t="0" r="1270" b="0"/>
            <wp:docPr id="125828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280789" name="Picture 1258280789"/>
                    <pic:cNvPicPr/>
                  </pic:nvPicPr>
                  <pic:blipFill>
                    <a:blip r:embed="rId10">
                      <a:extLst>
                        <a:ext uri="{28A0092B-C50C-407E-A947-70E740481C1C}">
                          <a14:useLocalDpi xmlns:a14="http://schemas.microsoft.com/office/drawing/2010/main" val="0"/>
                        </a:ext>
                      </a:extLst>
                    </a:blip>
                    <a:stretch>
                      <a:fillRect/>
                    </a:stretch>
                  </pic:blipFill>
                  <pic:spPr>
                    <a:xfrm>
                      <a:off x="0" y="0"/>
                      <a:ext cx="4407551" cy="4258614"/>
                    </a:xfrm>
                    <a:prstGeom prst="rect">
                      <a:avLst/>
                    </a:prstGeom>
                  </pic:spPr>
                </pic:pic>
              </a:graphicData>
            </a:graphic>
          </wp:inline>
        </w:drawing>
      </w:r>
    </w:p>
    <w:p w14:paraId="4B9B8707" w14:textId="10B6CE4D" w:rsidR="009D28BA" w:rsidRDefault="00F236A5" w:rsidP="007D4610">
      <w:pPr>
        <w:pStyle w:val="Caption"/>
        <w:jc w:val="left"/>
      </w:pPr>
      <w:bookmarkStart w:id="2" w:name="_Ref236723240"/>
      <w:r>
        <w:t xml:space="preserve">Figure </w:t>
      </w:r>
      <w:fldSimple w:instr=" SEQ Figure \* ALPHABETIC ">
        <w:r w:rsidR="002A7EDF">
          <w:rPr>
            <w:noProof/>
          </w:rPr>
          <w:t>A</w:t>
        </w:r>
      </w:fldSimple>
      <w:bookmarkEnd w:id="2"/>
      <w:r>
        <w:t xml:space="preserve"> </w:t>
      </w:r>
      <w:r w:rsidR="005F09BE">
        <w:t>–</w:t>
      </w:r>
      <w:r>
        <w:t xml:space="preserve"> </w:t>
      </w:r>
      <w:r w:rsidR="005F09BE">
        <w:t>Stylised and aggregated system map of existing carbon capture options included in the UK TIMES model</w:t>
      </w:r>
      <w:r w:rsidR="009E307F">
        <w:t>. “Technolog</w:t>
      </w:r>
      <w:r w:rsidR="00D002FE">
        <w:t>y families</w:t>
      </w:r>
      <w:r w:rsidR="009E307F">
        <w:t xml:space="preserve">” (yellow) represent </w:t>
      </w:r>
      <w:r w:rsidR="000A01C7">
        <w:t xml:space="preserve">groups of </w:t>
      </w:r>
      <w:r w:rsidR="009E307F">
        <w:t>practice</w:t>
      </w:r>
      <w:r w:rsidR="000A01C7">
        <w:t>s</w:t>
      </w:r>
      <w:r w:rsidR="009E307F">
        <w:t xml:space="preserve"> or process</w:t>
      </w:r>
      <w:r w:rsidR="000A01C7">
        <w:t>es</w:t>
      </w:r>
      <w:r w:rsidR="009E307F">
        <w:t xml:space="preserve"> that actively </w:t>
      </w:r>
      <w:r w:rsidR="00D002FE">
        <w:t>capture or mitigate CO</w:t>
      </w:r>
      <w:r w:rsidR="00D002FE">
        <w:rPr>
          <w:vertAlign w:val="subscript"/>
        </w:rPr>
        <w:t>2</w:t>
      </w:r>
      <w:r w:rsidR="00D002FE">
        <w:t xml:space="preserve"> emissions</w:t>
      </w:r>
      <w:r w:rsidR="000A01C7">
        <w:t xml:space="preserve">. </w:t>
      </w:r>
      <w:r w:rsidR="007F24A3">
        <w:t>Land based options capture CO</w:t>
      </w:r>
      <w:r w:rsidR="007F24A3">
        <w:rPr>
          <w:vertAlign w:val="subscript"/>
        </w:rPr>
        <w:t>2</w:t>
      </w:r>
      <w:r w:rsidR="007F24A3">
        <w:t xml:space="preserve">, accruing </w:t>
      </w:r>
      <w:r w:rsidR="009E3E0B">
        <w:t>carbon to the land-sink, whereas technology</w:t>
      </w:r>
      <w:r w:rsidR="00C72D07">
        <w:t>-</w:t>
      </w:r>
      <w:r w:rsidR="009E3E0B">
        <w:t>based systems including CCS and engineered CDR transfer CO</w:t>
      </w:r>
      <w:r w:rsidR="009E3E0B">
        <w:rPr>
          <w:vertAlign w:val="subscript"/>
        </w:rPr>
        <w:t>2</w:t>
      </w:r>
      <w:r w:rsidR="009E3E0B">
        <w:t xml:space="preserve"> </w:t>
      </w:r>
      <w:r w:rsidR="00C72D07">
        <w:t xml:space="preserve">either to </w:t>
      </w:r>
      <w:r w:rsidR="009E3E0B">
        <w:t xml:space="preserve">durable storage </w:t>
      </w:r>
      <w:r w:rsidR="00C72D07">
        <w:t xml:space="preserve">on geological timescales, or to </w:t>
      </w:r>
      <w:r w:rsidR="000312DB">
        <w:t xml:space="preserve">possible uses in the fuel production supply chains of the UK TIMES model. Abbreviations above include: </w:t>
      </w:r>
      <w:r w:rsidR="00591574">
        <w:t xml:space="preserve">“AD” for anaerobic digestion, </w:t>
      </w:r>
      <w:r w:rsidR="000312DB">
        <w:t xml:space="preserve">“Agri” for agricultural, </w:t>
      </w:r>
      <w:r w:rsidR="00591574">
        <w:t>“BECCS” for bioenergy with carbon capture and storage</w:t>
      </w:r>
      <w:r w:rsidR="002F6A07">
        <w:t xml:space="preserve"> (denoted CCS)</w:t>
      </w:r>
      <w:r w:rsidR="00591574">
        <w:t xml:space="preserve">, </w:t>
      </w:r>
      <w:r w:rsidR="000312DB">
        <w:t xml:space="preserve">“DAC” for Direct Air Capture”, </w:t>
      </w:r>
      <w:r w:rsidR="00B36D35">
        <w:t>“Ferm” for fermentation.</w:t>
      </w:r>
    </w:p>
    <w:p w14:paraId="182392F9" w14:textId="046C6B00" w:rsidR="0050380B" w:rsidRDefault="0050380B">
      <w:pPr>
        <w:spacing w:line="259" w:lineRule="auto"/>
        <w:jc w:val="left"/>
        <w:rPr>
          <w:lang w:eastAsia="ja-JP"/>
        </w:rPr>
      </w:pPr>
      <w:r>
        <w:rPr>
          <w:lang w:eastAsia="ja-JP"/>
        </w:rPr>
        <w:br w:type="page"/>
      </w:r>
    </w:p>
    <w:p w14:paraId="4E519AF1" w14:textId="77777777" w:rsidR="007D4610" w:rsidRPr="007D4610" w:rsidRDefault="007D4610" w:rsidP="007D4610">
      <w:pPr>
        <w:rPr>
          <w:lang w:eastAsia="ja-JP"/>
        </w:rPr>
      </w:pPr>
    </w:p>
    <w:p w14:paraId="2F65FF7C" w14:textId="2E3D3C7C" w:rsidR="00DB7BCF" w:rsidRDefault="00DB7BCF" w:rsidP="00DB7BCF">
      <w:pPr>
        <w:pStyle w:val="Heading2"/>
        <w:numPr>
          <w:ilvl w:val="0"/>
          <w:numId w:val="2"/>
        </w:numPr>
      </w:pPr>
      <w:bookmarkStart w:id="3" w:name="_Toc236808837"/>
      <w:r>
        <w:t xml:space="preserve">Sectoral </w:t>
      </w:r>
      <w:r w:rsidR="00C339A2">
        <w:t>electricity and hydrogen use</w:t>
      </w:r>
      <w:bookmarkEnd w:id="3"/>
    </w:p>
    <w:p w14:paraId="634C6285" w14:textId="0E80598E" w:rsidR="0050380B" w:rsidRDefault="00DD61CC" w:rsidP="00AC34B0">
      <w:r>
        <w:t xml:space="preserve">Overall </w:t>
      </w:r>
      <w:r w:rsidR="00C339A2">
        <w:t xml:space="preserve">consumption of electricity and hydrogen </w:t>
      </w:r>
      <w:r w:rsidR="00AC34B0">
        <w:t>across the energy system are</w:t>
      </w:r>
      <w:r w:rsidR="00806F22">
        <w:t xml:space="preserve"> shown below </w:t>
      </w:r>
      <w:r w:rsidR="00D47641">
        <w:t xml:space="preserve">in </w:t>
      </w:r>
      <w:r w:rsidR="00806F22">
        <w:fldChar w:fldCharType="begin"/>
      </w:r>
      <w:r w:rsidR="00806F22">
        <w:instrText xml:space="preserve"> REF _Ref236729972 \h </w:instrText>
      </w:r>
      <w:r w:rsidR="00806F22">
        <w:fldChar w:fldCharType="separate"/>
      </w:r>
      <w:r w:rsidR="00806F22" w:rsidRPr="004C1462">
        <w:t xml:space="preserve">Figure </w:t>
      </w:r>
      <w:r w:rsidR="00806F22">
        <w:rPr>
          <w:noProof/>
        </w:rPr>
        <w:t>B</w:t>
      </w:r>
      <w:r w:rsidR="00806F22">
        <w:fldChar w:fldCharType="end"/>
      </w:r>
      <w:r w:rsidR="00806F22">
        <w:t xml:space="preserve">. </w:t>
      </w:r>
      <w:r w:rsidR="00AC34B0">
        <w:t xml:space="preserve">We choose to focus </w:t>
      </w:r>
      <w:r w:rsidR="002970F7">
        <w:t>on these energy vectors as they represent the two most important means of fuel switching</w:t>
      </w:r>
      <w:r w:rsidR="0050380B">
        <w:t>,</w:t>
      </w:r>
      <w:r w:rsidR="002970F7">
        <w:t xml:space="preserve"> </w:t>
      </w:r>
      <w:r w:rsidR="006D41CF">
        <w:t xml:space="preserve">reducing </w:t>
      </w:r>
      <w:r w:rsidR="002970F7">
        <w:t>sector</w:t>
      </w:r>
      <w:r w:rsidR="006D41CF">
        <w:t xml:space="preserve">al </w:t>
      </w:r>
      <w:r w:rsidR="002970F7">
        <w:t>emissions</w:t>
      </w:r>
      <w:r w:rsidR="006D41CF">
        <w:t xml:space="preserve"> at point of use and centralising efforts to decarbonise </w:t>
      </w:r>
      <w:r w:rsidR="00894DFD">
        <w:t xml:space="preserve">the system </w:t>
      </w:r>
      <w:r w:rsidR="00065E3E">
        <w:t xml:space="preserve">through changes to the power or hydrogen sectors. Panel a </w:t>
      </w:r>
      <w:r w:rsidR="00B65C57">
        <w:t xml:space="preserve">shows </w:t>
      </w:r>
      <w:r w:rsidR="005C3B13">
        <w:t xml:space="preserve">that </w:t>
      </w:r>
      <w:r w:rsidR="00B65C57">
        <w:t xml:space="preserve">electrification </w:t>
      </w:r>
      <w:r w:rsidR="00577A22">
        <w:t xml:space="preserve">of buildings in the residential and service sectors as well as </w:t>
      </w:r>
      <w:r w:rsidR="00754E62">
        <w:t xml:space="preserve">electricity use across industry are resilient choices across baseline and all GNZ scenarios. </w:t>
      </w:r>
    </w:p>
    <w:p w14:paraId="56633C66" w14:textId="7E86EE32" w:rsidR="00CC3236" w:rsidRDefault="0050380B" w:rsidP="00AC34B0">
      <w:r>
        <w:t xml:space="preserve">Applying </w:t>
      </w:r>
      <w:r w:rsidR="009444B2">
        <w:t>G</w:t>
      </w:r>
      <w:r>
        <w:t>NZ approach</w:t>
      </w:r>
      <w:r w:rsidR="009444B2">
        <w:t xml:space="preserve">es of increasing levels </w:t>
      </w:r>
      <w:r w:rsidR="00FD0D9B">
        <w:t xml:space="preserve">of stringency </w:t>
      </w:r>
      <w:r w:rsidR="00CF0E56">
        <w:t>has key implications for combined electricity and hydrogen system choices</w:t>
      </w:r>
      <w:r w:rsidR="00CC3236">
        <w:t>. Baseline uses of hydrogen in transport and both residential and service buildings decrease significantly as GNZ stringency increases</w:t>
      </w:r>
      <w:r w:rsidR="00F326A8">
        <w:t>, replaced instead</w:t>
      </w:r>
      <w:r w:rsidR="003B785C">
        <w:t xml:space="preserve"> by</w:t>
      </w:r>
      <w:r w:rsidR="00F326A8">
        <w:t xml:space="preserve"> deeper electri</w:t>
      </w:r>
      <w:r w:rsidR="003B785C">
        <w:t>fication</w:t>
      </w:r>
      <w:r w:rsidR="00F326A8">
        <w:t xml:space="preserve"> </w:t>
      </w:r>
      <w:r w:rsidR="00FA6B36">
        <w:t>of heat and road transport</w:t>
      </w:r>
      <w:r w:rsidR="00F326A8">
        <w:t xml:space="preserve">. </w:t>
      </w:r>
      <w:r w:rsidR="00FA6B36">
        <w:t xml:space="preserve">While overall hydrogen volumes </w:t>
      </w:r>
      <w:r w:rsidR="007C1197">
        <w:t xml:space="preserve">decrease in GNZ </w:t>
      </w:r>
      <w:r w:rsidR="006C4E8E">
        <w:t xml:space="preserve">futures, </w:t>
      </w:r>
      <w:r w:rsidR="007C1197">
        <w:t>Cumulative approaches stand ou</w:t>
      </w:r>
      <w:r w:rsidR="006C4E8E">
        <w:t>t as using similar levels as seen in baseline futures (</w:t>
      </w:r>
      <w:r w:rsidR="00A7216F">
        <w:t>191 TWh against 215 TWh</w:t>
      </w:r>
      <w:r w:rsidR="006C4E8E">
        <w:t>)</w:t>
      </w:r>
      <w:r w:rsidR="00A7216F">
        <w:t xml:space="preserve">. </w:t>
      </w:r>
      <w:r w:rsidR="00371A58">
        <w:t>This suggests that hydrogen plays a strong transition role for hard to decarbonis</w:t>
      </w:r>
      <w:r w:rsidR="00F32406">
        <w:t>e</w:t>
      </w:r>
      <w:r w:rsidR="00371A58">
        <w:t xml:space="preserve"> sectors in the middle of the modelling period, where Strict and Progressive formulations </w:t>
      </w:r>
      <w:r w:rsidR="007859B3">
        <w:t xml:space="preserve">either forgo fossil emissions (relying on fail-safe removals) or take responsibility for smaller though annually incremental shares. </w:t>
      </w:r>
    </w:p>
    <w:p w14:paraId="5ACEAAC6" w14:textId="2C04589E" w:rsidR="005022A1" w:rsidRDefault="002D54CA" w:rsidP="00AC34B0">
      <w:r>
        <w:t xml:space="preserve">In all GNZ cases, the production of hydrogen is seen to shift away from </w:t>
      </w:r>
      <w:r w:rsidR="000B612B">
        <w:t>blue routes,</w:t>
      </w:r>
      <w:r w:rsidR="004C6048">
        <w:t xml:space="preserve"> dominant</w:t>
      </w:r>
      <w:r w:rsidR="000B612B">
        <w:t xml:space="preserve"> in the Baseline pathway, </w:t>
      </w:r>
      <w:r w:rsidR="004C6048">
        <w:t xml:space="preserve">towards </w:t>
      </w:r>
      <w:r w:rsidR="005022A1">
        <w:t>increase</w:t>
      </w:r>
      <w:r w:rsidR="004C6048">
        <w:t>d</w:t>
      </w:r>
      <w:r w:rsidR="005022A1">
        <w:t xml:space="preserve"> reliance on electrolysis</w:t>
      </w:r>
      <w:r w:rsidR="00B76934">
        <w:t xml:space="preserve">. As a result, green hydrogen </w:t>
      </w:r>
      <w:r w:rsidR="00AC21A1">
        <w:t xml:space="preserve">moves from representing 16% of production in 2050 (baseline) to </w:t>
      </w:r>
      <w:r w:rsidR="00593B56">
        <w:t xml:space="preserve">50-56% across GNZ alternatives. </w:t>
      </w:r>
    </w:p>
    <w:p w14:paraId="439662FA" w14:textId="141DE0A1" w:rsidR="00446475" w:rsidRDefault="006E61A3" w:rsidP="00AC34B0">
      <w:r>
        <w:t xml:space="preserve">Finally, panel a </w:t>
      </w:r>
      <w:r w:rsidR="001C2A65">
        <w:t>shows</w:t>
      </w:r>
      <w:r>
        <w:t xml:space="preserve"> the levels of electricity required by </w:t>
      </w:r>
      <w:r w:rsidR="00437B9B">
        <w:t>direct air carbon capture and storage (</w:t>
      </w:r>
      <w:r w:rsidR="00C93A15" w:rsidRPr="00C93A15">
        <w:t>DACC</w:t>
      </w:r>
      <w:r w:rsidR="00973790">
        <w:t>S</w:t>
      </w:r>
      <w:r w:rsidR="00437B9B">
        <w:t>)</w:t>
      </w:r>
      <w:r w:rsidR="00C93A15" w:rsidRPr="00C93A15">
        <w:t xml:space="preserve"> </w:t>
      </w:r>
      <w:r>
        <w:t xml:space="preserve">under Cumulative GNZ futures where it uses </w:t>
      </w:r>
      <w:r w:rsidR="00C93A15" w:rsidRPr="00C93A15">
        <w:t xml:space="preserve">64.2TWh electricity in 2050, 8% of </w:t>
      </w:r>
      <w:r w:rsidR="001C2A65">
        <w:t xml:space="preserve">all </w:t>
      </w:r>
      <w:r w:rsidR="00C93A15" w:rsidRPr="00C93A15">
        <w:t>electricity consum</w:t>
      </w:r>
      <w:r w:rsidR="001C2A65">
        <w:t>ption.</w:t>
      </w:r>
    </w:p>
    <w:p w14:paraId="4BDA978E" w14:textId="4EBAC532" w:rsidR="001C2A65" w:rsidRDefault="001C2A65">
      <w:pPr>
        <w:spacing w:line="259" w:lineRule="auto"/>
        <w:jc w:val="lef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
        <w:gridCol w:w="8679"/>
      </w:tblGrid>
      <w:tr w:rsidR="00DB7BCF" w14:paraId="563641CA" w14:textId="77777777" w:rsidTr="00446475">
        <w:tc>
          <w:tcPr>
            <w:tcW w:w="347" w:type="dxa"/>
          </w:tcPr>
          <w:p w14:paraId="62E49E8D" w14:textId="080CE759" w:rsidR="00DB7BCF" w:rsidRDefault="00FF1A77" w:rsidP="007A145E">
            <w:pPr>
              <w:jc w:val="center"/>
              <w:rPr>
                <w:noProof/>
              </w:rPr>
            </w:pPr>
            <w:r>
              <w:rPr>
                <w:noProof/>
              </w:rPr>
              <w:lastRenderedPageBreak/>
              <w:t>a</w:t>
            </w:r>
          </w:p>
        </w:tc>
        <w:tc>
          <w:tcPr>
            <w:tcW w:w="8679" w:type="dxa"/>
            <w:vAlign w:val="center"/>
          </w:tcPr>
          <w:p w14:paraId="77A37E6E" w14:textId="77777777" w:rsidR="00DB7BCF" w:rsidRDefault="00DB7BCF" w:rsidP="007A145E">
            <w:pPr>
              <w:jc w:val="center"/>
              <w:rPr>
                <w:noProof/>
              </w:rPr>
            </w:pPr>
          </w:p>
        </w:tc>
      </w:tr>
      <w:tr w:rsidR="00DB7BCF" w14:paraId="359A9957" w14:textId="77777777" w:rsidTr="00446475">
        <w:tc>
          <w:tcPr>
            <w:tcW w:w="347" w:type="dxa"/>
          </w:tcPr>
          <w:p w14:paraId="7A86B7B9" w14:textId="77777777" w:rsidR="00DB7BCF" w:rsidRDefault="00DB7BCF" w:rsidP="007A145E">
            <w:pPr>
              <w:jc w:val="center"/>
              <w:rPr>
                <w:noProof/>
              </w:rPr>
            </w:pPr>
          </w:p>
        </w:tc>
        <w:tc>
          <w:tcPr>
            <w:tcW w:w="8679" w:type="dxa"/>
            <w:vAlign w:val="center"/>
          </w:tcPr>
          <w:p w14:paraId="1D433024" w14:textId="73168625" w:rsidR="00DB7BCF" w:rsidRDefault="00D11205" w:rsidP="007A145E">
            <w:pPr>
              <w:jc w:val="center"/>
            </w:pPr>
            <w:r>
              <w:rPr>
                <w:noProof/>
              </w:rPr>
              <w:drawing>
                <wp:inline distT="0" distB="0" distL="0" distR="0" wp14:anchorId="3D43D6C6" wp14:editId="1050493E">
                  <wp:extent cx="5414010" cy="2529840"/>
                  <wp:effectExtent l="0" t="0" r="0" b="3810"/>
                  <wp:docPr id="3193068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4010" cy="2529840"/>
                          </a:xfrm>
                          <a:prstGeom prst="rect">
                            <a:avLst/>
                          </a:prstGeom>
                          <a:noFill/>
                        </pic:spPr>
                      </pic:pic>
                    </a:graphicData>
                  </a:graphic>
                </wp:inline>
              </w:drawing>
            </w:r>
          </w:p>
        </w:tc>
      </w:tr>
      <w:tr w:rsidR="00DB7BCF" w14:paraId="34B103CB" w14:textId="77777777" w:rsidTr="00446475">
        <w:tc>
          <w:tcPr>
            <w:tcW w:w="347" w:type="dxa"/>
          </w:tcPr>
          <w:p w14:paraId="06F9644B" w14:textId="77777777" w:rsidR="00DB7BCF" w:rsidRDefault="00DB7BCF" w:rsidP="007A145E">
            <w:pPr>
              <w:jc w:val="center"/>
              <w:rPr>
                <w:noProof/>
              </w:rPr>
            </w:pPr>
            <w:r>
              <w:rPr>
                <w:noProof/>
              </w:rPr>
              <w:t>b</w:t>
            </w:r>
          </w:p>
        </w:tc>
        <w:tc>
          <w:tcPr>
            <w:tcW w:w="8679" w:type="dxa"/>
            <w:vAlign w:val="center"/>
          </w:tcPr>
          <w:p w14:paraId="288941E0" w14:textId="77777777" w:rsidR="00DB7BCF" w:rsidRDefault="00DB7BCF" w:rsidP="007A145E">
            <w:pPr>
              <w:jc w:val="center"/>
              <w:rPr>
                <w:noProof/>
              </w:rPr>
            </w:pPr>
          </w:p>
        </w:tc>
      </w:tr>
      <w:tr w:rsidR="00DB7BCF" w14:paraId="42CBE0B6" w14:textId="77777777" w:rsidTr="00446475">
        <w:tc>
          <w:tcPr>
            <w:tcW w:w="347" w:type="dxa"/>
          </w:tcPr>
          <w:p w14:paraId="05EB5F49" w14:textId="77777777" w:rsidR="00DB7BCF" w:rsidRDefault="00DB7BCF" w:rsidP="007A145E">
            <w:pPr>
              <w:jc w:val="center"/>
              <w:rPr>
                <w:noProof/>
              </w:rPr>
            </w:pPr>
          </w:p>
        </w:tc>
        <w:tc>
          <w:tcPr>
            <w:tcW w:w="8679" w:type="dxa"/>
            <w:vAlign w:val="center"/>
          </w:tcPr>
          <w:p w14:paraId="31B33382" w14:textId="2C5B3A23" w:rsidR="00DB7BCF" w:rsidRDefault="0015185B" w:rsidP="007A145E">
            <w:pPr>
              <w:jc w:val="center"/>
            </w:pPr>
            <w:r>
              <w:rPr>
                <w:noProof/>
              </w:rPr>
              <w:drawing>
                <wp:inline distT="0" distB="0" distL="0" distR="0" wp14:anchorId="652A5908" wp14:editId="4C5F9159">
                  <wp:extent cx="5414010" cy="2529840"/>
                  <wp:effectExtent l="0" t="0" r="0" b="3810"/>
                  <wp:docPr id="6387575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4010" cy="2529840"/>
                          </a:xfrm>
                          <a:prstGeom prst="rect">
                            <a:avLst/>
                          </a:prstGeom>
                          <a:noFill/>
                        </pic:spPr>
                      </pic:pic>
                    </a:graphicData>
                  </a:graphic>
                </wp:inline>
              </w:drawing>
            </w:r>
          </w:p>
        </w:tc>
      </w:tr>
      <w:tr w:rsidR="00DB7BCF" w14:paraId="62943C80" w14:textId="77777777" w:rsidTr="00446475">
        <w:tc>
          <w:tcPr>
            <w:tcW w:w="347" w:type="dxa"/>
          </w:tcPr>
          <w:p w14:paraId="227881D5" w14:textId="77777777" w:rsidR="00DB7BCF" w:rsidRDefault="00DB7BCF" w:rsidP="007A145E">
            <w:pPr>
              <w:jc w:val="center"/>
              <w:rPr>
                <w:noProof/>
              </w:rPr>
            </w:pPr>
          </w:p>
        </w:tc>
        <w:tc>
          <w:tcPr>
            <w:tcW w:w="8679" w:type="dxa"/>
            <w:vAlign w:val="center"/>
          </w:tcPr>
          <w:p w14:paraId="2AB1D48B" w14:textId="77777777" w:rsidR="000E1556" w:rsidRPr="000E1556" w:rsidRDefault="000E1556" w:rsidP="007A145E">
            <w:pPr>
              <w:keepNext/>
              <w:jc w:val="center"/>
              <w:rPr>
                <w:sz w:val="8"/>
                <w:szCs w:val="8"/>
              </w:rPr>
            </w:pPr>
          </w:p>
          <w:p w14:paraId="1D152E02" w14:textId="5092CC3B" w:rsidR="00DB7BCF" w:rsidRDefault="00DB7BCF" w:rsidP="007A145E">
            <w:pPr>
              <w:keepNext/>
              <w:jc w:val="center"/>
            </w:pPr>
            <w:r>
              <w:rPr>
                <w:noProof/>
              </w:rPr>
              <w:drawing>
                <wp:inline distT="0" distB="0" distL="0" distR="0" wp14:anchorId="440A3966" wp14:editId="5748DDF6">
                  <wp:extent cx="3769566" cy="180000"/>
                  <wp:effectExtent l="0" t="0" r="2540" b="0"/>
                  <wp:docPr id="429515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15156" name=""/>
                          <pic:cNvPicPr/>
                        </pic:nvPicPr>
                        <pic:blipFill>
                          <a:blip r:embed="rId13"/>
                          <a:stretch>
                            <a:fillRect/>
                          </a:stretch>
                        </pic:blipFill>
                        <pic:spPr>
                          <a:xfrm>
                            <a:off x="0" y="0"/>
                            <a:ext cx="3769566" cy="180000"/>
                          </a:xfrm>
                          <a:prstGeom prst="rect">
                            <a:avLst/>
                          </a:prstGeom>
                        </pic:spPr>
                      </pic:pic>
                    </a:graphicData>
                  </a:graphic>
                </wp:inline>
              </w:drawing>
            </w:r>
          </w:p>
          <w:p w14:paraId="04198872" w14:textId="77777777" w:rsidR="000E1556" w:rsidRPr="000E1556" w:rsidRDefault="000E1556" w:rsidP="007A145E">
            <w:pPr>
              <w:keepNext/>
              <w:jc w:val="center"/>
              <w:rPr>
                <w:sz w:val="8"/>
                <w:szCs w:val="8"/>
              </w:rPr>
            </w:pPr>
          </w:p>
        </w:tc>
      </w:tr>
    </w:tbl>
    <w:p w14:paraId="6BE1F874" w14:textId="6D60D393" w:rsidR="00DB7BCF" w:rsidRPr="004C1462" w:rsidRDefault="00DB7BCF" w:rsidP="00DB7BCF">
      <w:pPr>
        <w:pStyle w:val="Caption"/>
      </w:pPr>
      <w:bookmarkStart w:id="4" w:name="_Ref236729972"/>
      <w:r w:rsidRPr="004C1462">
        <w:t xml:space="preserve">Figure </w:t>
      </w:r>
      <w:r>
        <w:fldChar w:fldCharType="begin"/>
      </w:r>
      <w:r w:rsidRPr="004C1462">
        <w:instrText xml:space="preserve"> SEQ Figure \* ALPHABETIC </w:instrText>
      </w:r>
      <w:r>
        <w:fldChar w:fldCharType="separate"/>
      </w:r>
      <w:r w:rsidR="002A7EDF">
        <w:rPr>
          <w:noProof/>
        </w:rPr>
        <w:t>B</w:t>
      </w:r>
      <w:r>
        <w:fldChar w:fldCharType="end"/>
      </w:r>
      <w:bookmarkEnd w:id="4"/>
      <w:r w:rsidRPr="004C1462">
        <w:t xml:space="preserve"> –</w:t>
      </w:r>
      <w:r w:rsidR="00D90CB1">
        <w:t xml:space="preserve"> Consumption of electricity (a) and hydrogen (b) per sector for </w:t>
      </w:r>
      <w:r w:rsidR="000460A9">
        <w:t xml:space="preserve">Baseline and all GNZ scenarios. Data represent 2050 consumption in TWh, highlighting the changes between </w:t>
      </w:r>
      <w:r w:rsidR="008249A3">
        <w:t>the Baseline and the different GNZ formulations.</w:t>
      </w:r>
      <w:r w:rsidR="00990A11">
        <w:t xml:space="preserve"> Sector choice is stylised to support an understanding of where the commodities are being used</w:t>
      </w:r>
      <w:r w:rsidR="00C24710">
        <w:t xml:space="preserve">. </w:t>
      </w:r>
      <w:r w:rsidR="00E66FF9">
        <w:t xml:space="preserve">Agriculture, </w:t>
      </w:r>
      <w:r w:rsidR="00C24710">
        <w:t>Industry, Residential, Services</w:t>
      </w:r>
      <w:r w:rsidR="00E66FF9">
        <w:t xml:space="preserve"> and</w:t>
      </w:r>
      <w:r w:rsidR="00C24710">
        <w:t xml:space="preserve"> Transport</w:t>
      </w:r>
      <w:r w:rsidR="00E66FF9">
        <w:t xml:space="preserve"> are end-use sectors;</w:t>
      </w:r>
      <w:r w:rsidR="002046D8">
        <w:t xml:space="preserve"> all other</w:t>
      </w:r>
      <w:r w:rsidR="00990C74">
        <w:t>s</w:t>
      </w:r>
      <w:r w:rsidR="002046D8">
        <w:t xml:space="preserve"> are intermediate sectors. Note that Ammonia and Hydrogen </w:t>
      </w:r>
      <w:r w:rsidR="00783A00">
        <w:t>(</w:t>
      </w:r>
      <w:r w:rsidR="002046D8">
        <w:t>in (a)</w:t>
      </w:r>
      <w:r w:rsidR="00783A00">
        <w:t>)</w:t>
      </w:r>
      <w:r w:rsidR="002046D8">
        <w:t xml:space="preserve"> should be understood as “</w:t>
      </w:r>
      <w:r w:rsidR="007E2BB9">
        <w:t>production of […]”, and Pumped Hydro and DACC (</w:t>
      </w:r>
      <w:r w:rsidR="00783A00">
        <w:t xml:space="preserve">in (a) and (b)) should be understood as “input to […]”. </w:t>
      </w:r>
    </w:p>
    <w:p w14:paraId="570560F1" w14:textId="77777777" w:rsidR="00DB7BCF" w:rsidRPr="004C1462" w:rsidRDefault="00DB7BCF" w:rsidP="00DB7BCF"/>
    <w:p w14:paraId="0464DF7C" w14:textId="77777777" w:rsidR="00DB7BCF" w:rsidRPr="004C1462" w:rsidRDefault="00DB7BCF" w:rsidP="00DB7BCF"/>
    <w:p w14:paraId="2CDE5B09" w14:textId="77777777" w:rsidR="00DB7BCF" w:rsidRPr="004C1462" w:rsidRDefault="00DB7BCF" w:rsidP="00DB7BCF"/>
    <w:p w14:paraId="69572A94" w14:textId="77777777" w:rsidR="00DB7BCF" w:rsidRPr="004C1462" w:rsidRDefault="00DB7BCF" w:rsidP="00DB7BCF">
      <w:r w:rsidRPr="004C1462">
        <w:br w:type="page"/>
      </w:r>
    </w:p>
    <w:p w14:paraId="45DF2B99" w14:textId="1F2B3D9E" w:rsidR="006318EF" w:rsidRDefault="00D31CBB" w:rsidP="006318EF">
      <w:pPr>
        <w:pStyle w:val="Heading2"/>
        <w:numPr>
          <w:ilvl w:val="0"/>
          <w:numId w:val="2"/>
        </w:numPr>
      </w:pPr>
      <w:bookmarkStart w:id="5" w:name="_Toc236808838"/>
      <w:r>
        <w:lastRenderedPageBreak/>
        <w:t>Direct air capture</w:t>
      </w:r>
      <w:r w:rsidR="00493190">
        <w:t xml:space="preserve"> and fossil CCS</w:t>
      </w:r>
      <w:bookmarkEnd w:id="5"/>
    </w:p>
    <w:p w14:paraId="1D98624D" w14:textId="66B3EC7A" w:rsidR="006318EF" w:rsidRDefault="00A0238A" w:rsidP="006C58BC">
      <w:r>
        <w:t xml:space="preserve">Levels of carbon capture through </w:t>
      </w:r>
      <w:r w:rsidR="006C58BC">
        <w:t xml:space="preserve">both </w:t>
      </w:r>
      <w:r w:rsidR="001329E5">
        <w:t>DACC</w:t>
      </w:r>
      <w:r w:rsidR="00461A2C">
        <w:t>S</w:t>
      </w:r>
      <w:r w:rsidR="006C58BC">
        <w:t xml:space="preserve"> and fossil CCS (mitigation) across scenarios are shown below in </w:t>
      </w:r>
      <w:r w:rsidR="006C58BC">
        <w:fldChar w:fldCharType="begin"/>
      </w:r>
      <w:r w:rsidR="006C58BC">
        <w:instrText xml:space="preserve"> REF _Ref236732410 \h </w:instrText>
      </w:r>
      <w:r w:rsidR="006C58BC">
        <w:fldChar w:fldCharType="separate"/>
      </w:r>
      <w:r w:rsidR="006C58BC" w:rsidRPr="00605858">
        <w:t xml:space="preserve">Figure </w:t>
      </w:r>
      <w:r w:rsidR="006C58BC">
        <w:rPr>
          <w:noProof/>
        </w:rPr>
        <w:t>C</w:t>
      </w:r>
      <w:r w:rsidR="006C58BC">
        <w:fldChar w:fldCharType="end"/>
      </w:r>
      <w:r w:rsidR="006C58BC">
        <w:t xml:space="preserve">. </w:t>
      </w:r>
      <w:r w:rsidR="00B36C51">
        <w:t>In line with current levels of development and demonstration in the</w:t>
      </w:r>
      <w:r w:rsidR="005B3F9B">
        <w:t xml:space="preserve"> UK</w:t>
      </w:r>
      <w:r w:rsidR="009447F2">
        <w:t xml:space="preserve"> and globally</w:t>
      </w:r>
      <w:r w:rsidR="00C71771">
        <w:t xml:space="preserve">, these technologies are first </w:t>
      </w:r>
      <w:r w:rsidR="009447F2">
        <w:t xml:space="preserve">made </w:t>
      </w:r>
      <w:r w:rsidR="00C71771">
        <w:t xml:space="preserve">available to the model from 2030. </w:t>
      </w:r>
      <w:r w:rsidR="002C20CB">
        <w:t xml:space="preserve">Comparing panels a and b across scenarios highlights </w:t>
      </w:r>
      <w:r w:rsidR="007B4D56">
        <w:t xml:space="preserve">a </w:t>
      </w:r>
      <w:r w:rsidR="00E66A52">
        <w:t xml:space="preserve">shift away from </w:t>
      </w:r>
      <w:r w:rsidR="007B4D56">
        <w:t xml:space="preserve">mitigation options </w:t>
      </w:r>
      <w:r w:rsidR="00461A2C">
        <w:t xml:space="preserve">mirrored by an increase in </w:t>
      </w:r>
      <w:r w:rsidR="00E66A52">
        <w:t xml:space="preserve">DACCS </w:t>
      </w:r>
      <w:r w:rsidR="00461A2C">
        <w:t xml:space="preserve">use </w:t>
      </w:r>
      <w:r w:rsidR="007B4D56">
        <w:t xml:space="preserve">under GNZ scenarios compared to the baseline. </w:t>
      </w:r>
      <w:r w:rsidR="005230E4">
        <w:t xml:space="preserve">This </w:t>
      </w:r>
      <w:r w:rsidR="00461A2C">
        <w:t>shift</w:t>
      </w:r>
      <w:r w:rsidR="005230E4">
        <w:t xml:space="preserve"> is resilient to sensitivity runs for most cases, with the exception of </w:t>
      </w:r>
      <w:r w:rsidR="00392520">
        <w:t xml:space="preserve">s2 which sees Cumulative formulations maintain their use of </w:t>
      </w:r>
      <w:r w:rsidR="00721D9E">
        <w:t xml:space="preserve">DACCS </w:t>
      </w:r>
      <w:r w:rsidR="00392520">
        <w:t xml:space="preserve">and seek to match </w:t>
      </w:r>
      <w:r w:rsidR="00721D9E">
        <w:t>it</w:t>
      </w:r>
      <w:r w:rsidR="00392520">
        <w:t xml:space="preserve"> with mitigation, </w:t>
      </w:r>
      <w:r w:rsidR="00DF701F">
        <w:t>and progressive formulations favour larger volumes of mitigation earlier in the modelling period.</w:t>
      </w:r>
    </w:p>
    <w:p w14:paraId="0D08E230" w14:textId="77777777" w:rsidR="001B3408" w:rsidRDefault="00527C52" w:rsidP="006C58BC">
      <w:r>
        <w:t xml:space="preserve">Panel a </w:t>
      </w:r>
      <w:r w:rsidR="00A54923">
        <w:t xml:space="preserve">highlights the strong impact that GNZ conditions have on required levels of </w:t>
      </w:r>
      <w:r w:rsidR="009032D0">
        <w:t>DACCS</w:t>
      </w:r>
      <w:r w:rsidR="00F4315B">
        <w:t>. All GNZ scenarios close to double baseline needs</w:t>
      </w:r>
      <w:r w:rsidR="009032D0">
        <w:t xml:space="preserve"> by 2050, </w:t>
      </w:r>
      <w:r w:rsidR="00F42B92">
        <w:t xml:space="preserve">sharing a common trajectory to </w:t>
      </w:r>
      <w:r w:rsidR="00F13D50">
        <w:t>10-</w:t>
      </w:r>
      <w:r w:rsidR="00DA1065">
        <w:t>14 MtCO</w:t>
      </w:r>
      <w:r w:rsidR="00DA1065">
        <w:rPr>
          <w:vertAlign w:val="subscript"/>
        </w:rPr>
        <w:t>2</w:t>
      </w:r>
      <w:r w:rsidR="00DA1065">
        <w:t>y</w:t>
      </w:r>
      <w:r w:rsidR="00DA1065">
        <w:rPr>
          <w:vertAlign w:val="superscript"/>
        </w:rPr>
        <w:t>-1</w:t>
      </w:r>
      <w:r w:rsidR="00DA1065">
        <w:t xml:space="preserve"> </w:t>
      </w:r>
      <w:r w:rsidR="00E87762">
        <w:t xml:space="preserve">in 2040 before cumulative futures show a markedly stronger growth </w:t>
      </w:r>
      <w:r w:rsidR="00E956DC">
        <w:t>to reach 84 MtCO</w:t>
      </w:r>
      <w:r w:rsidR="00E956DC">
        <w:rPr>
          <w:vertAlign w:val="subscript"/>
        </w:rPr>
        <w:t>2</w:t>
      </w:r>
      <w:r w:rsidR="00E956DC">
        <w:t>y</w:t>
      </w:r>
      <w:r w:rsidR="00E956DC">
        <w:rPr>
          <w:vertAlign w:val="superscript"/>
        </w:rPr>
        <w:t>-1</w:t>
      </w:r>
      <w:r w:rsidR="00E956DC">
        <w:t xml:space="preserve"> in 2050. </w:t>
      </w:r>
    </w:p>
    <w:p w14:paraId="4F855B32" w14:textId="2027847D" w:rsidR="00DF701F" w:rsidRPr="00E956DC" w:rsidRDefault="007D621F" w:rsidP="006C58BC">
      <w:r>
        <w:t>Under s1 and s2, the</w:t>
      </w:r>
      <w:r w:rsidR="009851F4">
        <w:t xml:space="preserve"> low</w:t>
      </w:r>
      <w:r>
        <w:t xml:space="preserve"> availability of biomass or absence of BECCS from the GNZ consistently favour higher levels of DACCS</w:t>
      </w:r>
      <w:r w:rsidR="003C5589">
        <w:t xml:space="preserve"> alongside higher levels of mitigation</w:t>
      </w:r>
      <w:r w:rsidR="00C50258">
        <w:t>. U</w:t>
      </w:r>
      <w:r w:rsidR="00631A08">
        <w:t>nder s3</w:t>
      </w:r>
      <w:r w:rsidR="00C50258">
        <w:t xml:space="preserve">, </w:t>
      </w:r>
      <w:r w:rsidR="003C5589">
        <w:t>the lower availability of TnS means trading off available offtake</w:t>
      </w:r>
      <w:r w:rsidR="00FC4870">
        <w:t xml:space="preserve"> between its different uses</w:t>
      </w:r>
      <w:r w:rsidR="00A54EDD">
        <w:t xml:space="preserve"> and highlights a preference for DACCs over fossil CCS with 2050 </w:t>
      </w:r>
      <w:r w:rsidR="00DC00C7">
        <w:t>(dotted coloured lines above (a) and below (b) reference solid lines)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246"/>
        <w:gridCol w:w="4267"/>
        <w:gridCol w:w="246"/>
        <w:gridCol w:w="4267"/>
      </w:tblGrid>
      <w:tr w:rsidR="00AD6591" w14:paraId="2C728A98" w14:textId="77777777" w:rsidTr="00AD6591">
        <w:tc>
          <w:tcPr>
            <w:tcW w:w="238" w:type="dxa"/>
          </w:tcPr>
          <w:p w14:paraId="5EA38B08" w14:textId="2AFCE123" w:rsidR="00AD6591" w:rsidRDefault="00AD6591" w:rsidP="00D61887">
            <w:pPr>
              <w:rPr>
                <w:noProof/>
              </w:rPr>
            </w:pPr>
            <w:r>
              <w:rPr>
                <w:noProof/>
              </w:rPr>
              <w:t>a</w:t>
            </w:r>
          </w:p>
        </w:tc>
        <w:tc>
          <w:tcPr>
            <w:tcW w:w="4275" w:type="dxa"/>
          </w:tcPr>
          <w:p w14:paraId="51ECDB64" w14:textId="32F8F452" w:rsidR="00AD6591" w:rsidRDefault="00D11205" w:rsidP="00D61887">
            <w:r>
              <w:rPr>
                <w:noProof/>
              </w:rPr>
              <w:drawing>
                <wp:inline distT="0" distB="0" distL="0" distR="0" wp14:anchorId="4CEFC552" wp14:editId="45D28708">
                  <wp:extent cx="2520000" cy="2520000"/>
                  <wp:effectExtent l="0" t="0" r="0" b="0"/>
                  <wp:docPr id="56065795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inline>
              </w:drawing>
            </w:r>
          </w:p>
        </w:tc>
        <w:tc>
          <w:tcPr>
            <w:tcW w:w="238" w:type="dxa"/>
          </w:tcPr>
          <w:p w14:paraId="5B82A562" w14:textId="79DB8B91" w:rsidR="00AD6591" w:rsidRDefault="00AD6591" w:rsidP="00D61887">
            <w:pPr>
              <w:rPr>
                <w:noProof/>
              </w:rPr>
            </w:pPr>
            <w:r>
              <w:rPr>
                <w:noProof/>
              </w:rPr>
              <w:t>b</w:t>
            </w:r>
          </w:p>
        </w:tc>
        <w:tc>
          <w:tcPr>
            <w:tcW w:w="4275" w:type="dxa"/>
          </w:tcPr>
          <w:p w14:paraId="06A96ACA" w14:textId="50CE7F15" w:rsidR="00AD6591" w:rsidRDefault="00D11205" w:rsidP="00D61887">
            <w:r>
              <w:rPr>
                <w:noProof/>
              </w:rPr>
              <w:drawing>
                <wp:inline distT="0" distB="0" distL="0" distR="0" wp14:anchorId="7BC2E3BC" wp14:editId="7222A432">
                  <wp:extent cx="2520000" cy="2520000"/>
                  <wp:effectExtent l="0" t="0" r="0" b="0"/>
                  <wp:docPr id="1423054194"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inline>
              </w:drawing>
            </w:r>
          </w:p>
        </w:tc>
      </w:tr>
      <w:tr w:rsidR="00AD6591" w14:paraId="6C534C7A" w14:textId="77777777" w:rsidTr="00AD6591">
        <w:tc>
          <w:tcPr>
            <w:tcW w:w="238" w:type="dxa"/>
          </w:tcPr>
          <w:p w14:paraId="1974BB59" w14:textId="77777777" w:rsidR="00AD6591" w:rsidRPr="00B10225" w:rsidRDefault="00AD6591" w:rsidP="00D61887">
            <w:pPr>
              <w:jc w:val="center"/>
              <w:rPr>
                <w:sz w:val="8"/>
                <w:szCs w:val="8"/>
              </w:rPr>
            </w:pPr>
          </w:p>
        </w:tc>
        <w:tc>
          <w:tcPr>
            <w:tcW w:w="8788" w:type="dxa"/>
            <w:gridSpan w:val="3"/>
          </w:tcPr>
          <w:p w14:paraId="413BC06F" w14:textId="48FBFAC1" w:rsidR="00AD6591" w:rsidRPr="00B10225" w:rsidRDefault="00AD6591" w:rsidP="00D61887">
            <w:pPr>
              <w:jc w:val="center"/>
              <w:rPr>
                <w:sz w:val="8"/>
                <w:szCs w:val="8"/>
              </w:rPr>
            </w:pPr>
          </w:p>
          <w:p w14:paraId="2C524CA6" w14:textId="5D26FA00" w:rsidR="00AD6591" w:rsidRDefault="00AD6591" w:rsidP="00D61887">
            <w:pPr>
              <w:keepNext/>
              <w:jc w:val="center"/>
            </w:pPr>
            <w:r>
              <w:rPr>
                <w:noProof/>
              </w:rPr>
              <w:drawing>
                <wp:inline distT="0" distB="0" distL="0" distR="0" wp14:anchorId="117A75D5" wp14:editId="7AE1F28D">
                  <wp:extent cx="4155516" cy="429971"/>
                  <wp:effectExtent l="0" t="0" r="0" b="8255"/>
                  <wp:docPr id="1006863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96761" cy="444586"/>
                          </a:xfrm>
                          <a:prstGeom prst="rect">
                            <a:avLst/>
                          </a:prstGeom>
                          <a:noFill/>
                        </pic:spPr>
                      </pic:pic>
                    </a:graphicData>
                  </a:graphic>
                </wp:inline>
              </w:drawing>
            </w:r>
          </w:p>
        </w:tc>
      </w:tr>
    </w:tbl>
    <w:p w14:paraId="2228480A" w14:textId="346A74AB" w:rsidR="009D28BA" w:rsidRDefault="006318EF" w:rsidP="00AD6591">
      <w:pPr>
        <w:pStyle w:val="Caption"/>
      </w:pPr>
      <w:bookmarkStart w:id="6" w:name="_Ref236732410"/>
      <w:r w:rsidRPr="00605858">
        <w:t xml:space="preserve">Figure </w:t>
      </w:r>
      <w:r>
        <w:fldChar w:fldCharType="begin"/>
      </w:r>
      <w:r w:rsidRPr="00605858">
        <w:instrText xml:space="preserve"> SEQ Figure \* ALPHABETIC </w:instrText>
      </w:r>
      <w:r>
        <w:fldChar w:fldCharType="separate"/>
      </w:r>
      <w:r w:rsidR="002A7EDF">
        <w:rPr>
          <w:noProof/>
        </w:rPr>
        <w:t>C</w:t>
      </w:r>
      <w:r>
        <w:fldChar w:fldCharType="end"/>
      </w:r>
      <w:bookmarkEnd w:id="6"/>
      <w:r w:rsidRPr="00605858">
        <w:t xml:space="preserve"> </w:t>
      </w:r>
      <w:r w:rsidR="00041796">
        <w:t>–</w:t>
      </w:r>
      <w:r w:rsidR="00FB151D">
        <w:t xml:space="preserve"> Removals of CO</w:t>
      </w:r>
      <w:r w:rsidR="00FB151D">
        <w:rPr>
          <w:vertAlign w:val="subscript"/>
        </w:rPr>
        <w:t>2</w:t>
      </w:r>
      <w:r w:rsidR="00FB151D">
        <w:t xml:space="preserve"> to geological storage </w:t>
      </w:r>
      <w:r w:rsidR="006B3FA6">
        <w:t>from</w:t>
      </w:r>
      <w:r w:rsidR="00E04D96">
        <w:t xml:space="preserve"> Direct Air Capture and Storage (</w:t>
      </w:r>
      <w:r w:rsidR="006B3FA6">
        <w:t>a) and from fossil</w:t>
      </w:r>
      <w:r w:rsidR="005471B0">
        <w:t>-</w:t>
      </w:r>
      <w:r w:rsidR="006B3FA6">
        <w:t xml:space="preserve">based carbon capture and storage (mitigation) </w:t>
      </w:r>
      <w:r>
        <w:t xml:space="preserve">(b) </w:t>
      </w:r>
      <w:r w:rsidR="005471B0">
        <w:t>over time</w:t>
      </w:r>
      <w:r>
        <w:t xml:space="preserve"> </w:t>
      </w:r>
      <w:r w:rsidR="005471B0">
        <w:t xml:space="preserve">across four scenario families and their sensitivities. Baseline, Strict-GNZ, Progressive-GNZ, and Cumulative-GNZ represented in four different colours, black, </w:t>
      </w:r>
      <w:r w:rsidR="00073941">
        <w:t xml:space="preserve">red, purple, and green respectively. Scenario sensitivities included as different forms of dashed line retaining the parent scenario colour. </w:t>
      </w:r>
      <w:r w:rsidR="001778D9">
        <w:t xml:space="preserve">Sensitivity numbering refers to </w:t>
      </w:r>
      <w:r w:rsidR="00C00FB3">
        <w:t>limited international biomass availability (s1), removal of BECCS from the GNZ formulation (s2), and delays in TnS availability (s3)</w:t>
      </w:r>
    </w:p>
    <w:p w14:paraId="3E4F387C" w14:textId="1AE93D57" w:rsidR="001E6DD9" w:rsidRDefault="001E6DD9" w:rsidP="001E6DD9">
      <w:pPr>
        <w:pStyle w:val="Heading2"/>
        <w:numPr>
          <w:ilvl w:val="0"/>
          <w:numId w:val="2"/>
        </w:numPr>
      </w:pPr>
      <w:bookmarkStart w:id="7" w:name="_Toc236808839"/>
      <w:r>
        <w:lastRenderedPageBreak/>
        <w:t xml:space="preserve">Electricity </w:t>
      </w:r>
      <w:r w:rsidR="00E30AF7">
        <w:t xml:space="preserve">and hydrogen </w:t>
      </w:r>
      <w:r>
        <w:t>production</w:t>
      </w:r>
      <w:bookmarkEnd w:id="7"/>
    </w:p>
    <w:p w14:paraId="2E20B22F" w14:textId="77777777" w:rsidR="008E3FD9" w:rsidRDefault="00703586" w:rsidP="001E6DD9">
      <w:r>
        <w:t xml:space="preserve">Levels of electricity and hydrogen production </w:t>
      </w:r>
      <w:r w:rsidR="0011049D">
        <w:t xml:space="preserve">across scenarios are shown below in </w:t>
      </w:r>
      <w:r w:rsidR="0011049D">
        <w:fldChar w:fldCharType="begin"/>
      </w:r>
      <w:r w:rsidR="0011049D">
        <w:instrText xml:space="preserve"> REF _Ref236733985 \h </w:instrText>
      </w:r>
      <w:r w:rsidR="0011049D">
        <w:fldChar w:fldCharType="separate"/>
      </w:r>
      <w:r w:rsidR="0011049D">
        <w:t xml:space="preserve">Figure </w:t>
      </w:r>
      <w:r w:rsidR="0011049D">
        <w:rPr>
          <w:noProof/>
        </w:rPr>
        <w:t>D</w:t>
      </w:r>
      <w:r w:rsidR="0011049D">
        <w:fldChar w:fldCharType="end"/>
      </w:r>
      <w:r w:rsidR="0011049D">
        <w:t xml:space="preserve"> and </w:t>
      </w:r>
      <w:r w:rsidR="0011049D">
        <w:fldChar w:fldCharType="begin"/>
      </w:r>
      <w:r w:rsidR="0011049D">
        <w:instrText xml:space="preserve"> REF _Ref236733987 \h </w:instrText>
      </w:r>
      <w:r w:rsidR="0011049D">
        <w:fldChar w:fldCharType="separate"/>
      </w:r>
      <w:r w:rsidR="0011049D">
        <w:t xml:space="preserve">Figure </w:t>
      </w:r>
      <w:r w:rsidR="0011049D">
        <w:rPr>
          <w:noProof/>
        </w:rPr>
        <w:t>E</w:t>
      </w:r>
      <w:r w:rsidR="0011049D">
        <w:fldChar w:fldCharType="end"/>
      </w:r>
      <w:r w:rsidR="0011049D">
        <w:t xml:space="preserve"> respectively. </w:t>
      </w:r>
    </w:p>
    <w:p w14:paraId="530D6F24" w14:textId="5023ADDC" w:rsidR="00B1636D" w:rsidRDefault="008E3FD9" w:rsidP="001E6DD9">
      <w:r>
        <w:t>B</w:t>
      </w:r>
      <w:r w:rsidR="00BA5948">
        <w:t xml:space="preserve">aseline </w:t>
      </w:r>
      <w:r>
        <w:t xml:space="preserve">run </w:t>
      </w:r>
      <w:r w:rsidR="008E6755">
        <w:t>results</w:t>
      </w:r>
      <w:r>
        <w:t xml:space="preserve"> shown in “a” panels </w:t>
      </w:r>
      <w:r w:rsidR="008E6755">
        <w:t>are relatively robust to sensitivity runs</w:t>
      </w:r>
      <w:r w:rsidR="00635DFB">
        <w:t xml:space="preserve"> for both energy vectors</w:t>
      </w:r>
      <w:r w:rsidR="002B4122">
        <w:t>.</w:t>
      </w:r>
      <w:r w:rsidR="00635DFB">
        <w:t xml:space="preserve"> </w:t>
      </w:r>
      <w:r w:rsidR="002B4122">
        <w:t>E</w:t>
      </w:r>
      <w:r w:rsidR="00635DFB">
        <w:t xml:space="preserve">lectricity output </w:t>
      </w:r>
      <w:r w:rsidR="00727850">
        <w:t>increas</w:t>
      </w:r>
      <w:r w:rsidR="002B4122">
        <w:t>es</w:t>
      </w:r>
      <w:r w:rsidR="00727850">
        <w:t xml:space="preserve"> by </w:t>
      </w:r>
      <w:r w:rsidR="00C60DBB">
        <w:t xml:space="preserve">7% </w:t>
      </w:r>
      <w:r w:rsidR="00FC04D7">
        <w:t xml:space="preserve">under s3 between 2030 and 2040 compared to </w:t>
      </w:r>
      <w:r w:rsidR="002B4122">
        <w:t xml:space="preserve">the reference case, where hydrogen output </w:t>
      </w:r>
      <w:r w:rsidR="00C82D37">
        <w:t>remains within a +</w:t>
      </w:r>
      <w:r w:rsidR="004B727C">
        <w:t>13</w:t>
      </w:r>
      <w:r w:rsidR="00C82D37">
        <w:t>/-</w:t>
      </w:r>
      <w:r w:rsidR="00B1636D">
        <w:t xml:space="preserve">17 % range in 2050. </w:t>
      </w:r>
      <w:r w:rsidR="00545029">
        <w:t xml:space="preserve">Comparatively, the introduction of </w:t>
      </w:r>
      <w:r w:rsidR="008C3E4F">
        <w:t>GNZ</w:t>
      </w:r>
      <w:r w:rsidR="00545029">
        <w:t xml:space="preserve"> constraints </w:t>
      </w:r>
      <w:r w:rsidR="006735CA">
        <w:t>ha</w:t>
      </w:r>
      <w:r w:rsidR="009F4002">
        <w:t>s</w:t>
      </w:r>
      <w:r w:rsidR="006735CA">
        <w:t xml:space="preserve"> the potential to shift electricity generation by </w:t>
      </w:r>
      <w:r w:rsidR="00414473">
        <w:t xml:space="preserve">at least 10% and up to 27% in 2050 under strict / progressive and cumulative formulations respectively. </w:t>
      </w:r>
      <w:r w:rsidR="00C27952">
        <w:t xml:space="preserve">More importantly, GNZ cases introduce this shift early in the modelling period, seeing departures from baseline trends </w:t>
      </w:r>
      <w:r w:rsidR="00F2443C">
        <w:t>in 2030 and 2035</w:t>
      </w:r>
      <w:r w:rsidR="00ED4128">
        <w:t xml:space="preserve">, requiring </w:t>
      </w:r>
      <w:r w:rsidR="00AC1515">
        <w:t xml:space="preserve">up to 40% larger </w:t>
      </w:r>
      <w:r w:rsidR="00781D67">
        <w:t xml:space="preserve">annual </w:t>
      </w:r>
      <w:r w:rsidR="00AC1515">
        <w:t>electricity volumes</w:t>
      </w:r>
      <w:r w:rsidR="006C353A">
        <w:t xml:space="preserve">. As shown in Figure D panel c, </w:t>
      </w:r>
      <w:r w:rsidR="00350F92">
        <w:t xml:space="preserve">this increase is less demanding under a progressive implementation, giving the </w:t>
      </w:r>
      <w:r w:rsidR="00D4778C">
        <w:t xml:space="preserve">system time to ramp up systemic changes, including wider mitigation strategies, to support fossil emission balancing through durable storage. </w:t>
      </w:r>
    </w:p>
    <w:p w14:paraId="50903DD3" w14:textId="45676A4D" w:rsidR="00006C6C" w:rsidRDefault="00725936" w:rsidP="001E6DD9">
      <w:r>
        <w:t xml:space="preserve">Importantly, across both electricity and hydrogen futures, the introduction of sensitivities on the GNZ scenarios highlights their </w:t>
      </w:r>
      <w:r w:rsidR="005C61D0">
        <w:t>vulnerabilities to changes in national and global technology and feedstock supply chains. This is particularly true for panels c and d</w:t>
      </w:r>
      <w:r w:rsidR="005E2B2B">
        <w:t>. Under s</w:t>
      </w:r>
      <w:r w:rsidR="006E35C0">
        <w:t>3</w:t>
      </w:r>
      <w:r w:rsidR="005E2B2B">
        <w:t xml:space="preserve">, </w:t>
      </w:r>
      <w:r w:rsidR="00587E50">
        <w:t xml:space="preserve">delays in TnS infrastructure </w:t>
      </w:r>
      <w:r w:rsidR="00A23E6D">
        <w:t xml:space="preserve">cause </w:t>
      </w:r>
      <w:r w:rsidR="006E35C0">
        <w:t xml:space="preserve">electricity </w:t>
      </w:r>
      <w:r w:rsidR="00587E50">
        <w:t xml:space="preserve">demands </w:t>
      </w:r>
      <w:r w:rsidR="006E35C0">
        <w:t xml:space="preserve">in a progressive GNZ </w:t>
      </w:r>
      <w:r w:rsidR="00A23E6D">
        <w:t xml:space="preserve">to </w:t>
      </w:r>
      <w:r w:rsidR="0038227A">
        <w:t xml:space="preserve">depart from baseline </w:t>
      </w:r>
      <w:r w:rsidR="00A23E6D">
        <w:t xml:space="preserve">trends </w:t>
      </w:r>
      <w:r w:rsidR="00E1541E">
        <w:t>5 years earlier</w:t>
      </w:r>
      <w:r w:rsidR="00A23E6D">
        <w:t>,</w:t>
      </w:r>
      <w:r w:rsidR="00E1541E">
        <w:t xml:space="preserve"> </w:t>
      </w:r>
      <w:r w:rsidR="00006C6C">
        <w:t>requiring</w:t>
      </w:r>
      <w:r w:rsidR="00E1541E">
        <w:t xml:space="preserve"> </w:t>
      </w:r>
      <w:r w:rsidR="00006C6C">
        <w:t>30% more output in 2030</w:t>
      </w:r>
      <w:r w:rsidR="00A04BFA">
        <w:t xml:space="preserve">. </w:t>
      </w:r>
      <w:r w:rsidR="00A23E6D">
        <w:t xml:space="preserve">Similarly, </w:t>
      </w:r>
      <w:r w:rsidR="00B84A10">
        <w:t xml:space="preserve">s3 and s2 reduce the cumulative case’s ability to recover all fossil emissions from the modelling period into durable storage, </w:t>
      </w:r>
      <w:r w:rsidR="00237864">
        <w:t>forcing the system</w:t>
      </w:r>
      <w:r w:rsidR="002C5B47">
        <w:t xml:space="preserve"> to</w:t>
      </w:r>
      <w:r w:rsidR="00237864">
        <w:t xml:space="preserve"> seek deeper electrification </w:t>
      </w:r>
      <w:r w:rsidR="00530033">
        <w:t>where possible, but also significantly increase the production of green hydrogen. This is reflected in Figure D panel c with the corresponding increases in hydrogen output</w:t>
      </w:r>
      <w:r w:rsidR="00E81DB8">
        <w:t xml:space="preserve">, used to produce synthetic fuels to reduce residual emissions in the transportation sector. </w:t>
      </w:r>
    </w:p>
    <w:p w14:paraId="33227A1F" w14:textId="7D3E0D46" w:rsidR="00725936" w:rsidRPr="003B7428" w:rsidRDefault="00A04BFA" w:rsidP="001E6DD9">
      <w:r>
        <w:t xml:space="preserve">Note that dynamics for panel b include the use fail-safe options for early compliance with the GNZ across both core and sensitivity scenarios – explaining the lower variability but showing the inability of the model to solve. </w:t>
      </w:r>
    </w:p>
    <w:p w14:paraId="528F6C15" w14:textId="69E83DD2" w:rsidR="00465F68" w:rsidRDefault="00465F68">
      <w:pPr>
        <w:spacing w:line="259" w:lineRule="auto"/>
        <w:jc w:val="left"/>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488"/>
      </w:tblGrid>
      <w:tr w:rsidR="001E6DD9" w14:paraId="3FF664D3" w14:textId="77777777" w:rsidTr="002A7EDF">
        <w:tc>
          <w:tcPr>
            <w:tcW w:w="4476" w:type="dxa"/>
          </w:tcPr>
          <w:p w14:paraId="63323BC4" w14:textId="77777777" w:rsidR="001E6DD9" w:rsidRDefault="001E6DD9" w:rsidP="001A0D8A">
            <w:pPr>
              <w:rPr>
                <w:noProof/>
              </w:rPr>
            </w:pPr>
            <w:r>
              <w:rPr>
                <w:noProof/>
              </w:rPr>
              <w:lastRenderedPageBreak/>
              <w:t>a</w:t>
            </w:r>
          </w:p>
        </w:tc>
        <w:tc>
          <w:tcPr>
            <w:tcW w:w="4476" w:type="dxa"/>
          </w:tcPr>
          <w:p w14:paraId="192BCA23" w14:textId="77777777" w:rsidR="001E6DD9" w:rsidRDefault="001E6DD9" w:rsidP="001A0D8A">
            <w:pPr>
              <w:rPr>
                <w:noProof/>
              </w:rPr>
            </w:pPr>
            <w:r>
              <w:rPr>
                <w:noProof/>
              </w:rPr>
              <w:t>b</w:t>
            </w:r>
          </w:p>
        </w:tc>
      </w:tr>
      <w:tr w:rsidR="001E6DD9" w14:paraId="1453B593" w14:textId="77777777" w:rsidTr="002A7EDF">
        <w:tc>
          <w:tcPr>
            <w:tcW w:w="4476" w:type="dxa"/>
          </w:tcPr>
          <w:p w14:paraId="6A86D0C3" w14:textId="315FD2E5" w:rsidR="001E6DD9" w:rsidRDefault="00D37816" w:rsidP="001A0D8A">
            <w:r>
              <w:rPr>
                <w:noProof/>
              </w:rPr>
              <w:drawing>
                <wp:inline distT="0" distB="0" distL="0" distR="0" wp14:anchorId="50298CA9" wp14:editId="63F461FB">
                  <wp:extent cx="2712720" cy="2353310"/>
                  <wp:effectExtent l="0" t="0" r="0" b="8890"/>
                  <wp:docPr id="9237949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c>
          <w:tcPr>
            <w:tcW w:w="4476" w:type="dxa"/>
          </w:tcPr>
          <w:p w14:paraId="5103A813" w14:textId="03C61E4B" w:rsidR="001E6DD9" w:rsidRDefault="00D37816" w:rsidP="001A0D8A">
            <w:r>
              <w:rPr>
                <w:noProof/>
              </w:rPr>
              <w:drawing>
                <wp:inline distT="0" distB="0" distL="0" distR="0" wp14:anchorId="6C797B07" wp14:editId="27F1D6B1">
                  <wp:extent cx="2712720" cy="2353310"/>
                  <wp:effectExtent l="0" t="0" r="0" b="8890"/>
                  <wp:docPr id="177601461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r>
      <w:tr w:rsidR="001E6DD9" w14:paraId="14BCB353" w14:textId="77777777" w:rsidTr="002A7EDF">
        <w:tc>
          <w:tcPr>
            <w:tcW w:w="4476" w:type="dxa"/>
          </w:tcPr>
          <w:p w14:paraId="6A69859E" w14:textId="77777777" w:rsidR="001E6DD9" w:rsidRDefault="001E6DD9" w:rsidP="001A0D8A">
            <w:pPr>
              <w:rPr>
                <w:noProof/>
              </w:rPr>
            </w:pPr>
            <w:r>
              <w:rPr>
                <w:noProof/>
              </w:rPr>
              <w:t>c</w:t>
            </w:r>
          </w:p>
        </w:tc>
        <w:tc>
          <w:tcPr>
            <w:tcW w:w="4476" w:type="dxa"/>
          </w:tcPr>
          <w:p w14:paraId="6D37E798" w14:textId="77777777" w:rsidR="001E6DD9" w:rsidRDefault="001E6DD9" w:rsidP="001A0D8A">
            <w:pPr>
              <w:rPr>
                <w:noProof/>
              </w:rPr>
            </w:pPr>
            <w:r>
              <w:rPr>
                <w:noProof/>
              </w:rPr>
              <w:t>d</w:t>
            </w:r>
          </w:p>
        </w:tc>
      </w:tr>
      <w:tr w:rsidR="001E6DD9" w14:paraId="5E1F4408" w14:textId="77777777" w:rsidTr="002A7EDF">
        <w:tc>
          <w:tcPr>
            <w:tcW w:w="4476" w:type="dxa"/>
          </w:tcPr>
          <w:p w14:paraId="2638296E" w14:textId="2446DA2B" w:rsidR="001E6DD9" w:rsidRDefault="00D37816" w:rsidP="001A0D8A">
            <w:r>
              <w:rPr>
                <w:noProof/>
              </w:rPr>
              <w:drawing>
                <wp:inline distT="0" distB="0" distL="0" distR="0" wp14:anchorId="2928C8D7" wp14:editId="68BC8BAA">
                  <wp:extent cx="2712720" cy="2353310"/>
                  <wp:effectExtent l="0" t="0" r="0" b="8890"/>
                  <wp:docPr id="100908285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c>
          <w:tcPr>
            <w:tcW w:w="4476" w:type="dxa"/>
          </w:tcPr>
          <w:p w14:paraId="539A363A" w14:textId="5D1AA262" w:rsidR="001E6DD9" w:rsidRDefault="00D37816" w:rsidP="001A0D8A">
            <w:r>
              <w:rPr>
                <w:noProof/>
              </w:rPr>
              <w:drawing>
                <wp:inline distT="0" distB="0" distL="0" distR="0" wp14:anchorId="04D3667D" wp14:editId="20078F8C">
                  <wp:extent cx="2712720" cy="2353310"/>
                  <wp:effectExtent l="0" t="0" r="0" b="8890"/>
                  <wp:docPr id="151412062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r>
      <w:tr w:rsidR="001E6DD9" w14:paraId="4A4DDF5E" w14:textId="77777777" w:rsidTr="002A7EDF">
        <w:tc>
          <w:tcPr>
            <w:tcW w:w="8952" w:type="dxa"/>
            <w:gridSpan w:val="2"/>
          </w:tcPr>
          <w:p w14:paraId="7081D57F" w14:textId="77777777" w:rsidR="001E6DD9" w:rsidRPr="00E46502" w:rsidRDefault="001E6DD9" w:rsidP="001A0D8A">
            <w:pPr>
              <w:keepNext/>
              <w:jc w:val="center"/>
              <w:rPr>
                <w:noProof/>
                <w:sz w:val="8"/>
                <w:szCs w:val="8"/>
              </w:rPr>
            </w:pPr>
          </w:p>
          <w:p w14:paraId="3FE86D3C" w14:textId="7FB621A4" w:rsidR="001E6DD9" w:rsidRDefault="00D37816" w:rsidP="001A0D8A">
            <w:pPr>
              <w:keepNext/>
              <w:jc w:val="center"/>
              <w:rPr>
                <w:noProof/>
              </w:rPr>
            </w:pPr>
            <w:r>
              <w:rPr>
                <w:noProof/>
              </w:rPr>
              <w:drawing>
                <wp:inline distT="0" distB="0" distL="0" distR="0" wp14:anchorId="7BD51E69" wp14:editId="06763404">
                  <wp:extent cx="5096510" cy="524510"/>
                  <wp:effectExtent l="0" t="0" r="8890" b="8890"/>
                  <wp:docPr id="152968988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510" cy="524510"/>
                          </a:xfrm>
                          <a:prstGeom prst="rect">
                            <a:avLst/>
                          </a:prstGeom>
                          <a:noFill/>
                        </pic:spPr>
                      </pic:pic>
                    </a:graphicData>
                  </a:graphic>
                </wp:inline>
              </w:drawing>
            </w:r>
          </w:p>
          <w:p w14:paraId="52B379A0" w14:textId="77777777" w:rsidR="001E6DD9" w:rsidRPr="00E46502" w:rsidRDefault="001E6DD9" w:rsidP="001A0D8A">
            <w:pPr>
              <w:keepNext/>
              <w:jc w:val="center"/>
              <w:rPr>
                <w:noProof/>
                <w:sz w:val="8"/>
                <w:szCs w:val="8"/>
              </w:rPr>
            </w:pPr>
          </w:p>
        </w:tc>
      </w:tr>
    </w:tbl>
    <w:p w14:paraId="287EF6BC" w14:textId="77F3625F" w:rsidR="001E6DD9" w:rsidRDefault="001E6DD9" w:rsidP="001E6DD9">
      <w:pPr>
        <w:pStyle w:val="Caption"/>
      </w:pPr>
      <w:bookmarkStart w:id="8" w:name="_Ref236733985"/>
      <w:r>
        <w:t xml:space="preserve">Figure </w:t>
      </w:r>
      <w:fldSimple w:instr=" SEQ Figure \* ALPHABETIC ">
        <w:r w:rsidR="002A7EDF">
          <w:rPr>
            <w:noProof/>
          </w:rPr>
          <w:t>D</w:t>
        </w:r>
      </w:fldSimple>
      <w:bookmarkEnd w:id="8"/>
      <w:r>
        <w:t>-</w:t>
      </w:r>
      <w:r w:rsidR="00787834">
        <w:t xml:space="preserve"> </w:t>
      </w:r>
      <w:r w:rsidR="00BC4C5C">
        <w:t xml:space="preserve">Centralised production of electricity over time across four scenario families and their sensitivities. </w:t>
      </w:r>
      <w:r w:rsidR="007B080D">
        <w:t xml:space="preserve">Baseline, Strict-GNZ, Progressive-GNZ, and Cumulative-GNZ in panels a, b, c, and d respectively. Scenario sensitivities are represented in each panel by </w:t>
      </w:r>
      <w:r w:rsidR="00914D15">
        <w:t xml:space="preserve">different dashed lines retaining the colour of the parent scenario. The Baseline reference (black) is included in all panels. </w:t>
      </w:r>
      <w:r w:rsidR="00C00FB3">
        <w:t>Sensitivity numbering refers to limited international biomass availability (s1), removal of BECCS from the GNZ formulation (s2), and delays in TnS availability (s3)</w:t>
      </w:r>
    </w:p>
    <w:p w14:paraId="28616F42" w14:textId="6D2E24F5" w:rsidR="00716CE4" w:rsidRDefault="00716CE4">
      <w:pPr>
        <w:rPr>
          <w:lang w:eastAsia="ja-JP"/>
        </w:rPr>
      </w:pPr>
    </w:p>
    <w:p w14:paraId="5CAD28F2" w14:textId="4A0F0A24" w:rsidR="00465F68" w:rsidRDefault="00465F68">
      <w:pPr>
        <w:spacing w:line="259" w:lineRule="auto"/>
        <w:jc w:val="left"/>
        <w:rPr>
          <w:lang w:eastAsia="ja-JP"/>
        </w:rPr>
      </w:pPr>
      <w:r>
        <w:rPr>
          <w:lang w:eastAsia="ja-JP"/>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488"/>
      </w:tblGrid>
      <w:tr w:rsidR="00716CE4" w14:paraId="4A491E55" w14:textId="77777777" w:rsidTr="002A7EDF">
        <w:tc>
          <w:tcPr>
            <w:tcW w:w="4476" w:type="dxa"/>
          </w:tcPr>
          <w:p w14:paraId="46047AFB" w14:textId="77777777" w:rsidR="00716CE4" w:rsidRDefault="00716CE4" w:rsidP="005B6EDB">
            <w:pPr>
              <w:rPr>
                <w:noProof/>
              </w:rPr>
            </w:pPr>
            <w:r>
              <w:rPr>
                <w:noProof/>
              </w:rPr>
              <w:lastRenderedPageBreak/>
              <w:t>a</w:t>
            </w:r>
          </w:p>
        </w:tc>
        <w:tc>
          <w:tcPr>
            <w:tcW w:w="4476" w:type="dxa"/>
          </w:tcPr>
          <w:p w14:paraId="34EEDAB5" w14:textId="77777777" w:rsidR="00716CE4" w:rsidRDefault="00716CE4" w:rsidP="005B6EDB">
            <w:pPr>
              <w:rPr>
                <w:noProof/>
              </w:rPr>
            </w:pPr>
            <w:r>
              <w:rPr>
                <w:noProof/>
              </w:rPr>
              <w:t>b</w:t>
            </w:r>
          </w:p>
        </w:tc>
      </w:tr>
      <w:tr w:rsidR="00716CE4" w14:paraId="3A2E61AE" w14:textId="77777777" w:rsidTr="002A7EDF">
        <w:tc>
          <w:tcPr>
            <w:tcW w:w="4476" w:type="dxa"/>
          </w:tcPr>
          <w:p w14:paraId="721D6EC7" w14:textId="124CB329" w:rsidR="00716CE4" w:rsidRDefault="00D37816" w:rsidP="005B6EDB">
            <w:r>
              <w:rPr>
                <w:noProof/>
              </w:rPr>
              <w:drawing>
                <wp:inline distT="0" distB="0" distL="0" distR="0" wp14:anchorId="34DA15AF" wp14:editId="7DD5E8B0">
                  <wp:extent cx="2712720" cy="2353310"/>
                  <wp:effectExtent l="0" t="0" r="0" b="8890"/>
                  <wp:docPr id="17887898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c>
          <w:tcPr>
            <w:tcW w:w="4476" w:type="dxa"/>
          </w:tcPr>
          <w:p w14:paraId="6E2FC891" w14:textId="7E148EC7" w:rsidR="00716CE4" w:rsidRDefault="00D37816" w:rsidP="005B6EDB">
            <w:r>
              <w:rPr>
                <w:noProof/>
              </w:rPr>
              <w:drawing>
                <wp:inline distT="0" distB="0" distL="0" distR="0" wp14:anchorId="5C3825AB" wp14:editId="133F4A5D">
                  <wp:extent cx="2712720" cy="2353310"/>
                  <wp:effectExtent l="0" t="0" r="0" b="8890"/>
                  <wp:docPr id="147658140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r>
      <w:tr w:rsidR="00716CE4" w14:paraId="7B4958A3" w14:textId="77777777" w:rsidTr="002A7EDF">
        <w:tc>
          <w:tcPr>
            <w:tcW w:w="4476" w:type="dxa"/>
          </w:tcPr>
          <w:p w14:paraId="2066258E" w14:textId="77777777" w:rsidR="00716CE4" w:rsidRDefault="00716CE4" w:rsidP="005B6EDB">
            <w:pPr>
              <w:rPr>
                <w:noProof/>
              </w:rPr>
            </w:pPr>
            <w:r>
              <w:rPr>
                <w:noProof/>
              </w:rPr>
              <w:t>c</w:t>
            </w:r>
          </w:p>
        </w:tc>
        <w:tc>
          <w:tcPr>
            <w:tcW w:w="4476" w:type="dxa"/>
          </w:tcPr>
          <w:p w14:paraId="09BB8E28" w14:textId="77777777" w:rsidR="00716CE4" w:rsidRDefault="00716CE4" w:rsidP="005B6EDB">
            <w:pPr>
              <w:rPr>
                <w:noProof/>
              </w:rPr>
            </w:pPr>
            <w:r>
              <w:rPr>
                <w:noProof/>
              </w:rPr>
              <w:t>d</w:t>
            </w:r>
          </w:p>
        </w:tc>
      </w:tr>
      <w:tr w:rsidR="00716CE4" w14:paraId="4CB0C0A7" w14:textId="77777777" w:rsidTr="002A7EDF">
        <w:tc>
          <w:tcPr>
            <w:tcW w:w="4476" w:type="dxa"/>
          </w:tcPr>
          <w:p w14:paraId="47DA69B0" w14:textId="377770BC" w:rsidR="00716CE4" w:rsidRDefault="00D37816" w:rsidP="005B6EDB">
            <w:r>
              <w:rPr>
                <w:noProof/>
              </w:rPr>
              <w:drawing>
                <wp:inline distT="0" distB="0" distL="0" distR="0" wp14:anchorId="2F8C4CD7" wp14:editId="444573C7">
                  <wp:extent cx="2712720" cy="2353310"/>
                  <wp:effectExtent l="0" t="0" r="0" b="8890"/>
                  <wp:docPr id="6018507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c>
          <w:tcPr>
            <w:tcW w:w="4476" w:type="dxa"/>
          </w:tcPr>
          <w:p w14:paraId="2115642C" w14:textId="69369465" w:rsidR="00716CE4" w:rsidRDefault="00D37816" w:rsidP="005B6EDB">
            <w:r>
              <w:rPr>
                <w:noProof/>
              </w:rPr>
              <w:drawing>
                <wp:inline distT="0" distB="0" distL="0" distR="0" wp14:anchorId="3946DC3F" wp14:editId="2739A333">
                  <wp:extent cx="2712720" cy="2353310"/>
                  <wp:effectExtent l="0" t="0" r="0" b="8890"/>
                  <wp:docPr id="81849669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12720" cy="2353310"/>
                          </a:xfrm>
                          <a:prstGeom prst="rect">
                            <a:avLst/>
                          </a:prstGeom>
                          <a:noFill/>
                        </pic:spPr>
                      </pic:pic>
                    </a:graphicData>
                  </a:graphic>
                </wp:inline>
              </w:drawing>
            </w:r>
          </w:p>
        </w:tc>
      </w:tr>
      <w:tr w:rsidR="00716CE4" w14:paraId="7EC3A87F" w14:textId="77777777" w:rsidTr="002A7EDF">
        <w:tc>
          <w:tcPr>
            <w:tcW w:w="8952" w:type="dxa"/>
            <w:gridSpan w:val="2"/>
          </w:tcPr>
          <w:p w14:paraId="33DBAA40" w14:textId="77777777" w:rsidR="00716CE4" w:rsidRPr="00E46502" w:rsidRDefault="00716CE4" w:rsidP="005B6EDB">
            <w:pPr>
              <w:keepNext/>
              <w:jc w:val="center"/>
              <w:rPr>
                <w:noProof/>
                <w:sz w:val="8"/>
                <w:szCs w:val="8"/>
              </w:rPr>
            </w:pPr>
          </w:p>
          <w:p w14:paraId="0D1F1C17" w14:textId="65FFDC73" w:rsidR="00716CE4" w:rsidRDefault="00D37816" w:rsidP="005B6EDB">
            <w:pPr>
              <w:keepNext/>
              <w:jc w:val="center"/>
              <w:rPr>
                <w:noProof/>
              </w:rPr>
            </w:pPr>
            <w:r>
              <w:rPr>
                <w:noProof/>
              </w:rPr>
              <w:drawing>
                <wp:inline distT="0" distB="0" distL="0" distR="0" wp14:anchorId="1947EBBB" wp14:editId="438F280A">
                  <wp:extent cx="5096510" cy="524510"/>
                  <wp:effectExtent l="0" t="0" r="8890" b="8890"/>
                  <wp:docPr id="8164583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96510" cy="524510"/>
                          </a:xfrm>
                          <a:prstGeom prst="rect">
                            <a:avLst/>
                          </a:prstGeom>
                          <a:noFill/>
                        </pic:spPr>
                      </pic:pic>
                    </a:graphicData>
                  </a:graphic>
                </wp:inline>
              </w:drawing>
            </w:r>
          </w:p>
          <w:p w14:paraId="7D8552BA" w14:textId="77777777" w:rsidR="00716CE4" w:rsidRPr="00E46502" w:rsidRDefault="00716CE4" w:rsidP="002A7EDF">
            <w:pPr>
              <w:keepNext/>
              <w:jc w:val="center"/>
              <w:rPr>
                <w:noProof/>
                <w:sz w:val="8"/>
                <w:szCs w:val="8"/>
              </w:rPr>
            </w:pPr>
          </w:p>
        </w:tc>
      </w:tr>
    </w:tbl>
    <w:p w14:paraId="46A816D5" w14:textId="40E14D80" w:rsidR="00716CE4" w:rsidRDefault="002A7EDF" w:rsidP="002A7EDF">
      <w:pPr>
        <w:pStyle w:val="Caption"/>
      </w:pPr>
      <w:bookmarkStart w:id="9" w:name="_Ref236733987"/>
      <w:r>
        <w:t xml:space="preserve">Figure </w:t>
      </w:r>
      <w:fldSimple w:instr=" SEQ Figure \* ALPHABETIC ">
        <w:r>
          <w:rPr>
            <w:noProof/>
          </w:rPr>
          <w:t>E</w:t>
        </w:r>
      </w:fldSimple>
      <w:bookmarkEnd w:id="9"/>
      <w:r>
        <w:t xml:space="preserve"> -</w:t>
      </w:r>
      <w:r w:rsidR="00914D15">
        <w:t xml:space="preserve"> Centralised production of hydrogen over time across four scenario families and their sensitivities. Baseline, Strict-GNZ, Progressive-GNZ, and Cumulative-GNZ in panels a, b, c, and d respectively. Scenario sensitivities are represented in each panel by different dashed lines retaining the colour of the parent scenario. The Baseline reference (black) is included in all panels.</w:t>
      </w:r>
      <w:r w:rsidR="00C00FB3" w:rsidRPr="00C00FB3">
        <w:t xml:space="preserve"> </w:t>
      </w:r>
      <w:r w:rsidR="00C00FB3">
        <w:t>Sensitivity numbering refers to limited international biomass availability (s1), removal of BECCS from the GNZ formulation (s2), and delays in TnS availability (s3)</w:t>
      </w:r>
    </w:p>
    <w:p w14:paraId="34DFAF13" w14:textId="197F4F2B" w:rsidR="003873CF" w:rsidRDefault="003873CF">
      <w:pPr>
        <w:jc w:val="left"/>
        <w:rPr>
          <w:lang w:eastAsia="ja-JP"/>
        </w:rPr>
      </w:pPr>
    </w:p>
    <w:p w14:paraId="16258010" w14:textId="77777777" w:rsidR="00E743DB" w:rsidRDefault="00E743DB">
      <w:pPr>
        <w:jc w:val="left"/>
        <w:rPr>
          <w:lang w:eastAsia="ja-JP"/>
        </w:rPr>
        <w:sectPr w:rsidR="00E743DB">
          <w:pgSz w:w="11906" w:h="16838"/>
          <w:pgMar w:top="1440" w:right="1440" w:bottom="1440" w:left="1440" w:header="708" w:footer="708" w:gutter="0"/>
          <w:cols w:space="708"/>
          <w:docGrid w:linePitch="360"/>
        </w:sectPr>
      </w:pPr>
    </w:p>
    <w:p w14:paraId="7E2D6F68" w14:textId="3CB7688B" w:rsidR="003873CF" w:rsidRDefault="003873CF" w:rsidP="003873CF">
      <w:pPr>
        <w:pStyle w:val="Heading2"/>
        <w:rPr>
          <w:lang w:eastAsia="ja-JP"/>
        </w:rPr>
      </w:pPr>
      <w:bookmarkStart w:id="10" w:name="_Toc236808840"/>
      <w:r>
        <w:rPr>
          <w:lang w:eastAsia="ja-JP"/>
        </w:rPr>
        <w:lastRenderedPageBreak/>
        <w:t>References</w:t>
      </w:r>
      <w:r w:rsidR="00C00FB3">
        <w:rPr>
          <w:lang w:eastAsia="ja-JP"/>
        </w:rPr>
        <w:t xml:space="preserve"> – SI only</w:t>
      </w:r>
      <w:bookmarkEnd w:id="10"/>
    </w:p>
    <w:p w14:paraId="02921B6B" w14:textId="3E8800C1" w:rsidR="00E743DB" w:rsidRDefault="003873CF" w:rsidP="003873CF">
      <w:pPr>
        <w:pStyle w:val="Bibliography"/>
        <w:numPr>
          <w:ilvl w:val="6"/>
          <w:numId w:val="2"/>
        </w:numPr>
        <w:spacing w:afterLines="60" w:after="144"/>
        <w:ind w:left="284" w:hanging="284"/>
      </w:pPr>
      <w:r>
        <w:t xml:space="preserve">Climate </w:t>
      </w:r>
      <w:r w:rsidR="00251BAF">
        <w:t>C</w:t>
      </w:r>
      <w:r>
        <w:t xml:space="preserve">hange </w:t>
      </w:r>
      <w:r w:rsidR="00251BAF">
        <w:t>A</w:t>
      </w:r>
      <w:r>
        <w:t>ct 2008</w:t>
      </w:r>
      <w:r w:rsidR="00003933">
        <w:t xml:space="preserve">, c.27. Available at </w:t>
      </w:r>
      <w:hyperlink r:id="rId26" w:history="1">
        <w:r w:rsidR="00003933" w:rsidRPr="006A1B80">
          <w:rPr>
            <w:rStyle w:val="Hyperlink"/>
          </w:rPr>
          <w:t>https://www.legislation.gov.uk/ukpga/2008/27/contents</w:t>
        </w:r>
      </w:hyperlink>
      <w:r w:rsidR="00003933">
        <w:t xml:space="preserve"> (accessed 04/08/2026)</w:t>
      </w:r>
      <w:r w:rsidR="000C2878">
        <w:t>.</w:t>
      </w:r>
    </w:p>
    <w:p w14:paraId="31B2F56B" w14:textId="77777777" w:rsidR="00951DA0" w:rsidRDefault="003873CF" w:rsidP="00951DA0">
      <w:pPr>
        <w:pStyle w:val="Bibliography"/>
        <w:numPr>
          <w:ilvl w:val="6"/>
          <w:numId w:val="2"/>
        </w:numPr>
        <w:spacing w:afterLines="60" w:after="144"/>
        <w:ind w:left="284" w:hanging="284"/>
      </w:pPr>
      <w:r>
        <w:t xml:space="preserve">DESNZ. </w:t>
      </w:r>
      <w:r w:rsidRPr="00E743DB">
        <w:rPr>
          <w:i/>
          <w:iCs/>
        </w:rPr>
        <w:t>Seventh Carbon Budget Impact Assessment</w:t>
      </w:r>
      <w:r>
        <w:t>. https://www.legislation.gov.uk/ukia/2026/100/pdfs/ukia_20260100_en.pdf (2026).</w:t>
      </w:r>
      <w:r w:rsidR="009143E9">
        <w:t xml:space="preserve"> </w:t>
      </w:r>
    </w:p>
    <w:p w14:paraId="20F0AFDF" w14:textId="16576463" w:rsidR="009143E9" w:rsidRPr="003A143B" w:rsidRDefault="00951DA0" w:rsidP="00951DA0">
      <w:pPr>
        <w:pStyle w:val="Bibliography"/>
        <w:numPr>
          <w:ilvl w:val="6"/>
          <w:numId w:val="2"/>
        </w:numPr>
        <w:spacing w:afterLines="60" w:after="144"/>
        <w:ind w:left="284" w:hanging="284"/>
        <w:rPr>
          <w:lang w:val="fr-FR"/>
        </w:rPr>
      </w:pPr>
      <w:r>
        <w:t xml:space="preserve">Geden, O., Gidden, M. J., Edwards, M. R., Cowie, A., Smith, S. M., Tenkhoff, L., Zakkour, P. Chapter 1: Introduction, in The State of Carbon Dioxide Removal 3rd Edition 2026 (eds. </w:t>
      </w:r>
      <w:r w:rsidRPr="003A143B">
        <w:rPr>
          <w:lang w:val="fr-FR"/>
        </w:rPr>
        <w:t>Edwards, M. R. et al.). DOI: https://doi.org/10.17605/OSF.IO/5K2SF (2026)</w:t>
      </w:r>
      <w:r w:rsidR="009143E9" w:rsidRPr="003A143B">
        <w:rPr>
          <w:lang w:val="fr-FR"/>
        </w:rPr>
        <w:t xml:space="preserve"> </w:t>
      </w:r>
    </w:p>
    <w:p w14:paraId="5DD0718E" w14:textId="5C880442" w:rsidR="003873CF" w:rsidRPr="004D01EA" w:rsidRDefault="004D01EA" w:rsidP="003873CF">
      <w:pPr>
        <w:pStyle w:val="Bibliography"/>
        <w:numPr>
          <w:ilvl w:val="6"/>
          <w:numId w:val="2"/>
        </w:numPr>
        <w:spacing w:afterLines="60" w:after="144"/>
        <w:ind w:left="284" w:hanging="284"/>
        <w:rPr>
          <w:lang w:val="fr-FR"/>
        </w:rPr>
      </w:pPr>
      <w:r>
        <w:t>Smith, S. M., Grassi, G., Gupta, S., Schwingshackl, C., Harrington, K. J., Pilli, R., Rink, A. Chapter 7: Current levels of CDR, in The State of Carbon Dioxide Removal 3</w:t>
      </w:r>
      <w:r w:rsidRPr="004E2CDE">
        <w:rPr>
          <w:vertAlign w:val="superscript"/>
        </w:rPr>
        <w:t>rd</w:t>
      </w:r>
      <w:r>
        <w:t xml:space="preserve"> </w:t>
      </w:r>
      <w:r w:rsidRPr="004E2CDE">
        <w:t xml:space="preserve">Edition 2026 (eds. </w:t>
      </w:r>
      <w:r w:rsidRPr="004E2CDE">
        <w:rPr>
          <w:lang w:val="fr-FR"/>
        </w:rPr>
        <w:t>Edwards, M. R. et al.). DOI: https://doi.</w:t>
      </w:r>
      <w:r w:rsidRPr="004D01EA">
        <w:rPr>
          <w:lang w:val="fr-FR"/>
        </w:rPr>
        <w:t xml:space="preserve">org/10.17605/OSF.IO/VH7U6 (2026) </w:t>
      </w:r>
    </w:p>
    <w:sectPr w:rsidR="003873CF" w:rsidRPr="004D01E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Hofbauer, Verena" w:date="2026-08-03T18:43:00Z" w:initials="HV">
    <w:p w14:paraId="784EF5AD" w14:textId="21018871" w:rsidR="007B264C" w:rsidRDefault="00E261B7">
      <w:pPr>
        <w:pStyle w:val="CommentText"/>
      </w:pPr>
      <w:r>
        <w:rPr>
          <w:rStyle w:val="CommentReference"/>
        </w:rPr>
        <w:annotationRef/>
      </w:r>
      <w:r w:rsidRPr="271FAC55">
        <w:t>Does the cultivation of energy crops also result in relevant, longer term (i.e. over several modelled timeperiods considered) carbon sequestration, or is the carbon sequestered primarily in the harvested crop itself?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84EF5A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49BD70F" w16cex:dateUtc="2026-08-03T16: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84EF5AD" w16cid:durableId="649BD7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UCL Sans">
    <w:altName w:val="Calibri"/>
    <w:charset w:val="00"/>
    <w:family w:val="auto"/>
    <w:pitch w:val="variable"/>
    <w:sig w:usb0="8000002F" w:usb1="5000205B" w:usb2="00000000" w:usb3="00000000" w:csb0="00000093" w:csb1="00000000"/>
  </w:font>
  <w:font w:name="UCL Sans Bold">
    <w:altName w:val="Calibri"/>
    <w:charset w:val="00"/>
    <w:family w:val="auto"/>
    <w:pitch w:val="variable"/>
    <w:sig w:usb0="8000002F" w:usb1="5000205B"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B573C"/>
    <w:multiLevelType w:val="hybridMultilevel"/>
    <w:tmpl w:val="C412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3D6C4B"/>
    <w:multiLevelType w:val="multilevel"/>
    <w:tmpl w:val="4D201B62"/>
    <w:lvl w:ilvl="0">
      <w:start w:val="1"/>
      <w:numFmt w:val="decimal"/>
      <w:lvlText w:val="SI.%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F6D7625"/>
    <w:multiLevelType w:val="hybridMultilevel"/>
    <w:tmpl w:val="53E00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A2635A"/>
    <w:multiLevelType w:val="multilevel"/>
    <w:tmpl w:val="4D201B62"/>
    <w:lvl w:ilvl="0">
      <w:start w:val="1"/>
      <w:numFmt w:val="decimal"/>
      <w:lvlText w:val="SI.%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F544543"/>
    <w:multiLevelType w:val="hybridMultilevel"/>
    <w:tmpl w:val="84228AF6"/>
    <w:lvl w:ilvl="0" w:tplc="1AAECB16">
      <w:numFmt w:val="bullet"/>
      <w:lvlText w:val="-"/>
      <w:lvlJc w:val="left"/>
      <w:pPr>
        <w:ind w:left="720" w:hanging="360"/>
      </w:pPr>
      <w:rPr>
        <w:rFonts w:ascii="Segoe UI" w:eastAsia="Segoe U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9614002">
    <w:abstractNumId w:val="4"/>
  </w:num>
  <w:num w:numId="2" w16cid:durableId="2046832965">
    <w:abstractNumId w:val="3"/>
  </w:num>
  <w:num w:numId="3" w16cid:durableId="1679692637">
    <w:abstractNumId w:val="1"/>
  </w:num>
  <w:num w:numId="4" w16cid:durableId="1477720233">
    <w:abstractNumId w:val="2"/>
  </w:num>
  <w:num w:numId="5" w16cid:durableId="142673345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fbauer, Verena">
    <w15:presenceInfo w15:providerId="AD" w15:userId="S::ucbvvho@ucl.ac.uk::39c06ff3-4881-44c3-b634-d9a287a772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950"/>
    <w:rsid w:val="00003933"/>
    <w:rsid w:val="00005260"/>
    <w:rsid w:val="00006C6C"/>
    <w:rsid w:val="00012BE8"/>
    <w:rsid w:val="000224C4"/>
    <w:rsid w:val="00030F35"/>
    <w:rsid w:val="000312DB"/>
    <w:rsid w:val="00041796"/>
    <w:rsid w:val="00043655"/>
    <w:rsid w:val="000460A9"/>
    <w:rsid w:val="00055FE5"/>
    <w:rsid w:val="000638F4"/>
    <w:rsid w:val="00065E3E"/>
    <w:rsid w:val="00067182"/>
    <w:rsid w:val="00073941"/>
    <w:rsid w:val="0007523C"/>
    <w:rsid w:val="0008607B"/>
    <w:rsid w:val="000870BC"/>
    <w:rsid w:val="000925F0"/>
    <w:rsid w:val="0009677C"/>
    <w:rsid w:val="000A01C7"/>
    <w:rsid w:val="000B0075"/>
    <w:rsid w:val="000B3A27"/>
    <w:rsid w:val="000B612B"/>
    <w:rsid w:val="000C1350"/>
    <w:rsid w:val="000C2878"/>
    <w:rsid w:val="000E1556"/>
    <w:rsid w:val="000E25CA"/>
    <w:rsid w:val="000E2701"/>
    <w:rsid w:val="000F7016"/>
    <w:rsid w:val="001028E3"/>
    <w:rsid w:val="001039B5"/>
    <w:rsid w:val="0011049D"/>
    <w:rsid w:val="00123C90"/>
    <w:rsid w:val="00125765"/>
    <w:rsid w:val="00126059"/>
    <w:rsid w:val="001329E5"/>
    <w:rsid w:val="00137CB6"/>
    <w:rsid w:val="0015185B"/>
    <w:rsid w:val="00160682"/>
    <w:rsid w:val="001621A5"/>
    <w:rsid w:val="0016352B"/>
    <w:rsid w:val="00173C22"/>
    <w:rsid w:val="001778D9"/>
    <w:rsid w:val="00184DE3"/>
    <w:rsid w:val="001A59E1"/>
    <w:rsid w:val="001B1394"/>
    <w:rsid w:val="001B3408"/>
    <w:rsid w:val="001C2A65"/>
    <w:rsid w:val="001D4011"/>
    <w:rsid w:val="001E6DD9"/>
    <w:rsid w:val="001E753E"/>
    <w:rsid w:val="001F2932"/>
    <w:rsid w:val="00201C4F"/>
    <w:rsid w:val="002046D8"/>
    <w:rsid w:val="0020769E"/>
    <w:rsid w:val="00212FBC"/>
    <w:rsid w:val="00212FF4"/>
    <w:rsid w:val="00237864"/>
    <w:rsid w:val="00245D44"/>
    <w:rsid w:val="002473CA"/>
    <w:rsid w:val="00251BAF"/>
    <w:rsid w:val="002543B6"/>
    <w:rsid w:val="00254B39"/>
    <w:rsid w:val="00277EB4"/>
    <w:rsid w:val="0028570D"/>
    <w:rsid w:val="0029003A"/>
    <w:rsid w:val="002970F7"/>
    <w:rsid w:val="002A0CE3"/>
    <w:rsid w:val="002A69A3"/>
    <w:rsid w:val="002A7EDF"/>
    <w:rsid w:val="002B1E65"/>
    <w:rsid w:val="002B4122"/>
    <w:rsid w:val="002C20CB"/>
    <w:rsid w:val="002C5B47"/>
    <w:rsid w:val="002C5E11"/>
    <w:rsid w:val="002C680D"/>
    <w:rsid w:val="002D54CA"/>
    <w:rsid w:val="002F2D66"/>
    <w:rsid w:val="002F565E"/>
    <w:rsid w:val="002F672B"/>
    <w:rsid w:val="002F6A07"/>
    <w:rsid w:val="00312B2C"/>
    <w:rsid w:val="00320925"/>
    <w:rsid w:val="003220C3"/>
    <w:rsid w:val="00323507"/>
    <w:rsid w:val="003313CA"/>
    <w:rsid w:val="00340640"/>
    <w:rsid w:val="00343E8D"/>
    <w:rsid w:val="00350F92"/>
    <w:rsid w:val="00352114"/>
    <w:rsid w:val="00362412"/>
    <w:rsid w:val="00371A58"/>
    <w:rsid w:val="0038227A"/>
    <w:rsid w:val="00386001"/>
    <w:rsid w:val="003873CF"/>
    <w:rsid w:val="00387E7D"/>
    <w:rsid w:val="00392520"/>
    <w:rsid w:val="003A143B"/>
    <w:rsid w:val="003B3C70"/>
    <w:rsid w:val="003B5F2C"/>
    <w:rsid w:val="003B7428"/>
    <w:rsid w:val="003B785C"/>
    <w:rsid w:val="003B7DF7"/>
    <w:rsid w:val="003C5589"/>
    <w:rsid w:val="003D4D6F"/>
    <w:rsid w:val="00414473"/>
    <w:rsid w:val="00431717"/>
    <w:rsid w:val="00436603"/>
    <w:rsid w:val="00437B9B"/>
    <w:rsid w:val="00446475"/>
    <w:rsid w:val="00461A2C"/>
    <w:rsid w:val="00465F68"/>
    <w:rsid w:val="00493190"/>
    <w:rsid w:val="004A0CD6"/>
    <w:rsid w:val="004A2256"/>
    <w:rsid w:val="004B7264"/>
    <w:rsid w:val="004B727C"/>
    <w:rsid w:val="004C1462"/>
    <w:rsid w:val="004C3DB4"/>
    <w:rsid w:val="004C6048"/>
    <w:rsid w:val="004D01EA"/>
    <w:rsid w:val="004E1ADE"/>
    <w:rsid w:val="004E2CDE"/>
    <w:rsid w:val="004E45F6"/>
    <w:rsid w:val="00500942"/>
    <w:rsid w:val="005022A1"/>
    <w:rsid w:val="0050380B"/>
    <w:rsid w:val="0051468B"/>
    <w:rsid w:val="005178BC"/>
    <w:rsid w:val="005205A5"/>
    <w:rsid w:val="005230E4"/>
    <w:rsid w:val="00527C52"/>
    <w:rsid w:val="00530033"/>
    <w:rsid w:val="005429A0"/>
    <w:rsid w:val="00542BF3"/>
    <w:rsid w:val="00544F12"/>
    <w:rsid w:val="00545029"/>
    <w:rsid w:val="005471B0"/>
    <w:rsid w:val="00555883"/>
    <w:rsid w:val="0057667B"/>
    <w:rsid w:val="00577A22"/>
    <w:rsid w:val="00587E50"/>
    <w:rsid w:val="00591574"/>
    <w:rsid w:val="00593B56"/>
    <w:rsid w:val="005B3F9B"/>
    <w:rsid w:val="005B698B"/>
    <w:rsid w:val="005C3B13"/>
    <w:rsid w:val="005C61D0"/>
    <w:rsid w:val="005C7B2A"/>
    <w:rsid w:val="005D7066"/>
    <w:rsid w:val="005E2B2B"/>
    <w:rsid w:val="005E4A12"/>
    <w:rsid w:val="005F09BE"/>
    <w:rsid w:val="005F25E1"/>
    <w:rsid w:val="00601CD4"/>
    <w:rsid w:val="00605858"/>
    <w:rsid w:val="00621C8A"/>
    <w:rsid w:val="00627ECD"/>
    <w:rsid w:val="006318EF"/>
    <w:rsid w:val="00631A08"/>
    <w:rsid w:val="00635DFB"/>
    <w:rsid w:val="006361FA"/>
    <w:rsid w:val="00667081"/>
    <w:rsid w:val="006733AD"/>
    <w:rsid w:val="006735CA"/>
    <w:rsid w:val="0068320A"/>
    <w:rsid w:val="006857B0"/>
    <w:rsid w:val="00693FDF"/>
    <w:rsid w:val="006B3FA6"/>
    <w:rsid w:val="006C096C"/>
    <w:rsid w:val="006C353A"/>
    <w:rsid w:val="006C4E8E"/>
    <w:rsid w:val="006C58BC"/>
    <w:rsid w:val="006D12BA"/>
    <w:rsid w:val="006D2E25"/>
    <w:rsid w:val="006D41CF"/>
    <w:rsid w:val="006E35C0"/>
    <w:rsid w:val="006E5226"/>
    <w:rsid w:val="006E61A3"/>
    <w:rsid w:val="006F75FA"/>
    <w:rsid w:val="00703586"/>
    <w:rsid w:val="00716CE4"/>
    <w:rsid w:val="00721D9E"/>
    <w:rsid w:val="00725936"/>
    <w:rsid w:val="00727850"/>
    <w:rsid w:val="00732FF7"/>
    <w:rsid w:val="007352A8"/>
    <w:rsid w:val="00737910"/>
    <w:rsid w:val="00740708"/>
    <w:rsid w:val="007530A9"/>
    <w:rsid w:val="00754E62"/>
    <w:rsid w:val="00761636"/>
    <w:rsid w:val="00761772"/>
    <w:rsid w:val="00763A48"/>
    <w:rsid w:val="00776322"/>
    <w:rsid w:val="00781D67"/>
    <w:rsid w:val="007832F8"/>
    <w:rsid w:val="00783A00"/>
    <w:rsid w:val="007859B3"/>
    <w:rsid w:val="00786843"/>
    <w:rsid w:val="00787834"/>
    <w:rsid w:val="00787F5A"/>
    <w:rsid w:val="00791A71"/>
    <w:rsid w:val="007979C1"/>
    <w:rsid w:val="007A35E0"/>
    <w:rsid w:val="007B080D"/>
    <w:rsid w:val="007B21AE"/>
    <w:rsid w:val="007B264C"/>
    <w:rsid w:val="007B4D56"/>
    <w:rsid w:val="007B6325"/>
    <w:rsid w:val="007C1197"/>
    <w:rsid w:val="007D4610"/>
    <w:rsid w:val="007D621F"/>
    <w:rsid w:val="007E2BB9"/>
    <w:rsid w:val="007F00A9"/>
    <w:rsid w:val="007F24A3"/>
    <w:rsid w:val="007F3D08"/>
    <w:rsid w:val="007F771B"/>
    <w:rsid w:val="00802868"/>
    <w:rsid w:val="00804DD5"/>
    <w:rsid w:val="00806F22"/>
    <w:rsid w:val="00810E2E"/>
    <w:rsid w:val="0082362D"/>
    <w:rsid w:val="008249A3"/>
    <w:rsid w:val="00826D79"/>
    <w:rsid w:val="0086098F"/>
    <w:rsid w:val="00886FBF"/>
    <w:rsid w:val="008938E0"/>
    <w:rsid w:val="00894DFD"/>
    <w:rsid w:val="008A2842"/>
    <w:rsid w:val="008A77C2"/>
    <w:rsid w:val="008C3E4F"/>
    <w:rsid w:val="008D4721"/>
    <w:rsid w:val="008E039C"/>
    <w:rsid w:val="008E3FD9"/>
    <w:rsid w:val="008E450E"/>
    <w:rsid w:val="008E6755"/>
    <w:rsid w:val="008E7580"/>
    <w:rsid w:val="009021E1"/>
    <w:rsid w:val="009032D0"/>
    <w:rsid w:val="00903DAE"/>
    <w:rsid w:val="0090622D"/>
    <w:rsid w:val="00911EE8"/>
    <w:rsid w:val="009143E9"/>
    <w:rsid w:val="00914D15"/>
    <w:rsid w:val="00916B01"/>
    <w:rsid w:val="009217CC"/>
    <w:rsid w:val="00926391"/>
    <w:rsid w:val="009372FC"/>
    <w:rsid w:val="00940262"/>
    <w:rsid w:val="009444B2"/>
    <w:rsid w:val="00944615"/>
    <w:rsid w:val="009447F2"/>
    <w:rsid w:val="0095034F"/>
    <w:rsid w:val="00951DA0"/>
    <w:rsid w:val="00970356"/>
    <w:rsid w:val="00973790"/>
    <w:rsid w:val="0097423A"/>
    <w:rsid w:val="009851F4"/>
    <w:rsid w:val="00990A11"/>
    <w:rsid w:val="00990C74"/>
    <w:rsid w:val="0099185E"/>
    <w:rsid w:val="009A2EF9"/>
    <w:rsid w:val="009A43F9"/>
    <w:rsid w:val="009C4416"/>
    <w:rsid w:val="009C5B99"/>
    <w:rsid w:val="009D072B"/>
    <w:rsid w:val="009D1417"/>
    <w:rsid w:val="009D28BA"/>
    <w:rsid w:val="009E307F"/>
    <w:rsid w:val="009E358F"/>
    <w:rsid w:val="009E3E0B"/>
    <w:rsid w:val="009E4710"/>
    <w:rsid w:val="009F3DD4"/>
    <w:rsid w:val="009F4002"/>
    <w:rsid w:val="00A00B3E"/>
    <w:rsid w:val="00A0238A"/>
    <w:rsid w:val="00A04BFA"/>
    <w:rsid w:val="00A23E6D"/>
    <w:rsid w:val="00A37DA9"/>
    <w:rsid w:val="00A41C91"/>
    <w:rsid w:val="00A446F0"/>
    <w:rsid w:val="00A53C4B"/>
    <w:rsid w:val="00A54923"/>
    <w:rsid w:val="00A54EDD"/>
    <w:rsid w:val="00A55FB3"/>
    <w:rsid w:val="00A57C56"/>
    <w:rsid w:val="00A64B96"/>
    <w:rsid w:val="00A65B64"/>
    <w:rsid w:val="00A66E21"/>
    <w:rsid w:val="00A7216F"/>
    <w:rsid w:val="00AA25B2"/>
    <w:rsid w:val="00AC1515"/>
    <w:rsid w:val="00AC21A1"/>
    <w:rsid w:val="00AC34B0"/>
    <w:rsid w:val="00AD5FC1"/>
    <w:rsid w:val="00AD6591"/>
    <w:rsid w:val="00AE6AAD"/>
    <w:rsid w:val="00AF3542"/>
    <w:rsid w:val="00B00E86"/>
    <w:rsid w:val="00B020F6"/>
    <w:rsid w:val="00B0450F"/>
    <w:rsid w:val="00B10225"/>
    <w:rsid w:val="00B146B4"/>
    <w:rsid w:val="00B1636D"/>
    <w:rsid w:val="00B236BA"/>
    <w:rsid w:val="00B33F89"/>
    <w:rsid w:val="00B36C51"/>
    <w:rsid w:val="00B36D35"/>
    <w:rsid w:val="00B40945"/>
    <w:rsid w:val="00B65C57"/>
    <w:rsid w:val="00B67EAE"/>
    <w:rsid w:val="00B67FE4"/>
    <w:rsid w:val="00B710DD"/>
    <w:rsid w:val="00B75346"/>
    <w:rsid w:val="00B764D0"/>
    <w:rsid w:val="00B76934"/>
    <w:rsid w:val="00B84A10"/>
    <w:rsid w:val="00B95377"/>
    <w:rsid w:val="00BA4658"/>
    <w:rsid w:val="00BA5948"/>
    <w:rsid w:val="00BA613A"/>
    <w:rsid w:val="00BB1BC8"/>
    <w:rsid w:val="00BB41F0"/>
    <w:rsid w:val="00BB5234"/>
    <w:rsid w:val="00BC0A73"/>
    <w:rsid w:val="00BC2B44"/>
    <w:rsid w:val="00BC4C5C"/>
    <w:rsid w:val="00BE35DA"/>
    <w:rsid w:val="00C00FB3"/>
    <w:rsid w:val="00C13445"/>
    <w:rsid w:val="00C14A20"/>
    <w:rsid w:val="00C17DEB"/>
    <w:rsid w:val="00C24710"/>
    <w:rsid w:val="00C25271"/>
    <w:rsid w:val="00C27952"/>
    <w:rsid w:val="00C3241C"/>
    <w:rsid w:val="00C32C40"/>
    <w:rsid w:val="00C339A2"/>
    <w:rsid w:val="00C50258"/>
    <w:rsid w:val="00C54709"/>
    <w:rsid w:val="00C60DBB"/>
    <w:rsid w:val="00C6171F"/>
    <w:rsid w:val="00C6314F"/>
    <w:rsid w:val="00C71771"/>
    <w:rsid w:val="00C717DC"/>
    <w:rsid w:val="00C72D07"/>
    <w:rsid w:val="00C82D37"/>
    <w:rsid w:val="00C93A15"/>
    <w:rsid w:val="00C960C6"/>
    <w:rsid w:val="00CA6DC2"/>
    <w:rsid w:val="00CB7210"/>
    <w:rsid w:val="00CC3236"/>
    <w:rsid w:val="00CC70CC"/>
    <w:rsid w:val="00CD1B3E"/>
    <w:rsid w:val="00CF0E56"/>
    <w:rsid w:val="00D002FE"/>
    <w:rsid w:val="00D03C4D"/>
    <w:rsid w:val="00D06CE4"/>
    <w:rsid w:val="00D11205"/>
    <w:rsid w:val="00D24937"/>
    <w:rsid w:val="00D31CBB"/>
    <w:rsid w:val="00D36F46"/>
    <w:rsid w:val="00D37816"/>
    <w:rsid w:val="00D42E53"/>
    <w:rsid w:val="00D47641"/>
    <w:rsid w:val="00D4778C"/>
    <w:rsid w:val="00D501F6"/>
    <w:rsid w:val="00D50860"/>
    <w:rsid w:val="00D6244A"/>
    <w:rsid w:val="00D67F78"/>
    <w:rsid w:val="00D70247"/>
    <w:rsid w:val="00D821BF"/>
    <w:rsid w:val="00D90CB1"/>
    <w:rsid w:val="00DA1065"/>
    <w:rsid w:val="00DB08D3"/>
    <w:rsid w:val="00DB7BCF"/>
    <w:rsid w:val="00DB7C62"/>
    <w:rsid w:val="00DC00C7"/>
    <w:rsid w:val="00DC1EA1"/>
    <w:rsid w:val="00DD3A71"/>
    <w:rsid w:val="00DD61CC"/>
    <w:rsid w:val="00DE4515"/>
    <w:rsid w:val="00DF701F"/>
    <w:rsid w:val="00E04D96"/>
    <w:rsid w:val="00E1541E"/>
    <w:rsid w:val="00E1758D"/>
    <w:rsid w:val="00E20F60"/>
    <w:rsid w:val="00E30AF7"/>
    <w:rsid w:val="00E441A6"/>
    <w:rsid w:val="00E46502"/>
    <w:rsid w:val="00E5734F"/>
    <w:rsid w:val="00E63E67"/>
    <w:rsid w:val="00E66A52"/>
    <w:rsid w:val="00E66D3A"/>
    <w:rsid w:val="00E66FF9"/>
    <w:rsid w:val="00E70A06"/>
    <w:rsid w:val="00E743DB"/>
    <w:rsid w:val="00E75C65"/>
    <w:rsid w:val="00E76950"/>
    <w:rsid w:val="00E81DB8"/>
    <w:rsid w:val="00E81E33"/>
    <w:rsid w:val="00E87762"/>
    <w:rsid w:val="00E956DC"/>
    <w:rsid w:val="00E956F1"/>
    <w:rsid w:val="00EA2A24"/>
    <w:rsid w:val="00EC2B08"/>
    <w:rsid w:val="00ED4128"/>
    <w:rsid w:val="00ED46E6"/>
    <w:rsid w:val="00F13D50"/>
    <w:rsid w:val="00F14CCD"/>
    <w:rsid w:val="00F236A5"/>
    <w:rsid w:val="00F23F1D"/>
    <w:rsid w:val="00F2443C"/>
    <w:rsid w:val="00F32406"/>
    <w:rsid w:val="00F326A8"/>
    <w:rsid w:val="00F343D9"/>
    <w:rsid w:val="00F370BB"/>
    <w:rsid w:val="00F42B92"/>
    <w:rsid w:val="00F42DD3"/>
    <w:rsid w:val="00F4315B"/>
    <w:rsid w:val="00F609CD"/>
    <w:rsid w:val="00F60B7A"/>
    <w:rsid w:val="00F618F9"/>
    <w:rsid w:val="00F665EB"/>
    <w:rsid w:val="00F81BB3"/>
    <w:rsid w:val="00F84E59"/>
    <w:rsid w:val="00F867E2"/>
    <w:rsid w:val="00F879C9"/>
    <w:rsid w:val="00F92FF1"/>
    <w:rsid w:val="00FA6B36"/>
    <w:rsid w:val="00FB151D"/>
    <w:rsid w:val="00FC04D7"/>
    <w:rsid w:val="00FC4870"/>
    <w:rsid w:val="00FD0D9B"/>
    <w:rsid w:val="00FE50EF"/>
    <w:rsid w:val="00FF1A77"/>
    <w:rsid w:val="00FF22F9"/>
    <w:rsid w:val="3BE12B1F"/>
    <w:rsid w:val="566C8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574C5"/>
  <w15:chartTrackingRefBased/>
  <w15:docId w15:val="{A58A88B2-58E3-4194-9F09-9A75A78A0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0F7"/>
    <w:pPr>
      <w:spacing w:line="312" w:lineRule="auto"/>
      <w:jc w:val="both"/>
    </w:pPr>
    <w:rPr>
      <w:rFonts w:ascii="UCL Sans" w:hAnsi="UCL Sans"/>
      <w:sz w:val="21"/>
    </w:rPr>
  </w:style>
  <w:style w:type="paragraph" w:styleId="Heading1">
    <w:name w:val="heading 1"/>
    <w:basedOn w:val="Normal"/>
    <w:next w:val="Normal"/>
    <w:link w:val="Heading1Char"/>
    <w:uiPriority w:val="9"/>
    <w:qFormat/>
    <w:rsid w:val="00740708"/>
    <w:pPr>
      <w:keepNext/>
      <w:keepLines/>
      <w:spacing w:before="360" w:after="80"/>
      <w:outlineLvl w:val="0"/>
    </w:pPr>
    <w:rPr>
      <w:rFonts w:ascii="UCL Sans Bold" w:eastAsiaTheme="majorEastAsia" w:hAnsi="UCL Sans Bold"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40708"/>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9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9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9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9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9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9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9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708"/>
    <w:rPr>
      <w:rFonts w:ascii="UCL Sans Bold" w:eastAsiaTheme="majorEastAsia" w:hAnsi="UCL Sans Bold" w:cstheme="majorBidi"/>
      <w:color w:val="0F4761" w:themeColor="accent1" w:themeShade="BF"/>
      <w:sz w:val="40"/>
      <w:szCs w:val="40"/>
    </w:rPr>
  </w:style>
  <w:style w:type="character" w:customStyle="1" w:styleId="Heading2Char">
    <w:name w:val="Heading 2 Char"/>
    <w:basedOn w:val="DefaultParagraphFont"/>
    <w:link w:val="Heading2"/>
    <w:uiPriority w:val="9"/>
    <w:rsid w:val="00740708"/>
    <w:rPr>
      <w:rFonts w:ascii="UCL Sans" w:eastAsiaTheme="majorEastAsia" w:hAnsi="UCL Sans"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9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9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9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9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9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9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950"/>
    <w:rPr>
      <w:rFonts w:eastAsiaTheme="majorEastAsia" w:cstheme="majorBidi"/>
      <w:color w:val="272727" w:themeColor="text1" w:themeTint="D8"/>
    </w:rPr>
  </w:style>
  <w:style w:type="paragraph" w:styleId="Title">
    <w:name w:val="Title"/>
    <w:basedOn w:val="Normal"/>
    <w:next w:val="Normal"/>
    <w:link w:val="TitleChar"/>
    <w:uiPriority w:val="10"/>
    <w:qFormat/>
    <w:rsid w:val="00740708"/>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0708"/>
    <w:rPr>
      <w:rFonts w:ascii="UCL Sans" w:eastAsiaTheme="majorEastAsia" w:hAnsi="UCL Sans" w:cstheme="majorBidi"/>
      <w:spacing w:val="-10"/>
      <w:kern w:val="28"/>
      <w:sz w:val="56"/>
      <w:szCs w:val="56"/>
    </w:rPr>
  </w:style>
  <w:style w:type="paragraph" w:styleId="Subtitle">
    <w:name w:val="Subtitle"/>
    <w:basedOn w:val="Normal"/>
    <w:next w:val="Normal"/>
    <w:link w:val="SubtitleChar"/>
    <w:uiPriority w:val="11"/>
    <w:qFormat/>
    <w:rsid w:val="00E769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9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950"/>
    <w:pPr>
      <w:spacing w:before="160"/>
      <w:jc w:val="center"/>
    </w:pPr>
    <w:rPr>
      <w:i/>
      <w:iCs/>
      <w:color w:val="404040" w:themeColor="text1" w:themeTint="BF"/>
    </w:rPr>
  </w:style>
  <w:style w:type="character" w:customStyle="1" w:styleId="QuoteChar">
    <w:name w:val="Quote Char"/>
    <w:basedOn w:val="DefaultParagraphFont"/>
    <w:link w:val="Quote"/>
    <w:uiPriority w:val="29"/>
    <w:rsid w:val="00E76950"/>
    <w:rPr>
      <w:i/>
      <w:iCs/>
      <w:color w:val="404040" w:themeColor="text1" w:themeTint="BF"/>
    </w:rPr>
  </w:style>
  <w:style w:type="paragraph" w:styleId="ListParagraph">
    <w:name w:val="List Paragraph"/>
    <w:basedOn w:val="Normal"/>
    <w:uiPriority w:val="34"/>
    <w:qFormat/>
    <w:rsid w:val="00E76950"/>
    <w:pPr>
      <w:ind w:left="720"/>
      <w:contextualSpacing/>
    </w:pPr>
  </w:style>
  <w:style w:type="character" w:styleId="IntenseEmphasis">
    <w:name w:val="Intense Emphasis"/>
    <w:basedOn w:val="DefaultParagraphFont"/>
    <w:uiPriority w:val="21"/>
    <w:qFormat/>
    <w:rsid w:val="00E76950"/>
    <w:rPr>
      <w:i/>
      <w:iCs/>
      <w:color w:val="0F4761" w:themeColor="accent1" w:themeShade="BF"/>
    </w:rPr>
  </w:style>
  <w:style w:type="paragraph" w:styleId="IntenseQuote">
    <w:name w:val="Intense Quote"/>
    <w:basedOn w:val="Normal"/>
    <w:next w:val="Normal"/>
    <w:link w:val="IntenseQuoteChar"/>
    <w:uiPriority w:val="30"/>
    <w:qFormat/>
    <w:rsid w:val="00E769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950"/>
    <w:rPr>
      <w:i/>
      <w:iCs/>
      <w:color w:val="0F4761" w:themeColor="accent1" w:themeShade="BF"/>
    </w:rPr>
  </w:style>
  <w:style w:type="character" w:styleId="IntenseReference">
    <w:name w:val="Intense Reference"/>
    <w:basedOn w:val="DefaultParagraphFont"/>
    <w:uiPriority w:val="32"/>
    <w:qFormat/>
    <w:rsid w:val="00E76950"/>
    <w:rPr>
      <w:b/>
      <w:bCs/>
      <w:smallCaps/>
      <w:color w:val="0F4761" w:themeColor="accent1" w:themeShade="BF"/>
      <w:spacing w:val="5"/>
    </w:rPr>
  </w:style>
  <w:style w:type="character" w:styleId="Hyperlink">
    <w:name w:val="Hyperlink"/>
    <w:basedOn w:val="DefaultParagraphFont"/>
    <w:uiPriority w:val="99"/>
    <w:unhideWhenUsed/>
    <w:rsid w:val="00436603"/>
    <w:rPr>
      <w:color w:val="467886"/>
      <w:u w:val="single"/>
    </w:rPr>
  </w:style>
  <w:style w:type="character" w:styleId="FollowedHyperlink">
    <w:name w:val="FollowedHyperlink"/>
    <w:basedOn w:val="DefaultParagraphFont"/>
    <w:uiPriority w:val="99"/>
    <w:semiHidden/>
    <w:unhideWhenUsed/>
    <w:rsid w:val="00436603"/>
    <w:rPr>
      <w:color w:val="96607D" w:themeColor="followedHyperlink"/>
      <w:u w:val="single"/>
    </w:rPr>
  </w:style>
  <w:style w:type="table" w:styleId="TableGrid">
    <w:name w:val="Table Grid"/>
    <w:basedOn w:val="TableNormal"/>
    <w:uiPriority w:val="39"/>
    <w:rsid w:val="00DD3A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70A06"/>
    <w:rPr>
      <w:sz w:val="16"/>
      <w:szCs w:val="16"/>
    </w:rPr>
  </w:style>
  <w:style w:type="paragraph" w:styleId="CommentText">
    <w:name w:val="annotation text"/>
    <w:basedOn w:val="Normal"/>
    <w:link w:val="CommentTextChar"/>
    <w:uiPriority w:val="99"/>
    <w:unhideWhenUsed/>
    <w:rsid w:val="00E70A06"/>
    <w:pPr>
      <w:spacing w:line="240" w:lineRule="auto"/>
    </w:pPr>
    <w:rPr>
      <w:rFonts w:eastAsiaTheme="minorEastAsia"/>
      <w:kern w:val="0"/>
      <w:sz w:val="20"/>
      <w:szCs w:val="20"/>
      <w:lang w:eastAsia="ja-JP"/>
      <w14:ligatures w14:val="none"/>
    </w:rPr>
  </w:style>
  <w:style w:type="character" w:customStyle="1" w:styleId="CommentTextChar">
    <w:name w:val="Comment Text Char"/>
    <w:basedOn w:val="DefaultParagraphFont"/>
    <w:link w:val="CommentText"/>
    <w:uiPriority w:val="99"/>
    <w:rsid w:val="00E70A06"/>
    <w:rPr>
      <w:rFonts w:ascii="UCL Sans" w:eastAsiaTheme="minorEastAsia" w:hAnsi="UCL Sans"/>
      <w:kern w:val="0"/>
      <w:sz w:val="20"/>
      <w:szCs w:val="20"/>
      <w:lang w:eastAsia="ja-JP"/>
      <w14:ligatures w14:val="none"/>
    </w:rPr>
  </w:style>
  <w:style w:type="paragraph" w:styleId="Caption">
    <w:name w:val="caption"/>
    <w:basedOn w:val="Normal"/>
    <w:next w:val="Normal"/>
    <w:uiPriority w:val="35"/>
    <w:unhideWhenUsed/>
    <w:qFormat/>
    <w:rsid w:val="00E70A06"/>
    <w:pPr>
      <w:spacing w:after="200" w:line="240" w:lineRule="auto"/>
    </w:pPr>
    <w:rPr>
      <w:rFonts w:eastAsiaTheme="minorEastAsia"/>
      <w:i/>
      <w:iCs/>
      <w:color w:val="0E2841" w:themeColor="text2"/>
      <w:kern w:val="0"/>
      <w:sz w:val="18"/>
      <w:szCs w:val="18"/>
      <w:lang w:eastAsia="ja-JP"/>
      <w14:ligatures w14:val="none"/>
    </w:rPr>
  </w:style>
  <w:style w:type="character" w:styleId="Mention">
    <w:name w:val="Mention"/>
    <w:basedOn w:val="DefaultParagraphFont"/>
    <w:uiPriority w:val="99"/>
    <w:unhideWhenUsed/>
    <w:rsid w:val="00E70A0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903DAE"/>
    <w:pPr>
      <w:jc w:val="left"/>
    </w:pPr>
    <w:rPr>
      <w:rFonts w:eastAsiaTheme="minorHAns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903DAE"/>
    <w:rPr>
      <w:rFonts w:ascii="UCL Sans" w:eastAsiaTheme="minorEastAsia" w:hAnsi="UCL Sans"/>
      <w:b/>
      <w:bCs/>
      <w:kern w:val="0"/>
      <w:sz w:val="20"/>
      <w:szCs w:val="20"/>
      <w:lang w:eastAsia="ja-JP"/>
      <w14:ligatures w14:val="none"/>
    </w:rPr>
  </w:style>
  <w:style w:type="character" w:styleId="UnresolvedMention">
    <w:name w:val="Unresolved Mention"/>
    <w:basedOn w:val="DefaultParagraphFont"/>
    <w:uiPriority w:val="99"/>
    <w:semiHidden/>
    <w:unhideWhenUsed/>
    <w:rsid w:val="00886FBF"/>
    <w:rPr>
      <w:color w:val="605E5C"/>
      <w:shd w:val="clear" w:color="auto" w:fill="E1DFDD"/>
    </w:rPr>
  </w:style>
  <w:style w:type="paragraph" w:styleId="Bibliography">
    <w:name w:val="Bibliography"/>
    <w:basedOn w:val="Normal"/>
    <w:next w:val="Normal"/>
    <w:uiPriority w:val="37"/>
    <w:unhideWhenUsed/>
    <w:rsid w:val="003873CF"/>
    <w:rPr>
      <w:rFonts w:eastAsiaTheme="minorEastAsia"/>
      <w:kern w:val="0"/>
      <w:szCs w:val="24"/>
      <w:lang w:eastAsia="ja-JP"/>
      <w14:ligatures w14:val="none"/>
    </w:rPr>
  </w:style>
  <w:style w:type="paragraph" w:styleId="TOCHeading">
    <w:name w:val="TOC Heading"/>
    <w:basedOn w:val="Heading1"/>
    <w:next w:val="Normal"/>
    <w:uiPriority w:val="39"/>
    <w:unhideWhenUsed/>
    <w:qFormat/>
    <w:rsid w:val="00C960C6"/>
    <w:pPr>
      <w:spacing w:before="240" w:after="0" w:line="259" w:lineRule="auto"/>
      <w:jc w:val="left"/>
      <w:outlineLvl w:val="9"/>
    </w:pPr>
    <w:rPr>
      <w:rFonts w:asciiTheme="majorHAnsi" w:hAnsiTheme="majorHAnsi"/>
      <w:kern w:val="0"/>
      <w:sz w:val="32"/>
      <w:szCs w:val="32"/>
      <w:lang w:val="en-US"/>
      <w14:ligatures w14:val="none"/>
    </w:rPr>
  </w:style>
  <w:style w:type="paragraph" w:styleId="TOC2">
    <w:name w:val="toc 2"/>
    <w:basedOn w:val="Normal"/>
    <w:next w:val="Normal"/>
    <w:autoRedefine/>
    <w:uiPriority w:val="39"/>
    <w:unhideWhenUsed/>
    <w:rsid w:val="00C960C6"/>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s://www.legislation.gov.uk/ukpga/2008/27/contents" TargetMode="External"/><Relationship Id="rId3" Type="http://schemas.openxmlformats.org/officeDocument/2006/relationships/styles" Target="styles.xml"/><Relationship Id="rId21" Type="http://schemas.openxmlformats.org/officeDocument/2006/relationships/image" Target="media/image12.png"/><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microsoft.com/office/2011/relationships/people" Target="people.xml"/><Relationship Id="rId10" Type="http://schemas.openxmlformats.org/officeDocument/2006/relationships/image" Target="media/image1.jpg"/><Relationship Id="rId19" Type="http://schemas.openxmlformats.org/officeDocument/2006/relationships/image" Target="media/image10.png"/><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59EE7C-A954-4932-A279-88C2AB5E9B06}">
  <ds:schemaRefs>
    <ds:schemaRef ds:uri="http://schemas.openxmlformats.org/officeDocument/2006/bibliography"/>
  </ds:schemaRefs>
</ds:datastoreItem>
</file>

<file path=docMetadata/LabelInfo.xml><?xml version="1.0" encoding="utf-8"?>
<clbl:labelList xmlns:clbl="http://schemas.microsoft.com/office/2020/mipLabelMetadata">
  <clbl:label id="{1faf88fe-a998-4c5b-93c9-210a11d9a5c2}" enabled="0" method="" siteId="{1faf88fe-a998-4c5b-93c9-210a11d9a5c2}"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10</Pages>
  <Words>1986</Words>
  <Characters>11323</Characters>
  <Application>Microsoft Office Word</Application>
  <DocSecurity>0</DocSecurity>
  <Lines>94</Lines>
  <Paragraphs>26</Paragraphs>
  <ScaleCrop>false</ScaleCrop>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Broad</dc:creator>
  <cp:keywords/>
  <dc:description/>
  <cp:lastModifiedBy>Broad, Oliver</cp:lastModifiedBy>
  <cp:revision>25</cp:revision>
  <dcterms:created xsi:type="dcterms:W3CDTF">2026-08-04T12:05:00Z</dcterms:created>
  <dcterms:modified xsi:type="dcterms:W3CDTF">2026-08-05T07:08:00Z</dcterms:modified>
</cp:coreProperties>
</file>