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charts/chart3.xml" ContentType="application/vnd.openxmlformats-officedocument.drawingml.chart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8F47DD" w14:textId="77777777" w:rsidR="007245A4" w:rsidRDefault="007245A4" w:rsidP="007245A4">
      <w:pPr>
        <w:spacing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C5CBA">
        <w:rPr>
          <w:rFonts w:ascii="Times New Roman" w:hAnsi="Times New Roman" w:cs="Times New Roman"/>
          <w:b/>
          <w:bCs/>
          <w:sz w:val="28"/>
          <w:szCs w:val="28"/>
        </w:rPr>
        <w:t xml:space="preserve">Assessment of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a</w:t>
      </w:r>
      <w:r w:rsidRPr="007C5CBA">
        <w:rPr>
          <w:rFonts w:ascii="Times New Roman" w:hAnsi="Times New Roman" w:cs="Times New Roman"/>
          <w:b/>
          <w:bCs/>
          <w:sz w:val="28"/>
          <w:szCs w:val="28"/>
        </w:rPr>
        <w:t>luminium</w:t>
      </w:r>
      <w:proofErr w:type="spellEnd"/>
      <w:r w:rsidRPr="007C5CB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t>f</w:t>
      </w:r>
      <w:r w:rsidRPr="007C5CBA">
        <w:rPr>
          <w:rFonts w:ascii="Times New Roman" w:hAnsi="Times New Roman" w:cs="Times New Roman"/>
          <w:b/>
          <w:bCs/>
          <w:sz w:val="28"/>
          <w:szCs w:val="28"/>
        </w:rPr>
        <w:t>umarate incorporated thin fi</w:t>
      </w:r>
      <w:r>
        <w:rPr>
          <w:rFonts w:ascii="Times New Roman" w:hAnsi="Times New Roman" w:cs="Times New Roman"/>
          <w:b/>
          <w:bCs/>
          <w:sz w:val="28"/>
          <w:szCs w:val="28"/>
        </w:rPr>
        <w:t>l</w:t>
      </w:r>
      <w:r w:rsidRPr="007C5CBA">
        <w:rPr>
          <w:rFonts w:ascii="Times New Roman" w:hAnsi="Times New Roman" w:cs="Times New Roman"/>
          <w:b/>
          <w:bCs/>
          <w:sz w:val="28"/>
          <w:szCs w:val="28"/>
        </w:rPr>
        <w:t xml:space="preserve">m nanocomposite membrane in real seawater desalination via </w:t>
      </w:r>
      <w:r>
        <w:rPr>
          <w:rFonts w:ascii="Times New Roman" w:hAnsi="Times New Roman" w:cs="Times New Roman"/>
          <w:b/>
          <w:bCs/>
          <w:sz w:val="28"/>
          <w:szCs w:val="28"/>
        </w:rPr>
        <w:t>p</w:t>
      </w:r>
      <w:r w:rsidRPr="007C5CBA">
        <w:rPr>
          <w:rFonts w:ascii="Times New Roman" w:hAnsi="Times New Roman" w:cs="Times New Roman"/>
          <w:b/>
          <w:bCs/>
          <w:sz w:val="28"/>
          <w:szCs w:val="28"/>
        </w:rPr>
        <w:t xml:space="preserve">ressure </w:t>
      </w:r>
      <w:r>
        <w:rPr>
          <w:rFonts w:ascii="Times New Roman" w:hAnsi="Times New Roman" w:cs="Times New Roman"/>
          <w:b/>
          <w:bCs/>
          <w:sz w:val="28"/>
          <w:szCs w:val="28"/>
        </w:rPr>
        <w:t>a</w:t>
      </w:r>
      <w:r w:rsidRPr="007C5CBA">
        <w:rPr>
          <w:rFonts w:ascii="Times New Roman" w:hAnsi="Times New Roman" w:cs="Times New Roman"/>
          <w:b/>
          <w:bCs/>
          <w:sz w:val="28"/>
          <w:szCs w:val="28"/>
        </w:rPr>
        <w:t xml:space="preserve">ssisted </w:t>
      </w:r>
      <w:r>
        <w:rPr>
          <w:rFonts w:ascii="Times New Roman" w:hAnsi="Times New Roman" w:cs="Times New Roman"/>
          <w:b/>
          <w:bCs/>
          <w:sz w:val="28"/>
          <w:szCs w:val="28"/>
        </w:rPr>
        <w:t>o</w:t>
      </w:r>
      <w:r w:rsidRPr="007C5CBA">
        <w:rPr>
          <w:rFonts w:ascii="Times New Roman" w:hAnsi="Times New Roman" w:cs="Times New Roman"/>
          <w:b/>
          <w:bCs/>
          <w:sz w:val="28"/>
          <w:szCs w:val="28"/>
        </w:rPr>
        <w:t>smosis</w:t>
      </w:r>
    </w:p>
    <w:p w14:paraId="214194EE" w14:textId="77777777" w:rsidR="00A557D0" w:rsidRPr="007C5CBA" w:rsidRDefault="00A557D0" w:rsidP="00A557D0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6BFB2E4C" w14:textId="77777777" w:rsidR="00A557D0" w:rsidRPr="007C5CBA" w:rsidRDefault="00A557D0" w:rsidP="00E866A6">
      <w:pPr>
        <w:spacing w:line="360" w:lineRule="auto"/>
        <w:rPr>
          <w:rFonts w:ascii="Times New Roman" w:hAnsi="Times New Roman" w:cs="Times New Roman"/>
          <w:b/>
          <w:bCs/>
        </w:rPr>
      </w:pPr>
      <w:proofErr w:type="spellStart"/>
      <w:r w:rsidRPr="007C5CBA">
        <w:rPr>
          <w:rFonts w:ascii="Times New Roman" w:hAnsi="Times New Roman" w:cs="Times New Roman"/>
          <w:b/>
          <w:bCs/>
        </w:rPr>
        <w:t>Rajesha</w:t>
      </w:r>
      <w:proofErr w:type="spellEnd"/>
      <w:r w:rsidRPr="007C5CBA">
        <w:rPr>
          <w:rFonts w:ascii="Times New Roman" w:hAnsi="Times New Roman" w:cs="Times New Roman"/>
          <w:b/>
          <w:bCs/>
        </w:rPr>
        <w:t xml:space="preserve"> Kumar </w:t>
      </w:r>
      <w:proofErr w:type="spellStart"/>
      <w:r w:rsidRPr="007C5CBA">
        <w:rPr>
          <w:rFonts w:ascii="Times New Roman" w:hAnsi="Times New Roman" w:cs="Times New Roman"/>
          <w:b/>
          <w:bCs/>
        </w:rPr>
        <w:t>Alambi</w:t>
      </w:r>
      <w:r w:rsidRPr="007C5CBA">
        <w:rPr>
          <w:rFonts w:ascii="Times New Roman" w:hAnsi="Times New Roman" w:cs="Times New Roman"/>
          <w:b/>
          <w:bCs/>
          <w:vertAlign w:val="superscript"/>
        </w:rPr>
        <w:t>a</w:t>
      </w:r>
      <w:proofErr w:type="spellEnd"/>
      <w:r w:rsidRPr="007C5CBA">
        <w:rPr>
          <w:rFonts w:ascii="Times New Roman" w:hAnsi="Times New Roman" w:cs="Times New Roman"/>
          <w:b/>
          <w:bCs/>
        </w:rPr>
        <w:t xml:space="preserve">*, Mansour </w:t>
      </w:r>
      <w:proofErr w:type="spellStart"/>
      <w:r w:rsidRPr="007C5CBA">
        <w:rPr>
          <w:rFonts w:ascii="Times New Roman" w:hAnsi="Times New Roman" w:cs="Times New Roman"/>
          <w:b/>
          <w:bCs/>
        </w:rPr>
        <w:t>Ahmed</w:t>
      </w:r>
      <w:r w:rsidRPr="007C5CBA">
        <w:rPr>
          <w:rFonts w:ascii="Times New Roman" w:hAnsi="Times New Roman" w:cs="Times New Roman"/>
          <w:b/>
          <w:bCs/>
          <w:vertAlign w:val="superscript"/>
        </w:rPr>
        <w:t>a</w:t>
      </w:r>
      <w:proofErr w:type="spellEnd"/>
      <w:r w:rsidRPr="007C5CBA">
        <w:rPr>
          <w:rFonts w:ascii="Times New Roman" w:hAnsi="Times New Roman" w:cs="Times New Roman"/>
          <w:b/>
          <w:bCs/>
        </w:rPr>
        <w:t xml:space="preserve">, </w:t>
      </w:r>
      <w:proofErr w:type="spellStart"/>
      <w:r w:rsidRPr="007C5CBA">
        <w:rPr>
          <w:rFonts w:ascii="Times New Roman" w:hAnsi="Times New Roman" w:cs="Times New Roman"/>
          <w:b/>
          <w:bCs/>
        </w:rPr>
        <w:t>Garudachari</w:t>
      </w:r>
      <w:proofErr w:type="spellEnd"/>
      <w:r w:rsidRPr="007C5CBA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7C5CBA">
        <w:rPr>
          <w:rFonts w:ascii="Times New Roman" w:hAnsi="Times New Roman" w:cs="Times New Roman"/>
          <w:b/>
          <w:bCs/>
        </w:rPr>
        <w:t>Bhadrachari</w:t>
      </w:r>
      <w:r w:rsidRPr="007C5CBA">
        <w:rPr>
          <w:rFonts w:ascii="Times New Roman" w:hAnsi="Times New Roman" w:cs="Times New Roman"/>
          <w:b/>
          <w:bCs/>
          <w:vertAlign w:val="superscript"/>
        </w:rPr>
        <w:t>a</w:t>
      </w:r>
      <w:proofErr w:type="spellEnd"/>
      <w:r w:rsidRPr="007C5CBA">
        <w:rPr>
          <w:rFonts w:ascii="Times New Roman" w:hAnsi="Times New Roman" w:cs="Times New Roman"/>
          <w:b/>
          <w:bCs/>
        </w:rPr>
        <w:t>, Mansour Al-</w:t>
      </w:r>
      <w:proofErr w:type="spellStart"/>
      <w:r w:rsidRPr="007C5CBA">
        <w:rPr>
          <w:rFonts w:ascii="Times New Roman" w:hAnsi="Times New Roman" w:cs="Times New Roman"/>
          <w:b/>
          <w:bCs/>
        </w:rPr>
        <w:t>Rughaib</w:t>
      </w:r>
      <w:r w:rsidRPr="007C5CBA">
        <w:rPr>
          <w:rFonts w:ascii="Times New Roman" w:hAnsi="Times New Roman" w:cs="Times New Roman"/>
          <w:b/>
          <w:bCs/>
          <w:vertAlign w:val="superscript"/>
        </w:rPr>
        <w:t>a</w:t>
      </w:r>
      <w:proofErr w:type="spellEnd"/>
      <w:r w:rsidRPr="007C5CBA">
        <w:rPr>
          <w:rFonts w:ascii="Times New Roman" w:hAnsi="Times New Roman" w:cs="Times New Roman"/>
          <w:b/>
          <w:bCs/>
        </w:rPr>
        <w:t xml:space="preserve">, </w:t>
      </w:r>
      <w:proofErr w:type="spellStart"/>
      <w:r w:rsidRPr="007C5CBA">
        <w:rPr>
          <w:rFonts w:ascii="Times New Roman" w:hAnsi="Times New Roman" w:cs="Times New Roman"/>
          <w:b/>
          <w:bCs/>
        </w:rPr>
        <w:t>Jibu</w:t>
      </w:r>
      <w:proofErr w:type="spellEnd"/>
      <w:r w:rsidRPr="007C5CBA">
        <w:rPr>
          <w:rFonts w:ascii="Times New Roman" w:hAnsi="Times New Roman" w:cs="Times New Roman"/>
          <w:b/>
          <w:bCs/>
        </w:rPr>
        <w:t xml:space="preserve"> P. Thomas</w:t>
      </w:r>
      <w:r w:rsidRPr="007C5CBA">
        <w:rPr>
          <w:rFonts w:ascii="Times New Roman" w:hAnsi="Times New Roman" w:cs="Times New Roman"/>
          <w:b/>
          <w:bCs/>
          <w:vertAlign w:val="superscript"/>
        </w:rPr>
        <w:t>a</w:t>
      </w:r>
    </w:p>
    <w:p w14:paraId="1E2C1086" w14:textId="77777777" w:rsidR="00A557D0" w:rsidRPr="007C5CBA" w:rsidRDefault="00A557D0" w:rsidP="00E866A6">
      <w:pPr>
        <w:spacing w:line="360" w:lineRule="auto"/>
        <w:jc w:val="both"/>
        <w:rPr>
          <w:rFonts w:ascii="Times New Roman" w:hAnsi="Times New Roman" w:cs="Times New Roman"/>
          <w:i/>
          <w:iCs/>
        </w:rPr>
      </w:pPr>
      <w:proofErr w:type="spellStart"/>
      <w:r w:rsidRPr="007C5CBA">
        <w:rPr>
          <w:rFonts w:ascii="Times New Roman" w:hAnsi="Times New Roman" w:cs="Times New Roman"/>
          <w:i/>
          <w:iCs/>
          <w:vertAlign w:val="superscript"/>
        </w:rPr>
        <w:t>a</w:t>
      </w:r>
      <w:r w:rsidRPr="007C5CBA">
        <w:rPr>
          <w:rFonts w:ascii="Times New Roman" w:hAnsi="Times New Roman" w:cs="Times New Roman"/>
          <w:i/>
          <w:iCs/>
        </w:rPr>
        <w:t>Water</w:t>
      </w:r>
      <w:proofErr w:type="spellEnd"/>
      <w:r w:rsidRPr="007C5CBA">
        <w:rPr>
          <w:rFonts w:ascii="Times New Roman" w:hAnsi="Times New Roman" w:cs="Times New Roman"/>
          <w:i/>
          <w:iCs/>
        </w:rPr>
        <w:t xml:space="preserve"> Research Center, Kuwait Institute for Scientific Research, P.O. Box 24885, 13109 Safat, Kuwait.</w:t>
      </w:r>
    </w:p>
    <w:p w14:paraId="7D9AF69D" w14:textId="77777777" w:rsidR="00A557D0" w:rsidRPr="007C5CBA" w:rsidRDefault="00A557D0" w:rsidP="00E866A6">
      <w:pPr>
        <w:spacing w:line="360" w:lineRule="auto"/>
        <w:jc w:val="both"/>
        <w:rPr>
          <w:rFonts w:ascii="Times New Roman" w:hAnsi="Times New Roman" w:cs="Times New Roman"/>
        </w:rPr>
      </w:pPr>
      <w:r w:rsidRPr="007C5CBA">
        <w:rPr>
          <w:rFonts w:ascii="Times New Roman" w:hAnsi="Times New Roman" w:cs="Times New Roman"/>
          <w:i/>
          <w:iCs/>
        </w:rPr>
        <w:t>*Corresponding author e-mail address</w:t>
      </w:r>
      <w:r w:rsidRPr="007C5CBA">
        <w:rPr>
          <w:rFonts w:ascii="Times New Roman" w:hAnsi="Times New Roman" w:cs="Times New Roman"/>
        </w:rPr>
        <w:t>:</w:t>
      </w:r>
      <w:r w:rsidRPr="007C5CBA">
        <w:t xml:space="preserve">  </w:t>
      </w:r>
      <w:hyperlink r:id="rId4" w:history="1">
        <w:r w:rsidRPr="007C5CBA">
          <w:rPr>
            <w:rStyle w:val="Hyperlink"/>
            <w:rFonts w:ascii="Times New Roman" w:hAnsi="Times New Roman" w:cs="Times New Roman"/>
          </w:rPr>
          <w:t>ralambi@kisr.edu.kw</w:t>
        </w:r>
      </w:hyperlink>
      <w:r w:rsidRPr="007C5CBA">
        <w:rPr>
          <w:rFonts w:ascii="Times New Roman" w:hAnsi="Times New Roman" w:cs="Times New Roman"/>
        </w:rPr>
        <w:t>, Phone number: +96597920482</w:t>
      </w:r>
    </w:p>
    <w:p w14:paraId="3CF3CD69" w14:textId="77777777" w:rsidR="002D0CD3" w:rsidRDefault="002D0CD3"/>
    <w:p w14:paraId="701C1008" w14:textId="77777777" w:rsidR="00A557D0" w:rsidRDefault="00A557D0"/>
    <w:p w14:paraId="7F9FE968" w14:textId="77777777" w:rsidR="00A557D0" w:rsidRPr="00744B2B" w:rsidRDefault="003E402F" w:rsidP="00A557D0">
      <w:pPr>
        <w:spacing w:line="360" w:lineRule="auto"/>
        <w:jc w:val="both"/>
        <w:rPr>
          <w:rFonts w:ascii="Times New Roman" w:eastAsia="Times New Roman" w:hAnsi="Times New Roman" w:cs="Times New Roman"/>
          <w:bCs/>
          <w:i/>
          <w:iCs/>
          <w:lang w:val="en-GB"/>
        </w:rPr>
      </w:pPr>
      <w:r>
        <w:rPr>
          <w:rFonts w:ascii="Times New Roman" w:eastAsia="Times New Roman" w:hAnsi="Times New Roman" w:cs="Times New Roman"/>
          <w:bCs/>
          <w:i/>
          <w:iCs/>
          <w:lang w:val="en-GB"/>
        </w:rPr>
        <w:t xml:space="preserve">Preliminary </w:t>
      </w:r>
      <w:r w:rsidR="00A557D0" w:rsidRPr="00744B2B">
        <w:rPr>
          <w:rFonts w:ascii="Times New Roman" w:eastAsia="Times New Roman" w:hAnsi="Times New Roman" w:cs="Times New Roman"/>
          <w:bCs/>
          <w:i/>
          <w:iCs/>
          <w:lang w:val="en-GB"/>
        </w:rPr>
        <w:t xml:space="preserve">PAO Performance of </w:t>
      </w:r>
      <w:r w:rsidR="00A557D0" w:rsidRPr="00744B2B">
        <w:rPr>
          <w:rFonts w:ascii="Times New Roman" w:hAnsi="Times New Roman" w:cs="Times New Roman"/>
          <w:bCs/>
          <w:i/>
          <w:iCs/>
        </w:rPr>
        <w:t>Al-Fumarate-MOF</w:t>
      </w:r>
      <w:r w:rsidR="00A557D0" w:rsidRPr="00744B2B">
        <w:rPr>
          <w:rFonts w:ascii="Times New Roman" w:eastAsia="Times New Roman" w:hAnsi="Times New Roman" w:cs="Times New Roman"/>
          <w:bCs/>
          <w:i/>
          <w:iCs/>
          <w:lang w:val="en-GB"/>
        </w:rPr>
        <w:t xml:space="preserve"> incorporated Membranes</w:t>
      </w:r>
    </w:p>
    <w:p w14:paraId="34CA2734" w14:textId="77777777" w:rsidR="00A557D0" w:rsidRDefault="003E402F" w:rsidP="003E402F">
      <w:pPr>
        <w:spacing w:line="360" w:lineRule="auto"/>
        <w:ind w:firstLine="720"/>
        <w:jc w:val="both"/>
        <w:rPr>
          <w:rFonts w:ascii="Times New Roman" w:eastAsia="Times New Roman" w:hAnsi="Times New Roman" w:cs="Times New Roman"/>
          <w:b/>
          <w:lang w:val="en-GB"/>
        </w:rPr>
      </w:pPr>
      <w:r w:rsidRPr="003E402F">
        <w:rPr>
          <w:rFonts w:ascii="Times New Roman" w:eastAsia="Times New Roman" w:hAnsi="Times New Roman" w:cs="Times New Roman"/>
          <w:bCs/>
          <w:noProof/>
          <w:lang w:val="en-GB"/>
        </w:rPr>
        <w:drawing>
          <wp:inline distT="0" distB="0" distL="0" distR="0" wp14:anchorId="3B05AF0F" wp14:editId="6419AE3D">
            <wp:extent cx="4752975" cy="2247900"/>
            <wp:effectExtent l="19050" t="0" r="9525" b="0"/>
            <wp:docPr id="4" name="Chart 1">
              <a:extLst xmlns:a="http://schemas.openxmlformats.org/drawingml/2006/main">
                <a:ext uri="{FF2B5EF4-FFF2-40B4-BE49-F238E27FC236}">
                  <a16:creationId xmlns:a16="http://schemas.microsoft.com/office/drawing/2014/main" id="{7BFACEA3-2AEC-0AE2-EA92-C6DED032F836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"/>
              </a:graphicData>
            </a:graphic>
          </wp:inline>
        </w:drawing>
      </w:r>
    </w:p>
    <w:p w14:paraId="4A4EC96F" w14:textId="77777777" w:rsidR="00A557D0" w:rsidRDefault="00A557D0" w:rsidP="00E866A6">
      <w:pPr>
        <w:widowControl w:val="0"/>
        <w:spacing w:line="360" w:lineRule="auto"/>
        <w:jc w:val="both"/>
        <w:rPr>
          <w:rFonts w:ascii="Times New Roman" w:eastAsia="Times New Roman" w:hAnsi="Times New Roman" w:cs="Times New Roman"/>
          <w:bCs/>
          <w:lang w:val="en-GB"/>
        </w:rPr>
      </w:pPr>
      <w:r w:rsidRPr="00DC094D">
        <w:rPr>
          <w:rFonts w:ascii="Times New Roman" w:hAnsi="Times New Roman" w:cs="Times New Roman"/>
          <w:b/>
        </w:rPr>
        <w:t>Fig</w:t>
      </w:r>
      <w:r>
        <w:rPr>
          <w:rFonts w:ascii="Times New Roman" w:hAnsi="Times New Roman" w:cs="Times New Roman"/>
          <w:b/>
        </w:rPr>
        <w:t>. S1</w:t>
      </w:r>
      <w:r w:rsidRPr="00DC094D">
        <w:rPr>
          <w:rFonts w:ascii="Times New Roman" w:eastAsia="Cambria" w:hAnsi="Times New Roman" w:cs="Times New Roman"/>
          <w:b/>
          <w:bCs/>
          <w:noProof/>
          <w:lang w:val="en-GB" w:eastAsia="en-GB"/>
        </w:rPr>
        <w:t>.</w:t>
      </w:r>
      <w:r w:rsidRPr="00DB3D90">
        <w:rPr>
          <w:rFonts w:ascii="Times New Roman" w:eastAsia="Cambria" w:hAnsi="Times New Roman" w:cs="Times New Roman"/>
          <w:noProof/>
          <w:lang w:val="en-GB" w:eastAsia="en-GB"/>
        </w:rPr>
        <w:t xml:space="preserve"> </w:t>
      </w:r>
      <w:r w:rsidRPr="00DC094D">
        <w:rPr>
          <w:rFonts w:ascii="Times New Roman" w:eastAsia="Cambria" w:hAnsi="Times New Roman" w:cs="Times New Roman"/>
          <w:noProof/>
          <w:lang w:val="en-GB" w:eastAsia="en-GB"/>
        </w:rPr>
        <w:t xml:space="preserve">The RSF and FO water flux of the </w:t>
      </w:r>
      <w:r w:rsidRPr="00DC094D">
        <w:rPr>
          <w:rFonts w:ascii="Times New Roman" w:eastAsia="Times New Roman" w:hAnsi="Times New Roman" w:cs="Times New Roman"/>
          <w:lang w:val="en-GB"/>
        </w:rPr>
        <w:t xml:space="preserve">M8, M9 and M10 </w:t>
      </w:r>
      <w:r w:rsidRPr="00DC094D">
        <w:rPr>
          <w:rFonts w:ascii="Times New Roman" w:eastAsia="Cambria" w:hAnsi="Times New Roman" w:cs="Times New Roman"/>
          <w:noProof/>
          <w:lang w:val="en-GB" w:eastAsia="en-GB"/>
        </w:rPr>
        <w:t>and commercial FO membranes.</w:t>
      </w:r>
      <w:r>
        <w:rPr>
          <w:rFonts w:ascii="Times New Roman" w:eastAsia="Cambria" w:hAnsi="Times New Roman" w:cs="Times New Roman"/>
          <w:noProof/>
          <w:lang w:val="en-GB" w:eastAsia="en-GB"/>
        </w:rPr>
        <w:tab/>
      </w:r>
    </w:p>
    <w:p w14:paraId="4B929578" w14:textId="77777777" w:rsidR="00A557D0" w:rsidRPr="00C31B43" w:rsidRDefault="003E402F" w:rsidP="003E402F">
      <w:pPr>
        <w:spacing w:line="360" w:lineRule="auto"/>
        <w:jc w:val="center"/>
        <w:rPr>
          <w:rFonts w:ascii="Times New Roman" w:eastAsia="Times New Roman" w:hAnsi="Times New Roman" w:cs="Times New Roman"/>
          <w:bCs/>
          <w:lang w:val="en-GB"/>
        </w:rPr>
      </w:pPr>
      <w:r w:rsidRPr="003E402F">
        <w:rPr>
          <w:rFonts w:ascii="Times New Roman" w:eastAsia="Times New Roman" w:hAnsi="Times New Roman" w:cs="Times New Roman"/>
          <w:bCs/>
          <w:noProof/>
          <w:lang w:val="en-GB"/>
        </w:rPr>
        <w:drawing>
          <wp:inline distT="0" distB="0" distL="0" distR="0" wp14:anchorId="483E3832" wp14:editId="15FEAE6F">
            <wp:extent cx="4933950" cy="2419350"/>
            <wp:effectExtent l="19050" t="0" r="19050" b="0"/>
            <wp:docPr id="5" name="Chart 3">
              <a:extLst xmlns:a="http://schemas.openxmlformats.org/drawingml/2006/main">
                <a:ext uri="{FF2B5EF4-FFF2-40B4-BE49-F238E27FC236}">
                  <a16:creationId xmlns:a16="http://schemas.microsoft.com/office/drawing/2014/main" id="{4D521B52-CF6A-EB1E-4BB6-F3C5E5E8E984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"/>
              </a:graphicData>
            </a:graphic>
          </wp:inline>
        </w:drawing>
      </w:r>
    </w:p>
    <w:p w14:paraId="517CF6E2" w14:textId="77777777" w:rsidR="00A557D0" w:rsidRDefault="00A557D0" w:rsidP="00A557D0">
      <w:pPr>
        <w:spacing w:line="360" w:lineRule="auto"/>
        <w:jc w:val="both"/>
        <w:rPr>
          <w:rFonts w:ascii="Times New Roman" w:eastAsia="Times New Roman" w:hAnsi="Times New Roman" w:cs="Times New Roman"/>
          <w:bCs/>
          <w:lang w:val="en-GB"/>
        </w:rPr>
      </w:pPr>
      <w:r w:rsidRPr="00107C61">
        <w:rPr>
          <w:rFonts w:ascii="Times New Roman" w:hAnsi="Times New Roman" w:cs="Times New Roman"/>
          <w:b/>
        </w:rPr>
        <w:t>Fig</w:t>
      </w:r>
      <w:r>
        <w:rPr>
          <w:rFonts w:ascii="Times New Roman" w:hAnsi="Times New Roman" w:cs="Times New Roman"/>
          <w:b/>
        </w:rPr>
        <w:t>.</w:t>
      </w:r>
      <w:r w:rsidRPr="00107C61">
        <w:rPr>
          <w:rFonts w:ascii="Times New Roman" w:hAnsi="Times New Roman" w:cs="Times New Roman"/>
          <w:b/>
        </w:rPr>
        <w:t xml:space="preserve"> </w:t>
      </w:r>
      <w:r>
        <w:rPr>
          <w:rFonts w:ascii="Times New Roman" w:hAnsi="Times New Roman" w:cs="Times New Roman"/>
          <w:b/>
        </w:rPr>
        <w:t>S2</w:t>
      </w:r>
      <w:r w:rsidRPr="00107C61">
        <w:rPr>
          <w:rFonts w:ascii="Times New Roman" w:hAnsi="Times New Roman" w:cs="Times New Roman"/>
          <w:b/>
        </w:rPr>
        <w:t>.</w:t>
      </w:r>
      <w:r w:rsidRPr="00107C61">
        <w:rPr>
          <w:rFonts w:ascii="Times New Roman" w:eastAsia="Times New Roman" w:hAnsi="Times New Roman" w:cs="Times New Roman"/>
          <w:b/>
          <w:lang w:val="en-GB"/>
        </w:rPr>
        <w:t xml:space="preserve"> </w:t>
      </w:r>
      <w:r w:rsidRPr="00107C61">
        <w:rPr>
          <w:rFonts w:ascii="Times New Roman" w:eastAsia="Times New Roman" w:hAnsi="Times New Roman" w:cs="Times New Roman"/>
          <w:bCs/>
          <w:lang w:val="en-GB"/>
        </w:rPr>
        <w:t>Fluctuations</w:t>
      </w:r>
      <w:r w:rsidRPr="00DB3D90">
        <w:rPr>
          <w:rFonts w:ascii="Times New Roman" w:eastAsia="Times New Roman" w:hAnsi="Times New Roman" w:cs="Times New Roman"/>
          <w:bCs/>
          <w:lang w:val="en-GB"/>
        </w:rPr>
        <w:t xml:space="preserve"> in water flux at varying applied pressures throughout the PAO process utilizing 2.0 M NaCl as the draw solution and deionized water as the feed solution.</w:t>
      </w:r>
    </w:p>
    <w:p w14:paraId="42181138" w14:textId="77777777" w:rsidR="00A557D0" w:rsidRDefault="00A557D0" w:rsidP="003E402F">
      <w:pPr>
        <w:spacing w:line="360" w:lineRule="auto"/>
        <w:jc w:val="both"/>
        <w:rPr>
          <w:rFonts w:ascii="Times New Roman" w:eastAsia="Times New Roman" w:hAnsi="Times New Roman" w:cs="Times New Roman"/>
          <w:bCs/>
          <w:lang w:val="en-GB"/>
        </w:rPr>
      </w:pPr>
    </w:p>
    <w:p w14:paraId="3059785F" w14:textId="77777777" w:rsidR="003E402F" w:rsidRDefault="003E402F" w:rsidP="00A557D0">
      <w:pPr>
        <w:spacing w:line="360" w:lineRule="auto"/>
        <w:ind w:firstLine="720"/>
        <w:jc w:val="both"/>
        <w:rPr>
          <w:rFonts w:ascii="Times New Roman" w:eastAsia="Times New Roman" w:hAnsi="Times New Roman" w:cs="Times New Roman"/>
          <w:bCs/>
          <w:lang w:val="en-GB"/>
        </w:rPr>
      </w:pPr>
      <w:r w:rsidRPr="003E402F">
        <w:rPr>
          <w:rFonts w:ascii="Times New Roman" w:eastAsia="Times New Roman" w:hAnsi="Times New Roman" w:cs="Times New Roman"/>
          <w:bCs/>
          <w:noProof/>
          <w:lang w:val="en-GB"/>
        </w:rPr>
        <w:drawing>
          <wp:inline distT="0" distB="0" distL="0" distR="0" wp14:anchorId="66768AC0" wp14:editId="6CB5CAF4">
            <wp:extent cx="4663440" cy="2655570"/>
            <wp:effectExtent l="19050" t="0" r="22860" b="0"/>
            <wp:docPr id="6" name="Chart 5">
              <a:extLst xmlns:a="http://schemas.openxmlformats.org/drawingml/2006/main">
                <a:ext uri="{FF2B5EF4-FFF2-40B4-BE49-F238E27FC236}">
                  <a16:creationId xmlns:a16="http://schemas.microsoft.com/office/drawing/2014/main" id="{53BC4B95-A359-BB05-C2B7-ECB40842D517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</wp:inline>
        </w:drawing>
      </w:r>
    </w:p>
    <w:p w14:paraId="736BA4FB" w14:textId="77777777" w:rsidR="00A557D0" w:rsidRDefault="00A557D0" w:rsidP="00A557D0">
      <w:pPr>
        <w:spacing w:line="276" w:lineRule="auto"/>
        <w:jc w:val="mediumKashida"/>
        <w:rPr>
          <w:rFonts w:ascii="Times New Roman" w:eastAsia="Times New Roman" w:hAnsi="Times New Roman" w:cs="Times New Roman"/>
          <w:bCs/>
          <w:lang w:val="en-GB"/>
        </w:rPr>
      </w:pPr>
      <w:r w:rsidRPr="00107C61">
        <w:rPr>
          <w:rFonts w:ascii="Times New Roman" w:hAnsi="Times New Roman" w:cs="Times New Roman"/>
          <w:b/>
        </w:rPr>
        <w:t>Fig</w:t>
      </w:r>
      <w:r>
        <w:rPr>
          <w:rFonts w:ascii="Times New Roman" w:hAnsi="Times New Roman" w:cs="Times New Roman"/>
          <w:b/>
        </w:rPr>
        <w:t>.</w:t>
      </w:r>
      <w:r w:rsidRPr="00107C61">
        <w:rPr>
          <w:rFonts w:ascii="Times New Roman" w:hAnsi="Times New Roman" w:cs="Times New Roman"/>
          <w:b/>
        </w:rPr>
        <w:t xml:space="preserve"> </w:t>
      </w:r>
      <w:r>
        <w:rPr>
          <w:rFonts w:ascii="Times New Roman" w:hAnsi="Times New Roman" w:cs="Times New Roman"/>
          <w:b/>
        </w:rPr>
        <w:t>S3</w:t>
      </w:r>
      <w:r w:rsidRPr="00107C61">
        <w:rPr>
          <w:rFonts w:ascii="Times New Roman" w:eastAsia="Times New Roman" w:hAnsi="Times New Roman" w:cs="Times New Roman"/>
          <w:b/>
          <w:lang w:val="en-GB"/>
        </w:rPr>
        <w:t xml:space="preserve">. </w:t>
      </w:r>
      <w:r w:rsidRPr="00107C61">
        <w:rPr>
          <w:rFonts w:ascii="Times New Roman" w:eastAsia="Times New Roman" w:hAnsi="Times New Roman" w:cs="Times New Roman"/>
          <w:bCs/>
          <w:lang w:val="en-GB"/>
        </w:rPr>
        <w:t>Varied</w:t>
      </w:r>
      <w:r w:rsidRPr="00DB3D90">
        <w:rPr>
          <w:rFonts w:ascii="Times New Roman" w:eastAsia="Times New Roman" w:hAnsi="Times New Roman" w:cs="Times New Roman"/>
          <w:bCs/>
          <w:lang w:val="en-GB"/>
        </w:rPr>
        <w:t xml:space="preserve"> reverse salt flux in the PAO process utilizing 2.0 M NaCl DS and DI water FS at varied pressures.</w:t>
      </w:r>
    </w:p>
    <w:p w14:paraId="03A53489" w14:textId="77777777" w:rsidR="00A557D0" w:rsidRDefault="00A557D0" w:rsidP="00A557D0">
      <w:pPr>
        <w:spacing w:line="360" w:lineRule="auto"/>
        <w:jc w:val="mediumKashida"/>
        <w:rPr>
          <w:rFonts w:ascii="Times New Roman" w:hAnsi="Times New Roman" w:cs="Times New Roman"/>
          <w:bCs/>
          <w:lang w:val="en-GB"/>
        </w:rPr>
      </w:pPr>
    </w:p>
    <w:p w14:paraId="73DD2F47" w14:textId="77777777" w:rsidR="009D45FB" w:rsidRDefault="009D45FB" w:rsidP="009D45FB">
      <w:pPr>
        <w:spacing w:after="240" w:line="276" w:lineRule="auto"/>
        <w:jc w:val="both"/>
        <w:rPr>
          <w:rFonts w:ascii="Times New Roman" w:eastAsia="Times New Roman" w:hAnsi="Times New Roman" w:cs="Times New Roman"/>
          <w:bCs/>
          <w:lang w:val="en-GB"/>
        </w:rPr>
      </w:pPr>
      <w:r w:rsidRPr="00DB3D90">
        <w:rPr>
          <w:rFonts w:ascii="Times New Roman" w:eastAsia="Times New Roman" w:hAnsi="Times New Roman" w:cs="Times New Roman"/>
          <w:b/>
          <w:lang w:val="en-GB"/>
        </w:rPr>
        <w:t xml:space="preserve">Table </w:t>
      </w:r>
      <w:r>
        <w:rPr>
          <w:rFonts w:ascii="Times New Roman" w:eastAsia="Times New Roman" w:hAnsi="Times New Roman" w:cs="Times New Roman"/>
          <w:b/>
          <w:lang w:val="en-GB"/>
        </w:rPr>
        <w:t>S1</w:t>
      </w:r>
      <w:r w:rsidRPr="00DB3D90">
        <w:rPr>
          <w:rFonts w:ascii="Times New Roman" w:eastAsia="Times New Roman" w:hAnsi="Times New Roman" w:cs="Times New Roman"/>
          <w:b/>
          <w:lang w:val="en-GB"/>
        </w:rPr>
        <w:t>.</w:t>
      </w:r>
      <w:r w:rsidRPr="00DB3D90">
        <w:rPr>
          <w:rFonts w:ascii="Times New Roman" w:eastAsia="Times New Roman" w:hAnsi="Times New Roman" w:cs="Times New Roman"/>
          <w:bCs/>
          <w:lang w:val="en-GB"/>
        </w:rPr>
        <w:t xml:space="preserve"> The measured </w:t>
      </w:r>
      <w:r>
        <w:rPr>
          <w:rFonts w:ascii="Times New Roman" w:eastAsia="Times New Roman" w:hAnsi="Times New Roman" w:cs="Times New Roman"/>
          <w:bCs/>
          <w:lang w:val="en-GB"/>
        </w:rPr>
        <w:t xml:space="preserve">Intrinsic </w:t>
      </w:r>
      <w:r w:rsidRPr="00DB3D90">
        <w:rPr>
          <w:rFonts w:ascii="Times New Roman" w:eastAsia="Times New Roman" w:hAnsi="Times New Roman" w:cs="Times New Roman"/>
          <w:bCs/>
          <w:lang w:val="en-GB"/>
        </w:rPr>
        <w:t>properties of the prepared and commercial FO membranes.</w:t>
      </w:r>
    </w:p>
    <w:tbl>
      <w:tblPr>
        <w:tblW w:w="8755" w:type="dxa"/>
        <w:jc w:val="center"/>
        <w:tblBorders>
          <w:top w:val="single" w:sz="4" w:space="0" w:color="auto"/>
          <w:bottom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20"/>
        <w:gridCol w:w="1849"/>
        <w:gridCol w:w="1559"/>
        <w:gridCol w:w="1701"/>
        <w:gridCol w:w="2126"/>
      </w:tblGrid>
      <w:tr w:rsidR="009D45FB" w:rsidRPr="00A825C1" w14:paraId="78E1E673" w14:textId="77777777" w:rsidTr="00826553">
        <w:trPr>
          <w:trHeight w:val="20"/>
          <w:jc w:val="center"/>
        </w:trPr>
        <w:tc>
          <w:tcPr>
            <w:tcW w:w="15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76BA9E3" w14:textId="77777777" w:rsidR="009D45FB" w:rsidRPr="00A825C1" w:rsidRDefault="009D45FB" w:rsidP="008265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</w:rPr>
            </w:pPr>
            <w:r w:rsidRPr="00A825C1"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</w:rPr>
              <w:t>Membrane Code</w:t>
            </w:r>
          </w:p>
        </w:tc>
        <w:tc>
          <w:tcPr>
            <w:tcW w:w="1849" w:type="dxa"/>
            <w:tcBorders>
              <w:top w:val="single" w:sz="4" w:space="0" w:color="auto"/>
              <w:bottom w:val="single" w:sz="4" w:space="0" w:color="auto"/>
            </w:tcBorders>
          </w:tcPr>
          <w:p w14:paraId="48611CF1" w14:textId="77777777" w:rsidR="009D45FB" w:rsidRPr="00A825C1" w:rsidRDefault="009D45FB" w:rsidP="008265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</w:rPr>
            </w:pPr>
            <w:r w:rsidRPr="00A825C1">
              <w:rPr>
                <w:rFonts w:ascii="Times New Roman" w:eastAsia="Cambria" w:hAnsi="Times New Roman" w:cs="Times New Roman"/>
                <w:bCs/>
                <w:i/>
                <w:iCs/>
                <w:noProof/>
                <w:sz w:val="20"/>
                <w:szCs w:val="20"/>
                <w:vertAlign w:val="superscript"/>
                <w:lang w:val="en-GB" w:eastAsia="en-GB"/>
              </w:rPr>
              <w:t>a</w:t>
            </w:r>
            <w:r w:rsidRPr="00A825C1">
              <w:rPr>
                <w:rFonts w:ascii="Times New Roman" w:eastAsia="Cambria" w:hAnsi="Times New Roman" w:cs="Times New Roman"/>
                <w:bCs/>
                <w:i/>
                <w:iCs/>
                <w:noProof/>
                <w:sz w:val="20"/>
                <w:szCs w:val="20"/>
                <w:lang w:val="en-GB" w:eastAsia="en-GB"/>
              </w:rPr>
              <w:t>Pure water permeabiliy (A) L/m</w:t>
            </w:r>
            <w:r w:rsidRPr="00A825C1">
              <w:rPr>
                <w:rFonts w:ascii="Times New Roman" w:eastAsia="Cambria" w:hAnsi="Times New Roman" w:cs="Times New Roman"/>
                <w:bCs/>
                <w:i/>
                <w:iCs/>
                <w:noProof/>
                <w:sz w:val="20"/>
                <w:szCs w:val="20"/>
                <w:vertAlign w:val="superscript"/>
                <w:lang w:val="en-GB" w:eastAsia="en-GB"/>
              </w:rPr>
              <w:t>2</w:t>
            </w:r>
            <w:r w:rsidRPr="00A825C1">
              <w:rPr>
                <w:rFonts w:ascii="Times New Roman" w:eastAsia="Cambria" w:hAnsi="Times New Roman" w:cs="Times New Roman"/>
                <w:bCs/>
                <w:i/>
                <w:iCs/>
                <w:noProof/>
                <w:sz w:val="20"/>
                <w:szCs w:val="20"/>
                <w:lang w:val="en-GB" w:eastAsia="en-GB"/>
              </w:rPr>
              <w:t>h</w:t>
            </w:r>
            <w:r w:rsidRPr="00A825C1">
              <w:rPr>
                <w:rFonts w:ascii="Times New Roman" w:eastAsia="Cambria" w:hAnsi="Times New Roman" w:cs="Times New Roman"/>
                <w:bCs/>
                <w:i/>
                <w:iCs/>
                <w:noProof/>
                <w:sz w:val="20"/>
                <w:szCs w:val="20"/>
                <w:vertAlign w:val="superscript"/>
                <w:lang w:val="en-GB" w:eastAsia="en-GB"/>
              </w:rPr>
              <w:t>-1</w:t>
            </w:r>
            <w:r w:rsidRPr="00A825C1">
              <w:rPr>
                <w:rFonts w:ascii="Times New Roman" w:eastAsia="Cambria" w:hAnsi="Times New Roman" w:cs="Times New Roman"/>
                <w:bCs/>
                <w:i/>
                <w:iCs/>
                <w:noProof/>
                <w:sz w:val="20"/>
                <w:szCs w:val="20"/>
                <w:lang w:val="en-GB" w:eastAsia="en-GB"/>
              </w:rPr>
              <w:t>bar</w:t>
            </w:r>
            <w:r w:rsidRPr="00A825C1">
              <w:rPr>
                <w:rFonts w:ascii="Times New Roman" w:eastAsia="Cambria" w:hAnsi="Times New Roman" w:cs="Times New Roman"/>
                <w:bCs/>
                <w:i/>
                <w:iCs/>
                <w:noProof/>
                <w:sz w:val="20"/>
                <w:szCs w:val="20"/>
                <w:vertAlign w:val="superscript"/>
                <w:lang w:val="en-GB" w:eastAsia="en-GB"/>
              </w:rPr>
              <w:t>-</w:t>
            </w:r>
            <w:r w:rsidRPr="00A825C1">
              <w:rPr>
                <w:rFonts w:ascii="Times New Roman" w:eastAsia="Cambria" w:hAnsi="Times New Roman" w:cs="Times New Roman"/>
                <w:bCs/>
                <w:i/>
                <w:iCs/>
                <w:sz w:val="20"/>
                <w:szCs w:val="20"/>
                <w:lang w:val="en-GB" w:eastAsia="en-GB"/>
              </w:rPr>
              <w:t>)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50A01B39" w14:textId="77777777" w:rsidR="009D45FB" w:rsidRPr="00A825C1" w:rsidRDefault="009D45FB" w:rsidP="008265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</w:rPr>
            </w:pPr>
            <w:r w:rsidRPr="00A825C1">
              <w:rPr>
                <w:rFonts w:ascii="Times New Roman" w:eastAsia="Cambria" w:hAnsi="Times New Roman" w:cs="Times New Roman"/>
                <w:bCs/>
                <w:i/>
                <w:iCs/>
                <w:noProof/>
                <w:sz w:val="20"/>
                <w:szCs w:val="20"/>
                <w:lang w:val="en-GB" w:eastAsia="en-GB"/>
              </w:rPr>
              <w:t>NaCl rejection (%)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29413319" w14:textId="77777777" w:rsidR="009D45FB" w:rsidRPr="00A825C1" w:rsidRDefault="009D45FB" w:rsidP="008265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</w:rPr>
            </w:pPr>
            <w:r w:rsidRPr="00A825C1">
              <w:rPr>
                <w:rFonts w:ascii="Times New Roman" w:eastAsia="Cambria" w:hAnsi="Times New Roman" w:cs="Times New Roman"/>
                <w:bCs/>
                <w:i/>
                <w:iCs/>
                <w:noProof/>
                <w:sz w:val="20"/>
                <w:szCs w:val="20"/>
                <w:vertAlign w:val="superscript"/>
                <w:lang w:val="en-GB" w:eastAsia="en-GB"/>
              </w:rPr>
              <w:t>b</w:t>
            </w:r>
            <w:r w:rsidRPr="00A825C1">
              <w:rPr>
                <w:rFonts w:ascii="Times New Roman" w:eastAsia="Cambria" w:hAnsi="Times New Roman" w:cs="Times New Roman"/>
                <w:bCs/>
                <w:i/>
                <w:iCs/>
                <w:noProof/>
                <w:sz w:val="20"/>
                <w:szCs w:val="20"/>
                <w:lang w:val="en-GB" w:eastAsia="en-GB"/>
              </w:rPr>
              <w:t>Salt permeability B(10</w:t>
            </w:r>
            <w:r w:rsidRPr="00A825C1">
              <w:rPr>
                <w:rFonts w:ascii="Times New Roman" w:eastAsia="Cambria" w:hAnsi="Times New Roman" w:cs="Times New Roman"/>
                <w:bCs/>
                <w:i/>
                <w:iCs/>
                <w:noProof/>
                <w:sz w:val="20"/>
                <w:szCs w:val="20"/>
                <w:vertAlign w:val="superscript"/>
                <w:lang w:val="en-GB" w:eastAsia="en-GB"/>
              </w:rPr>
              <w:t>-8</w:t>
            </w:r>
            <w:r w:rsidRPr="00A825C1">
              <w:rPr>
                <w:rFonts w:ascii="Times New Roman" w:eastAsia="Cambria" w:hAnsi="Times New Roman" w:cs="Times New Roman"/>
                <w:bCs/>
                <w:i/>
                <w:iCs/>
                <w:noProof/>
                <w:sz w:val="20"/>
                <w:szCs w:val="20"/>
                <w:lang w:val="en-GB" w:eastAsia="en-GB"/>
              </w:rPr>
              <w:t>m/s)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14:paraId="4552144F" w14:textId="77777777" w:rsidR="009D45FB" w:rsidRPr="00A825C1" w:rsidRDefault="009D45FB" w:rsidP="008265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Cambria" w:hAnsi="Times New Roman" w:cs="Times New Roman"/>
                <w:bCs/>
                <w:i/>
                <w:iCs/>
                <w:noProof/>
                <w:sz w:val="20"/>
                <w:szCs w:val="20"/>
                <w:vertAlign w:val="superscript"/>
                <w:lang w:val="en-GB" w:eastAsia="en-GB"/>
              </w:rPr>
            </w:pPr>
            <w:r w:rsidRPr="00A825C1">
              <w:rPr>
                <w:rFonts w:ascii="Times New Roman" w:eastAsia="Cambria" w:hAnsi="Times New Roman" w:cs="Times New Roman"/>
                <w:bCs/>
                <w:i/>
                <w:iCs/>
                <w:noProof/>
                <w:sz w:val="20"/>
                <w:szCs w:val="20"/>
                <w:lang w:val="en-GB" w:eastAsia="en-GB"/>
              </w:rPr>
              <w:t>B/A (kPa)</w:t>
            </w:r>
          </w:p>
        </w:tc>
      </w:tr>
      <w:tr w:rsidR="009D45FB" w:rsidRPr="00A825C1" w14:paraId="3E4A9B6C" w14:textId="77777777" w:rsidTr="00826553">
        <w:trPr>
          <w:trHeight w:val="20"/>
          <w:jc w:val="center"/>
        </w:trPr>
        <w:tc>
          <w:tcPr>
            <w:tcW w:w="1520" w:type="dxa"/>
            <w:tcBorders>
              <w:top w:val="single" w:sz="4" w:space="0" w:color="auto"/>
            </w:tcBorders>
          </w:tcPr>
          <w:p w14:paraId="0D52BC1F" w14:textId="77777777" w:rsidR="009D45FB" w:rsidRPr="00A825C1" w:rsidRDefault="009D45FB" w:rsidP="008265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A825C1">
              <w:rPr>
                <w:rFonts w:ascii="Times New Roman" w:eastAsia="Cambria" w:hAnsi="Times New Roman" w:cs="Times New Roman"/>
                <w:bCs/>
                <w:noProof/>
                <w:color w:val="000000" w:themeColor="text1"/>
                <w:sz w:val="20"/>
                <w:szCs w:val="20"/>
                <w:lang w:val="en-GB" w:eastAsia="en-GB"/>
              </w:rPr>
              <w:t>M1</w:t>
            </w:r>
          </w:p>
        </w:tc>
        <w:tc>
          <w:tcPr>
            <w:tcW w:w="1849" w:type="dxa"/>
            <w:tcBorders>
              <w:top w:val="single" w:sz="4" w:space="0" w:color="auto"/>
            </w:tcBorders>
          </w:tcPr>
          <w:p w14:paraId="3A07ABEE" w14:textId="77777777" w:rsidR="009D45FB" w:rsidRPr="00A825C1" w:rsidRDefault="009D45FB" w:rsidP="008265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A825C1">
              <w:rPr>
                <w:rFonts w:ascii="Times New Roman" w:eastAsia="Cambria" w:hAnsi="Times New Roman" w:cs="Times New Roman"/>
                <w:bCs/>
                <w:noProof/>
                <w:color w:val="000000" w:themeColor="text1"/>
                <w:sz w:val="20"/>
                <w:szCs w:val="20"/>
                <w:lang w:val="en-GB" w:eastAsia="en-GB"/>
              </w:rPr>
              <w:t>2.8±0.08</w:t>
            </w:r>
          </w:p>
        </w:tc>
        <w:tc>
          <w:tcPr>
            <w:tcW w:w="1559" w:type="dxa"/>
            <w:tcBorders>
              <w:top w:val="single" w:sz="4" w:space="0" w:color="auto"/>
            </w:tcBorders>
          </w:tcPr>
          <w:p w14:paraId="535BABEA" w14:textId="77777777" w:rsidR="009D45FB" w:rsidRPr="00A825C1" w:rsidRDefault="009D45FB" w:rsidP="008265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A825C1">
              <w:rPr>
                <w:rFonts w:ascii="Times New Roman" w:eastAsia="Cambria" w:hAnsi="Times New Roman" w:cs="Times New Roman"/>
                <w:bCs/>
                <w:noProof/>
                <w:color w:val="000000" w:themeColor="text1"/>
                <w:sz w:val="20"/>
                <w:szCs w:val="20"/>
                <w:lang w:val="en-GB" w:eastAsia="en-GB"/>
              </w:rPr>
              <w:t>95.5±2.1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14:paraId="7EDF23C5" w14:textId="77777777" w:rsidR="009D45FB" w:rsidRPr="00A825C1" w:rsidRDefault="009D45FB" w:rsidP="008265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A825C1">
              <w:rPr>
                <w:rFonts w:ascii="Times New Roman" w:eastAsia="Cambria" w:hAnsi="Times New Roman" w:cs="Times New Roman"/>
                <w:bCs/>
                <w:noProof/>
                <w:color w:val="000000" w:themeColor="text1"/>
                <w:sz w:val="20"/>
                <w:szCs w:val="20"/>
                <w:lang w:val="en-GB" w:eastAsia="en-GB"/>
              </w:rPr>
              <w:t>7.2±0.23</w:t>
            </w:r>
          </w:p>
        </w:tc>
        <w:tc>
          <w:tcPr>
            <w:tcW w:w="2126" w:type="dxa"/>
            <w:tcBorders>
              <w:top w:val="single" w:sz="4" w:space="0" w:color="auto"/>
            </w:tcBorders>
          </w:tcPr>
          <w:p w14:paraId="516C2EC2" w14:textId="77777777" w:rsidR="009D45FB" w:rsidRPr="00A825C1" w:rsidRDefault="009D45FB" w:rsidP="008265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A825C1">
              <w:rPr>
                <w:rFonts w:ascii="Times New Roman" w:eastAsia="Cambria" w:hAnsi="Times New Roman" w:cs="Times New Roman"/>
                <w:bCs/>
                <w:noProof/>
                <w:color w:val="000000" w:themeColor="text1"/>
                <w:sz w:val="20"/>
                <w:szCs w:val="20"/>
                <w:lang w:val="en-GB" w:eastAsia="en-GB"/>
              </w:rPr>
              <w:t>12.15</w:t>
            </w:r>
          </w:p>
        </w:tc>
      </w:tr>
      <w:tr w:rsidR="009D45FB" w:rsidRPr="00A825C1" w14:paraId="099EA3F3" w14:textId="77777777" w:rsidTr="00826553">
        <w:trPr>
          <w:trHeight w:val="20"/>
          <w:jc w:val="center"/>
        </w:trPr>
        <w:tc>
          <w:tcPr>
            <w:tcW w:w="1520" w:type="dxa"/>
          </w:tcPr>
          <w:p w14:paraId="4F395AFF" w14:textId="77777777" w:rsidR="009D45FB" w:rsidRPr="00A825C1" w:rsidRDefault="009D45FB" w:rsidP="003E402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A825C1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  <w:t>M</w:t>
            </w:r>
            <w:r w:rsidR="003E402F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1849" w:type="dxa"/>
          </w:tcPr>
          <w:p w14:paraId="6664BD87" w14:textId="77777777" w:rsidR="009D45FB" w:rsidRPr="00A825C1" w:rsidRDefault="009D45FB" w:rsidP="008265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A825C1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  <w:t>3.2</w:t>
            </w:r>
            <w:r w:rsidRPr="00A825C1">
              <w:rPr>
                <w:rFonts w:ascii="Times New Roman" w:eastAsia="Cambria" w:hAnsi="Times New Roman" w:cs="Times New Roman"/>
                <w:bCs/>
                <w:noProof/>
                <w:color w:val="000000" w:themeColor="text1"/>
                <w:sz w:val="20"/>
                <w:szCs w:val="20"/>
                <w:lang w:val="en-GB" w:eastAsia="en-GB"/>
              </w:rPr>
              <w:t>±0.31</w:t>
            </w:r>
          </w:p>
        </w:tc>
        <w:tc>
          <w:tcPr>
            <w:tcW w:w="1559" w:type="dxa"/>
          </w:tcPr>
          <w:p w14:paraId="41C7DC87" w14:textId="77777777" w:rsidR="009D45FB" w:rsidRPr="00A825C1" w:rsidRDefault="009D45FB" w:rsidP="008265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A825C1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  <w:t>97.6</w:t>
            </w:r>
            <w:r w:rsidRPr="00A825C1">
              <w:rPr>
                <w:rFonts w:ascii="Times New Roman" w:eastAsia="Cambria" w:hAnsi="Times New Roman" w:cs="Times New Roman"/>
                <w:bCs/>
                <w:noProof/>
                <w:color w:val="000000" w:themeColor="text1"/>
                <w:sz w:val="20"/>
                <w:szCs w:val="20"/>
                <w:lang w:val="en-GB" w:eastAsia="en-GB"/>
              </w:rPr>
              <w:t>±0.8</w:t>
            </w:r>
          </w:p>
        </w:tc>
        <w:tc>
          <w:tcPr>
            <w:tcW w:w="1701" w:type="dxa"/>
          </w:tcPr>
          <w:p w14:paraId="2B6403E1" w14:textId="77777777" w:rsidR="009D45FB" w:rsidRPr="00A825C1" w:rsidRDefault="009D45FB" w:rsidP="008265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A825C1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  <w:t>6.8</w:t>
            </w:r>
            <w:r w:rsidRPr="00A825C1">
              <w:rPr>
                <w:rFonts w:ascii="Times New Roman" w:eastAsia="Cambria" w:hAnsi="Times New Roman" w:cs="Times New Roman"/>
                <w:bCs/>
                <w:noProof/>
                <w:color w:val="000000" w:themeColor="text1"/>
                <w:sz w:val="20"/>
                <w:szCs w:val="20"/>
                <w:lang w:val="en-GB" w:eastAsia="en-GB"/>
              </w:rPr>
              <w:t>±0.34</w:t>
            </w:r>
          </w:p>
        </w:tc>
        <w:tc>
          <w:tcPr>
            <w:tcW w:w="2126" w:type="dxa"/>
          </w:tcPr>
          <w:p w14:paraId="36F5AA9A" w14:textId="77777777" w:rsidR="009D45FB" w:rsidRPr="00A825C1" w:rsidRDefault="009D45FB" w:rsidP="008265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A825C1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  <w:t>10.2</w:t>
            </w:r>
          </w:p>
        </w:tc>
      </w:tr>
      <w:tr w:rsidR="009D45FB" w:rsidRPr="00A825C1" w14:paraId="13C3EA79" w14:textId="77777777" w:rsidTr="00826553">
        <w:trPr>
          <w:trHeight w:val="20"/>
          <w:jc w:val="center"/>
        </w:trPr>
        <w:tc>
          <w:tcPr>
            <w:tcW w:w="1520" w:type="dxa"/>
          </w:tcPr>
          <w:p w14:paraId="26045820" w14:textId="77777777" w:rsidR="009D45FB" w:rsidRPr="00A825C1" w:rsidRDefault="009D45FB" w:rsidP="003E402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A825C1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  <w:t>M</w:t>
            </w:r>
            <w:r w:rsidR="003E402F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1849" w:type="dxa"/>
          </w:tcPr>
          <w:p w14:paraId="0FB59BF8" w14:textId="77777777" w:rsidR="009D45FB" w:rsidRPr="00A825C1" w:rsidRDefault="009D45FB" w:rsidP="008265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A825C1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  <w:t>3.8</w:t>
            </w:r>
            <w:r w:rsidRPr="00A825C1">
              <w:rPr>
                <w:rFonts w:ascii="Times New Roman" w:eastAsia="Cambria" w:hAnsi="Times New Roman" w:cs="Times New Roman"/>
                <w:bCs/>
                <w:noProof/>
                <w:color w:val="000000" w:themeColor="text1"/>
                <w:sz w:val="20"/>
                <w:szCs w:val="20"/>
                <w:lang w:val="en-GB" w:eastAsia="en-GB"/>
              </w:rPr>
              <w:t>±0.22</w:t>
            </w:r>
          </w:p>
        </w:tc>
        <w:tc>
          <w:tcPr>
            <w:tcW w:w="1559" w:type="dxa"/>
          </w:tcPr>
          <w:p w14:paraId="452D327D" w14:textId="77777777" w:rsidR="009D45FB" w:rsidRPr="00A825C1" w:rsidRDefault="009D45FB" w:rsidP="008265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A825C1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  <w:t>98.9</w:t>
            </w:r>
            <w:r w:rsidRPr="00A825C1">
              <w:rPr>
                <w:rFonts w:ascii="Times New Roman" w:eastAsia="Cambria" w:hAnsi="Times New Roman" w:cs="Times New Roman"/>
                <w:bCs/>
                <w:noProof/>
                <w:color w:val="000000" w:themeColor="text1"/>
                <w:sz w:val="20"/>
                <w:szCs w:val="20"/>
                <w:lang w:val="en-GB" w:eastAsia="en-GB"/>
              </w:rPr>
              <w:t>±1.1</w:t>
            </w:r>
          </w:p>
        </w:tc>
        <w:tc>
          <w:tcPr>
            <w:tcW w:w="1701" w:type="dxa"/>
          </w:tcPr>
          <w:p w14:paraId="71F6C47E" w14:textId="77777777" w:rsidR="009D45FB" w:rsidRPr="00A825C1" w:rsidRDefault="009D45FB" w:rsidP="008265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A825C1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  <w:t>6.2</w:t>
            </w:r>
            <w:r w:rsidRPr="00A825C1">
              <w:rPr>
                <w:rFonts w:ascii="Times New Roman" w:eastAsia="Cambria" w:hAnsi="Times New Roman" w:cs="Times New Roman"/>
                <w:bCs/>
                <w:noProof/>
                <w:color w:val="000000" w:themeColor="text1"/>
                <w:sz w:val="20"/>
                <w:szCs w:val="20"/>
                <w:lang w:val="en-GB" w:eastAsia="en-GB"/>
              </w:rPr>
              <w:t>±0.11</w:t>
            </w:r>
          </w:p>
        </w:tc>
        <w:tc>
          <w:tcPr>
            <w:tcW w:w="2126" w:type="dxa"/>
          </w:tcPr>
          <w:p w14:paraId="22DD02DF" w14:textId="77777777" w:rsidR="009D45FB" w:rsidRPr="00A825C1" w:rsidRDefault="009D45FB" w:rsidP="008265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A825C1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  <w:t>8.9</w:t>
            </w:r>
          </w:p>
        </w:tc>
      </w:tr>
      <w:tr w:rsidR="009D45FB" w:rsidRPr="00A825C1" w14:paraId="323DE186" w14:textId="77777777" w:rsidTr="00826553">
        <w:trPr>
          <w:trHeight w:val="20"/>
          <w:jc w:val="center"/>
        </w:trPr>
        <w:tc>
          <w:tcPr>
            <w:tcW w:w="1520" w:type="dxa"/>
          </w:tcPr>
          <w:p w14:paraId="5E06E60B" w14:textId="77777777" w:rsidR="009D45FB" w:rsidRPr="00A825C1" w:rsidRDefault="009D45FB" w:rsidP="003E402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A825C1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  <w:t>M</w:t>
            </w:r>
            <w:r w:rsidR="003E402F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  <w:t>4</w:t>
            </w:r>
          </w:p>
        </w:tc>
        <w:tc>
          <w:tcPr>
            <w:tcW w:w="1849" w:type="dxa"/>
          </w:tcPr>
          <w:p w14:paraId="49B415C7" w14:textId="77777777" w:rsidR="009D45FB" w:rsidRPr="00A825C1" w:rsidRDefault="009D45FB" w:rsidP="008265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A825C1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  <w:t>3.9</w:t>
            </w:r>
            <w:r w:rsidRPr="00A825C1">
              <w:rPr>
                <w:rFonts w:ascii="Times New Roman" w:eastAsia="Cambria" w:hAnsi="Times New Roman" w:cs="Times New Roman"/>
                <w:bCs/>
                <w:noProof/>
                <w:color w:val="000000" w:themeColor="text1"/>
                <w:sz w:val="20"/>
                <w:szCs w:val="20"/>
                <w:lang w:val="en-GB" w:eastAsia="en-GB"/>
              </w:rPr>
              <w:t>±0.10</w:t>
            </w:r>
          </w:p>
        </w:tc>
        <w:tc>
          <w:tcPr>
            <w:tcW w:w="1559" w:type="dxa"/>
          </w:tcPr>
          <w:p w14:paraId="1CB44EB5" w14:textId="77777777" w:rsidR="009D45FB" w:rsidRPr="00A825C1" w:rsidRDefault="009D45FB" w:rsidP="008265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A825C1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  <w:t>98.0</w:t>
            </w:r>
            <w:r w:rsidRPr="00A825C1">
              <w:rPr>
                <w:rFonts w:ascii="Times New Roman" w:eastAsia="Cambria" w:hAnsi="Times New Roman" w:cs="Times New Roman"/>
                <w:bCs/>
                <w:noProof/>
                <w:color w:val="000000" w:themeColor="text1"/>
                <w:sz w:val="20"/>
                <w:szCs w:val="20"/>
                <w:lang w:val="en-GB" w:eastAsia="en-GB"/>
              </w:rPr>
              <w:t>±0.9</w:t>
            </w:r>
          </w:p>
        </w:tc>
        <w:tc>
          <w:tcPr>
            <w:tcW w:w="1701" w:type="dxa"/>
          </w:tcPr>
          <w:p w14:paraId="4C3C404F" w14:textId="77777777" w:rsidR="009D45FB" w:rsidRPr="00A825C1" w:rsidRDefault="009D45FB" w:rsidP="008265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A825C1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  <w:t>7.0</w:t>
            </w:r>
            <w:r w:rsidRPr="00A825C1">
              <w:rPr>
                <w:rFonts w:ascii="Times New Roman" w:eastAsia="Cambria" w:hAnsi="Times New Roman" w:cs="Times New Roman"/>
                <w:bCs/>
                <w:noProof/>
                <w:color w:val="000000" w:themeColor="text1"/>
                <w:sz w:val="20"/>
                <w:szCs w:val="20"/>
                <w:lang w:val="en-GB" w:eastAsia="en-GB"/>
              </w:rPr>
              <w:t>±0.23</w:t>
            </w:r>
          </w:p>
        </w:tc>
        <w:tc>
          <w:tcPr>
            <w:tcW w:w="2126" w:type="dxa"/>
          </w:tcPr>
          <w:p w14:paraId="3E7BE646" w14:textId="77777777" w:rsidR="009D45FB" w:rsidRPr="00A825C1" w:rsidRDefault="009D45FB" w:rsidP="008265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A825C1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  <w:t>9.8</w:t>
            </w:r>
          </w:p>
        </w:tc>
      </w:tr>
      <w:tr w:rsidR="009D45FB" w:rsidRPr="00A825C1" w14:paraId="6CF1F442" w14:textId="77777777" w:rsidTr="00826553">
        <w:trPr>
          <w:trHeight w:val="20"/>
          <w:jc w:val="center"/>
        </w:trPr>
        <w:tc>
          <w:tcPr>
            <w:tcW w:w="1520" w:type="dxa"/>
          </w:tcPr>
          <w:p w14:paraId="0B01A035" w14:textId="77777777" w:rsidR="009D45FB" w:rsidRPr="00A825C1" w:rsidRDefault="009D45FB" w:rsidP="008265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iCs/>
                <w:color w:val="000000" w:themeColor="text1"/>
                <w:sz w:val="20"/>
                <w:szCs w:val="20"/>
              </w:rPr>
            </w:pPr>
            <w:r w:rsidRPr="00A825C1">
              <w:rPr>
                <w:rFonts w:ascii="Times New Roman" w:eastAsia="Cambria" w:hAnsi="Times New Roman" w:cs="Times New Roman"/>
                <w:bCs/>
                <w:i/>
                <w:iCs/>
                <w:noProof/>
                <w:color w:val="000000" w:themeColor="text1"/>
                <w:sz w:val="20"/>
                <w:szCs w:val="20"/>
                <w:lang w:val="en-GB" w:eastAsia="en-GB"/>
              </w:rPr>
              <w:t>HTI</w:t>
            </w:r>
          </w:p>
        </w:tc>
        <w:tc>
          <w:tcPr>
            <w:tcW w:w="1849" w:type="dxa"/>
          </w:tcPr>
          <w:p w14:paraId="586BD284" w14:textId="77777777" w:rsidR="009D45FB" w:rsidRPr="00A825C1" w:rsidRDefault="009D45FB" w:rsidP="008265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iCs/>
                <w:color w:val="000000" w:themeColor="text1"/>
                <w:sz w:val="20"/>
                <w:szCs w:val="20"/>
              </w:rPr>
            </w:pPr>
            <w:r w:rsidRPr="00A825C1">
              <w:rPr>
                <w:rFonts w:ascii="Times New Roman" w:eastAsia="Cambria" w:hAnsi="Times New Roman" w:cs="Times New Roman"/>
                <w:bCs/>
                <w:i/>
                <w:iCs/>
                <w:noProof/>
                <w:color w:val="000000" w:themeColor="text1"/>
                <w:sz w:val="20"/>
                <w:szCs w:val="20"/>
                <w:lang w:val="en-GB" w:eastAsia="en-GB"/>
              </w:rPr>
              <w:t>1.1±0.23</w:t>
            </w:r>
          </w:p>
        </w:tc>
        <w:tc>
          <w:tcPr>
            <w:tcW w:w="1559" w:type="dxa"/>
          </w:tcPr>
          <w:p w14:paraId="3B77F3CF" w14:textId="77777777" w:rsidR="009D45FB" w:rsidRPr="00A825C1" w:rsidRDefault="009D45FB" w:rsidP="008265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iCs/>
                <w:color w:val="000000" w:themeColor="text1"/>
                <w:sz w:val="20"/>
                <w:szCs w:val="20"/>
              </w:rPr>
            </w:pPr>
            <w:r w:rsidRPr="00A825C1">
              <w:rPr>
                <w:rFonts w:ascii="Times New Roman" w:eastAsia="Cambria" w:hAnsi="Times New Roman" w:cs="Times New Roman"/>
                <w:bCs/>
                <w:i/>
                <w:iCs/>
                <w:noProof/>
                <w:color w:val="000000" w:themeColor="text1"/>
                <w:sz w:val="20"/>
                <w:szCs w:val="20"/>
                <w:lang w:val="en-GB" w:eastAsia="en-GB"/>
              </w:rPr>
              <w:t>86.0±1.6</w:t>
            </w:r>
          </w:p>
        </w:tc>
        <w:tc>
          <w:tcPr>
            <w:tcW w:w="1701" w:type="dxa"/>
          </w:tcPr>
          <w:p w14:paraId="03D12E96" w14:textId="77777777" w:rsidR="009D45FB" w:rsidRPr="00A825C1" w:rsidRDefault="009D45FB" w:rsidP="008265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iCs/>
                <w:color w:val="000000" w:themeColor="text1"/>
                <w:sz w:val="20"/>
                <w:szCs w:val="20"/>
              </w:rPr>
            </w:pPr>
            <w:r w:rsidRPr="00A825C1">
              <w:rPr>
                <w:rFonts w:ascii="Times New Roman" w:eastAsia="Cambria" w:hAnsi="Times New Roman" w:cs="Times New Roman"/>
                <w:bCs/>
                <w:i/>
                <w:iCs/>
                <w:noProof/>
                <w:color w:val="000000" w:themeColor="text1"/>
                <w:sz w:val="20"/>
                <w:szCs w:val="20"/>
                <w:lang w:val="en-GB" w:eastAsia="en-GB"/>
              </w:rPr>
              <w:t>12±3.10</w:t>
            </w:r>
          </w:p>
        </w:tc>
        <w:tc>
          <w:tcPr>
            <w:tcW w:w="2126" w:type="dxa"/>
          </w:tcPr>
          <w:p w14:paraId="0AF4D091" w14:textId="77777777" w:rsidR="009D45FB" w:rsidRPr="00A825C1" w:rsidRDefault="009D45FB" w:rsidP="008265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iCs/>
                <w:color w:val="000000" w:themeColor="text1"/>
                <w:sz w:val="20"/>
                <w:szCs w:val="20"/>
              </w:rPr>
            </w:pPr>
            <w:r w:rsidRPr="00A825C1">
              <w:rPr>
                <w:rFonts w:ascii="Times New Roman" w:eastAsia="Cambria" w:hAnsi="Times New Roman" w:cs="Times New Roman"/>
                <w:bCs/>
                <w:i/>
                <w:iCs/>
                <w:noProof/>
                <w:color w:val="000000" w:themeColor="text1"/>
                <w:sz w:val="20"/>
                <w:szCs w:val="20"/>
                <w:lang w:val="en-GB" w:eastAsia="en-GB"/>
              </w:rPr>
              <w:t>32.0</w:t>
            </w:r>
          </w:p>
        </w:tc>
      </w:tr>
      <w:tr w:rsidR="009D45FB" w:rsidRPr="00902237" w14:paraId="22C62468" w14:textId="77777777" w:rsidTr="00826553">
        <w:trPr>
          <w:trHeight w:val="20"/>
          <w:jc w:val="center"/>
        </w:trPr>
        <w:tc>
          <w:tcPr>
            <w:tcW w:w="1520" w:type="dxa"/>
          </w:tcPr>
          <w:p w14:paraId="193480EA" w14:textId="77777777" w:rsidR="009D45FB" w:rsidRPr="00A825C1" w:rsidRDefault="009D45FB" w:rsidP="008265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iCs/>
                <w:color w:val="000000" w:themeColor="text1"/>
                <w:sz w:val="20"/>
                <w:szCs w:val="20"/>
              </w:rPr>
            </w:pPr>
            <w:r w:rsidRPr="00A825C1">
              <w:rPr>
                <w:rFonts w:ascii="Times New Roman" w:eastAsia="Cambria" w:hAnsi="Times New Roman" w:cs="Times New Roman"/>
                <w:bCs/>
                <w:i/>
                <w:iCs/>
                <w:noProof/>
                <w:color w:val="000000" w:themeColor="text1"/>
                <w:sz w:val="20"/>
                <w:szCs w:val="20"/>
                <w:lang w:val="en-GB" w:eastAsia="en-GB"/>
              </w:rPr>
              <w:t>FTSI</w:t>
            </w:r>
          </w:p>
        </w:tc>
        <w:tc>
          <w:tcPr>
            <w:tcW w:w="1849" w:type="dxa"/>
          </w:tcPr>
          <w:p w14:paraId="0E424B15" w14:textId="77777777" w:rsidR="009D45FB" w:rsidRPr="00A825C1" w:rsidRDefault="009D45FB" w:rsidP="008265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iCs/>
                <w:color w:val="000000" w:themeColor="text1"/>
                <w:sz w:val="20"/>
                <w:szCs w:val="20"/>
              </w:rPr>
            </w:pPr>
            <w:r w:rsidRPr="00A825C1">
              <w:rPr>
                <w:rFonts w:ascii="Times New Roman" w:eastAsia="Cambria" w:hAnsi="Times New Roman" w:cs="Times New Roman"/>
                <w:bCs/>
                <w:i/>
                <w:iCs/>
                <w:noProof/>
                <w:color w:val="000000" w:themeColor="text1"/>
                <w:sz w:val="20"/>
                <w:szCs w:val="20"/>
                <w:lang w:val="en-GB" w:eastAsia="en-GB"/>
              </w:rPr>
              <w:t>0.86±0.14</w:t>
            </w:r>
          </w:p>
        </w:tc>
        <w:tc>
          <w:tcPr>
            <w:tcW w:w="1559" w:type="dxa"/>
          </w:tcPr>
          <w:p w14:paraId="20470F57" w14:textId="77777777" w:rsidR="009D45FB" w:rsidRPr="00A825C1" w:rsidRDefault="009D45FB" w:rsidP="008265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iCs/>
                <w:color w:val="000000" w:themeColor="text1"/>
                <w:sz w:val="20"/>
                <w:szCs w:val="20"/>
              </w:rPr>
            </w:pPr>
            <w:r w:rsidRPr="00A825C1">
              <w:rPr>
                <w:rFonts w:ascii="Times New Roman" w:eastAsia="Cambria" w:hAnsi="Times New Roman" w:cs="Times New Roman"/>
                <w:bCs/>
                <w:i/>
                <w:iCs/>
                <w:noProof/>
                <w:color w:val="000000" w:themeColor="text1"/>
                <w:sz w:val="20"/>
                <w:szCs w:val="20"/>
                <w:lang w:val="en-GB" w:eastAsia="en-GB"/>
              </w:rPr>
              <w:t>90.2±0.2</w:t>
            </w:r>
          </w:p>
        </w:tc>
        <w:tc>
          <w:tcPr>
            <w:tcW w:w="1701" w:type="dxa"/>
          </w:tcPr>
          <w:p w14:paraId="6124449C" w14:textId="77777777" w:rsidR="009D45FB" w:rsidRPr="00A825C1" w:rsidRDefault="009D45FB" w:rsidP="008265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iCs/>
                <w:color w:val="000000" w:themeColor="text1"/>
                <w:sz w:val="20"/>
                <w:szCs w:val="20"/>
              </w:rPr>
            </w:pPr>
            <w:r w:rsidRPr="00A825C1">
              <w:rPr>
                <w:rFonts w:ascii="Times New Roman" w:eastAsia="Cambria" w:hAnsi="Times New Roman" w:cs="Times New Roman"/>
                <w:bCs/>
                <w:i/>
                <w:iCs/>
                <w:noProof/>
                <w:color w:val="000000" w:themeColor="text1"/>
                <w:sz w:val="20"/>
                <w:szCs w:val="20"/>
                <w:lang w:val="en-GB" w:eastAsia="en-GB"/>
              </w:rPr>
              <w:t>9.2±2.0</w:t>
            </w:r>
          </w:p>
        </w:tc>
        <w:tc>
          <w:tcPr>
            <w:tcW w:w="2126" w:type="dxa"/>
          </w:tcPr>
          <w:p w14:paraId="476903DE" w14:textId="77777777" w:rsidR="009D45FB" w:rsidRPr="00902237" w:rsidRDefault="009D45FB" w:rsidP="008265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iCs/>
                <w:color w:val="000000" w:themeColor="text1"/>
                <w:sz w:val="20"/>
                <w:szCs w:val="20"/>
              </w:rPr>
            </w:pPr>
            <w:r w:rsidRPr="00A825C1">
              <w:rPr>
                <w:rFonts w:ascii="Times New Roman" w:eastAsia="Cambria" w:hAnsi="Times New Roman" w:cs="Times New Roman"/>
                <w:bCs/>
                <w:i/>
                <w:iCs/>
                <w:noProof/>
                <w:color w:val="000000" w:themeColor="text1"/>
                <w:sz w:val="20"/>
                <w:szCs w:val="20"/>
                <w:lang w:val="en-GB" w:eastAsia="en-GB"/>
              </w:rPr>
              <w:t>18.3</w:t>
            </w:r>
          </w:p>
        </w:tc>
      </w:tr>
    </w:tbl>
    <w:p w14:paraId="266F6B92" w14:textId="77777777" w:rsidR="009D45FB" w:rsidRPr="00A73E59" w:rsidRDefault="009D45FB" w:rsidP="009D45FB">
      <w:pPr>
        <w:spacing w:line="276" w:lineRule="auto"/>
        <w:jc w:val="both"/>
        <w:rPr>
          <w:rFonts w:asciiTheme="majorBidi" w:eastAsia="Times New Roman" w:hAnsiTheme="majorBidi" w:cstheme="majorBidi"/>
          <w:bCs/>
          <w:i/>
          <w:iCs/>
          <w:lang w:val="en-GB"/>
        </w:rPr>
      </w:pPr>
      <w:proofErr w:type="spellStart"/>
      <w:r w:rsidRPr="00A73E59">
        <w:rPr>
          <w:rFonts w:asciiTheme="majorBidi" w:eastAsia="Times New Roman" w:hAnsiTheme="majorBidi" w:cstheme="majorBidi"/>
          <w:bCs/>
          <w:i/>
          <w:iCs/>
          <w:vertAlign w:val="superscript"/>
          <w:lang w:val="en-GB"/>
        </w:rPr>
        <w:t>a</w:t>
      </w:r>
      <w:r w:rsidRPr="00A73E59">
        <w:rPr>
          <w:rFonts w:asciiTheme="majorBidi" w:eastAsia="Times New Roman" w:hAnsiTheme="majorBidi" w:cstheme="majorBidi"/>
          <w:bCs/>
          <w:i/>
          <w:iCs/>
          <w:lang w:val="en-GB"/>
        </w:rPr>
        <w:t>Evaluated</w:t>
      </w:r>
      <w:proofErr w:type="spellEnd"/>
      <w:r w:rsidRPr="00A73E59">
        <w:rPr>
          <w:rFonts w:asciiTheme="majorBidi" w:eastAsia="Times New Roman" w:hAnsiTheme="majorBidi" w:cstheme="majorBidi"/>
          <w:bCs/>
          <w:i/>
          <w:iCs/>
          <w:lang w:val="en-GB"/>
        </w:rPr>
        <w:t xml:space="preserve"> in the RO mode with pressure variations from 1 to 10 bar, employing deionized water as the feed.</w:t>
      </w:r>
    </w:p>
    <w:p w14:paraId="1B7E85F3" w14:textId="77777777" w:rsidR="009D45FB" w:rsidRPr="00A73E59" w:rsidRDefault="009D45FB" w:rsidP="009D45FB">
      <w:pPr>
        <w:spacing w:line="276" w:lineRule="auto"/>
        <w:jc w:val="both"/>
        <w:rPr>
          <w:rFonts w:asciiTheme="majorBidi" w:eastAsia="Times New Roman" w:hAnsiTheme="majorBidi" w:cstheme="majorBidi"/>
          <w:bCs/>
          <w:i/>
          <w:iCs/>
          <w:lang w:val="en-GB"/>
        </w:rPr>
      </w:pPr>
      <w:proofErr w:type="spellStart"/>
      <w:r w:rsidRPr="00A73E59">
        <w:rPr>
          <w:rFonts w:asciiTheme="majorBidi" w:eastAsia="Times New Roman" w:hAnsiTheme="majorBidi" w:cstheme="majorBidi"/>
          <w:bCs/>
          <w:i/>
          <w:iCs/>
          <w:vertAlign w:val="superscript"/>
          <w:lang w:val="en-GB"/>
        </w:rPr>
        <w:t>b</w:t>
      </w:r>
      <w:r w:rsidRPr="00A73E59">
        <w:rPr>
          <w:rFonts w:asciiTheme="majorBidi" w:eastAsia="Times New Roman" w:hAnsiTheme="majorBidi" w:cstheme="majorBidi"/>
          <w:bCs/>
          <w:i/>
          <w:iCs/>
          <w:lang w:val="en-GB"/>
        </w:rPr>
        <w:t>Experiments</w:t>
      </w:r>
      <w:proofErr w:type="spellEnd"/>
      <w:r w:rsidRPr="00A73E59">
        <w:rPr>
          <w:rFonts w:asciiTheme="majorBidi" w:eastAsia="Times New Roman" w:hAnsiTheme="majorBidi" w:cstheme="majorBidi"/>
          <w:bCs/>
          <w:i/>
          <w:iCs/>
          <w:lang w:val="en-GB"/>
        </w:rPr>
        <w:t xml:space="preserve"> were performed in the reverse osmosis testing mode, applying a pressure of 10 bar with a feed concentration of 10 g/L NaCl.</w:t>
      </w:r>
    </w:p>
    <w:p w14:paraId="5FE580CF" w14:textId="77777777" w:rsidR="009D45FB" w:rsidRPr="00A73E59" w:rsidRDefault="009D45FB" w:rsidP="009D45FB">
      <w:pPr>
        <w:spacing w:line="276" w:lineRule="auto"/>
        <w:jc w:val="both"/>
        <w:rPr>
          <w:rFonts w:asciiTheme="majorBidi" w:eastAsia="Times New Roman" w:hAnsiTheme="majorBidi" w:cstheme="majorBidi"/>
          <w:bCs/>
          <w:i/>
          <w:iCs/>
          <w:lang w:val="en-GB"/>
        </w:rPr>
      </w:pPr>
      <w:r w:rsidRPr="00A73E59">
        <w:rPr>
          <w:rFonts w:asciiTheme="majorBidi" w:eastAsia="Times New Roman" w:hAnsiTheme="majorBidi" w:cstheme="majorBidi"/>
          <w:bCs/>
          <w:i/>
          <w:iCs/>
          <w:lang w:val="en-GB"/>
        </w:rPr>
        <w:t>HTI and FTSI are the commercial FO membranes tested to determine their properties by maintaining the similar experimental conditions</w:t>
      </w:r>
    </w:p>
    <w:p w14:paraId="028B749F" w14:textId="77777777" w:rsidR="009D45FB" w:rsidRPr="00B02F26" w:rsidRDefault="009D45FB" w:rsidP="009D45FB">
      <w:pPr>
        <w:spacing w:line="276" w:lineRule="auto"/>
        <w:jc w:val="both"/>
        <w:rPr>
          <w:rFonts w:asciiTheme="majorBidi" w:eastAsia="Times New Roman" w:hAnsiTheme="majorBidi" w:cstheme="majorBidi"/>
          <w:bCs/>
          <w:color w:val="7030A0"/>
          <w:lang w:val="en-GB"/>
        </w:rPr>
      </w:pPr>
    </w:p>
    <w:sectPr w:rsidR="009D45FB" w:rsidRPr="00B02F26" w:rsidSect="00076F9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2360D"/>
    <w:rsid w:val="00076F98"/>
    <w:rsid w:val="00157E3D"/>
    <w:rsid w:val="002D0CD3"/>
    <w:rsid w:val="00322900"/>
    <w:rsid w:val="003E402F"/>
    <w:rsid w:val="007245A4"/>
    <w:rsid w:val="008B0260"/>
    <w:rsid w:val="009D45FB"/>
    <w:rsid w:val="00A557D0"/>
    <w:rsid w:val="00C2360D"/>
    <w:rsid w:val="00E866A6"/>
    <w:rsid w:val="00ED3A57"/>
    <w:rsid w:val="00F45B06"/>
    <w:rsid w:val="00FC6E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D57620"/>
  <w15:docId w15:val="{47A64277-9296-4DEF-819F-47A095E7E8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D45FB"/>
    <w:pPr>
      <w:spacing w:after="0" w:line="240" w:lineRule="auto"/>
    </w:pPr>
    <w:rPr>
      <w:rFonts w:ascii="Calibri" w:eastAsia="Calibri" w:hAnsi="Calibri" w:cs="Arial"/>
      <w:sz w:val="24"/>
      <w:szCs w:val="24"/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C2360D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  <w:lang w:val="en-GB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2360D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en-GB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2360D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  <w:lang w:val="en-GB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2360D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sz w:val="22"/>
      <w:szCs w:val="22"/>
      <w:lang w:val="en-GB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2360D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sz w:val="22"/>
      <w:szCs w:val="22"/>
      <w:lang w:val="en-GB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2360D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sz w:val="22"/>
      <w:szCs w:val="22"/>
      <w:lang w:val="en-GB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2360D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sz w:val="22"/>
      <w:szCs w:val="22"/>
      <w:lang w:val="en-GB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2360D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sz w:val="22"/>
      <w:szCs w:val="22"/>
      <w:lang w:val="en-GB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2360D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sz w:val="22"/>
      <w:szCs w:val="22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2360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2360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2360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2360D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2360D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2360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2360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2360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2360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2360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GB"/>
    </w:rPr>
  </w:style>
  <w:style w:type="character" w:customStyle="1" w:styleId="TitleChar">
    <w:name w:val="Title Char"/>
    <w:basedOn w:val="DefaultParagraphFont"/>
    <w:link w:val="Title"/>
    <w:uiPriority w:val="10"/>
    <w:rsid w:val="00C2360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2360D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  <w:lang w:val="en-GB"/>
    </w:rPr>
  </w:style>
  <w:style w:type="character" w:customStyle="1" w:styleId="SubtitleChar">
    <w:name w:val="Subtitle Char"/>
    <w:basedOn w:val="DefaultParagraphFont"/>
    <w:link w:val="Subtitle"/>
    <w:uiPriority w:val="11"/>
    <w:rsid w:val="00C2360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2360D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sz w:val="22"/>
      <w:szCs w:val="22"/>
      <w:lang w:val="en-GB"/>
    </w:rPr>
  </w:style>
  <w:style w:type="character" w:customStyle="1" w:styleId="QuoteChar">
    <w:name w:val="Quote Char"/>
    <w:basedOn w:val="DefaultParagraphFont"/>
    <w:link w:val="Quote"/>
    <w:uiPriority w:val="29"/>
    <w:rsid w:val="00C2360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2360D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val="en-GB"/>
    </w:rPr>
  </w:style>
  <w:style w:type="character" w:styleId="IntenseEmphasis">
    <w:name w:val="Intense Emphasis"/>
    <w:basedOn w:val="DefaultParagraphFont"/>
    <w:uiPriority w:val="21"/>
    <w:qFormat/>
    <w:rsid w:val="00C2360D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2360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sz w:val="22"/>
      <w:szCs w:val="22"/>
      <w:lang w:val="en-GB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2360D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2360D"/>
    <w:rPr>
      <w:b/>
      <w:bCs/>
      <w:smallCaps/>
      <w:color w:val="2F5496" w:themeColor="accent1" w:themeShade="BF"/>
      <w:spacing w:val="5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557D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557D0"/>
    <w:rPr>
      <w:rFonts w:ascii="Tahoma" w:eastAsia="Calibri" w:hAnsi="Tahoma" w:cs="Tahoma"/>
      <w:sz w:val="16"/>
      <w:szCs w:val="16"/>
      <w:lang w:val="en-US"/>
    </w:rPr>
  </w:style>
  <w:style w:type="character" w:styleId="Hyperlink">
    <w:name w:val="Hyperlink"/>
    <w:uiPriority w:val="99"/>
    <w:unhideWhenUsed/>
    <w:rsid w:val="00A557D0"/>
    <w:rPr>
      <w:strike w:val="0"/>
      <w:dstrike w:val="0"/>
      <w:color w:val="0088CC"/>
      <w:u w:val="none"/>
      <w:effect w:val="none"/>
      <w:shd w:val="clear" w:color="auto" w:fil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chart" Target="charts/chart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hart" Target="charts/chart2.xml"/><Relationship Id="rId5" Type="http://schemas.openxmlformats.org/officeDocument/2006/relationships/chart" Target="charts/chart1.xml"/><Relationship Id="rId4" Type="http://schemas.openxmlformats.org/officeDocument/2006/relationships/hyperlink" Target="mailto:ralambi@kisr.edu.kw" TargetMode="External"/><Relationship Id="rId9" Type="http://schemas.openxmlformats.org/officeDocument/2006/relationships/theme" Target="theme/theme1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file:///F:\FR-WT080C\Journal%20paper-2026-27\Preliminary%20expt%20plots\experimetal%20plots%20final.xlsx" TargetMode="External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oleObject" Target="file:///F:\FR-WT080C\Journal%20paper-2026-27\Preliminary%20expt%20plots\experimetal%20plots%20final.xlsx" TargetMode="External"/></Relationships>
</file>

<file path=word/charts/_rels/chart3.xml.rels><?xml version="1.0" encoding="UTF-8" standalone="yes"?>
<Relationships xmlns="http://schemas.openxmlformats.org/package/2006/relationships"><Relationship Id="rId1" Type="http://schemas.openxmlformats.org/officeDocument/2006/relationships/oleObject" Target="file:///F:\FR-WT080C\Journal%20paper-2026-27\Preliminary%20expt%20plots\experimetal%20plots%20final.xlsx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GB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0.17842502696871618"/>
          <c:y val="5.8196098800993287E-2"/>
          <c:w val="0.69654800431499464"/>
          <c:h val="0.69296141173842629"/>
        </c:manualLayout>
      </c:layout>
      <c:lineChart>
        <c:grouping val="standard"/>
        <c:varyColors val="0"/>
        <c:ser>
          <c:idx val="0"/>
          <c:order val="0"/>
          <c:tx>
            <c:strRef>
              <c:f>'1 Al-Fumerate'!$C$7</c:f>
              <c:strCache>
                <c:ptCount val="1"/>
                <c:pt idx="0">
                  <c:v>Flux (FO)</c:v>
                </c:pt>
              </c:strCache>
            </c:strRef>
          </c:tx>
          <c:spPr>
            <a:ln w="19050" cap="rnd">
              <a:solidFill>
                <a:schemeClr val="tx1"/>
              </a:solidFill>
              <a:round/>
            </a:ln>
            <a:effectLst/>
          </c:spPr>
          <c:marker>
            <c:symbol val="triangle"/>
            <c:size val="5"/>
            <c:spPr>
              <a:solidFill>
                <a:schemeClr val="tx1"/>
              </a:solidFill>
              <a:ln w="9525">
                <a:solidFill>
                  <a:schemeClr val="bg1"/>
                </a:solidFill>
              </a:ln>
              <a:effectLst/>
            </c:spPr>
          </c:marker>
          <c:errBars>
            <c:errDir val="y"/>
            <c:errBarType val="both"/>
            <c:errValType val="cust"/>
            <c:noEndCap val="0"/>
            <c:plus>
              <c:numRef>
                <c:f>'1 Al-Fumerate'!$D$8:$D$13</c:f>
                <c:numCache>
                  <c:formatCode>General</c:formatCode>
                  <c:ptCount val="6"/>
                  <c:pt idx="0">
                    <c:v>1.3</c:v>
                  </c:pt>
                  <c:pt idx="1">
                    <c:v>1.8</c:v>
                  </c:pt>
                  <c:pt idx="2">
                    <c:v>1.8</c:v>
                  </c:pt>
                  <c:pt idx="3">
                    <c:v>1.5</c:v>
                  </c:pt>
                  <c:pt idx="4">
                    <c:v>1.23</c:v>
                  </c:pt>
                  <c:pt idx="5">
                    <c:v>1.3</c:v>
                  </c:pt>
                </c:numCache>
              </c:numRef>
            </c:plus>
            <c:minus>
              <c:numRef>
                <c:f>'1 Al-Fumerate'!$D$8:$D$13</c:f>
                <c:numCache>
                  <c:formatCode>General</c:formatCode>
                  <c:ptCount val="6"/>
                  <c:pt idx="0">
                    <c:v>1.3</c:v>
                  </c:pt>
                  <c:pt idx="1">
                    <c:v>1.8</c:v>
                  </c:pt>
                  <c:pt idx="2">
                    <c:v>1.8</c:v>
                  </c:pt>
                  <c:pt idx="3">
                    <c:v>1.5</c:v>
                  </c:pt>
                  <c:pt idx="4">
                    <c:v>1.23</c:v>
                  </c:pt>
                  <c:pt idx="5">
                    <c:v>1.3</c:v>
                  </c:pt>
                </c:numCache>
              </c:numRef>
            </c:minus>
            <c:spPr>
              <a:noFill/>
              <a:ln w="9525" cap="flat" cmpd="sng" algn="ctr">
                <a:solidFill>
                  <a:schemeClr val="tx1">
                    <a:lumMod val="65000"/>
                    <a:lumOff val="35000"/>
                  </a:schemeClr>
                </a:solidFill>
                <a:round/>
              </a:ln>
              <a:effectLst/>
            </c:spPr>
          </c:errBars>
          <c:cat>
            <c:strRef>
              <c:f>'1 Al-Fumerate'!$B$8:$B$13</c:f>
              <c:strCache>
                <c:ptCount val="6"/>
                <c:pt idx="0">
                  <c:v>M1</c:v>
                </c:pt>
                <c:pt idx="1">
                  <c:v>M2</c:v>
                </c:pt>
                <c:pt idx="2">
                  <c:v>M3</c:v>
                </c:pt>
                <c:pt idx="3">
                  <c:v>M4</c:v>
                </c:pt>
                <c:pt idx="4">
                  <c:v>HTI</c:v>
                </c:pt>
                <c:pt idx="5">
                  <c:v>FTSI</c:v>
                </c:pt>
              </c:strCache>
            </c:strRef>
          </c:cat>
          <c:val>
            <c:numRef>
              <c:f>'1 Al-Fumerate'!$C$8:$C$13</c:f>
              <c:numCache>
                <c:formatCode>General</c:formatCode>
                <c:ptCount val="6"/>
                <c:pt idx="0">
                  <c:v>10.8</c:v>
                </c:pt>
                <c:pt idx="1">
                  <c:v>16.2</c:v>
                </c:pt>
                <c:pt idx="2">
                  <c:v>23.7</c:v>
                </c:pt>
                <c:pt idx="3">
                  <c:v>33.1</c:v>
                </c:pt>
                <c:pt idx="4">
                  <c:v>13.5</c:v>
                </c:pt>
                <c:pt idx="5">
                  <c:v>11.3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0-B4BF-48FD-8D49-F0DF9057C2A3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114401280"/>
        <c:axId val="114403200"/>
      </c:lineChart>
      <c:lineChart>
        <c:grouping val="standard"/>
        <c:varyColors val="0"/>
        <c:ser>
          <c:idx val="1"/>
          <c:order val="1"/>
          <c:tx>
            <c:strRef>
              <c:f>'1 Al-Fumerate'!$E$7</c:f>
              <c:strCache>
                <c:ptCount val="1"/>
                <c:pt idx="0">
                  <c:v>RSF (FO)</c:v>
                </c:pt>
              </c:strCache>
            </c:strRef>
          </c:tx>
          <c:spPr>
            <a:ln w="19050" cap="rnd">
              <a:solidFill>
                <a:schemeClr val="tx1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chemeClr val="tx1"/>
              </a:solidFill>
              <a:ln w="9525">
                <a:solidFill>
                  <a:schemeClr val="bg1"/>
                </a:solidFill>
              </a:ln>
              <a:effectLst/>
            </c:spPr>
          </c:marker>
          <c:errBars>
            <c:errDir val="y"/>
            <c:errBarType val="both"/>
            <c:errValType val="cust"/>
            <c:noEndCap val="0"/>
            <c:plus>
              <c:numRef>
                <c:f>'1 Al-Fumerate'!$F$8:$F$13</c:f>
                <c:numCache>
                  <c:formatCode>General</c:formatCode>
                  <c:ptCount val="6"/>
                  <c:pt idx="0">
                    <c:v>0.18</c:v>
                  </c:pt>
                  <c:pt idx="1">
                    <c:v>0.33</c:v>
                  </c:pt>
                  <c:pt idx="2">
                    <c:v>0.3</c:v>
                  </c:pt>
                  <c:pt idx="3">
                    <c:v>0.28000000000000003</c:v>
                  </c:pt>
                  <c:pt idx="4">
                    <c:v>0.26</c:v>
                  </c:pt>
                  <c:pt idx="5">
                    <c:v>0.15</c:v>
                  </c:pt>
                </c:numCache>
              </c:numRef>
            </c:plus>
            <c:minus>
              <c:numRef>
                <c:f>'1 Al-Fumerate'!$F$8:$F$13</c:f>
                <c:numCache>
                  <c:formatCode>General</c:formatCode>
                  <c:ptCount val="6"/>
                  <c:pt idx="0">
                    <c:v>0.18</c:v>
                  </c:pt>
                  <c:pt idx="1">
                    <c:v>0.33</c:v>
                  </c:pt>
                  <c:pt idx="2">
                    <c:v>0.3</c:v>
                  </c:pt>
                  <c:pt idx="3">
                    <c:v>0.28000000000000003</c:v>
                  </c:pt>
                  <c:pt idx="4">
                    <c:v>0.26</c:v>
                  </c:pt>
                  <c:pt idx="5">
                    <c:v>0.15</c:v>
                  </c:pt>
                </c:numCache>
              </c:numRef>
            </c:minus>
            <c:spPr>
              <a:noFill/>
              <a:ln w="9525" cap="flat" cmpd="sng" algn="ctr">
                <a:solidFill>
                  <a:schemeClr val="tx1">
                    <a:lumMod val="65000"/>
                    <a:lumOff val="35000"/>
                  </a:schemeClr>
                </a:solidFill>
                <a:round/>
              </a:ln>
              <a:effectLst/>
            </c:spPr>
          </c:errBars>
          <c:cat>
            <c:strRef>
              <c:f>'1 Al-Fumerate'!$B$8:$B$13</c:f>
              <c:strCache>
                <c:ptCount val="6"/>
                <c:pt idx="0">
                  <c:v>M1</c:v>
                </c:pt>
                <c:pt idx="1">
                  <c:v>M2</c:v>
                </c:pt>
                <c:pt idx="2">
                  <c:v>M3</c:v>
                </c:pt>
                <c:pt idx="3">
                  <c:v>M4</c:v>
                </c:pt>
                <c:pt idx="4">
                  <c:v>HTI</c:v>
                </c:pt>
                <c:pt idx="5">
                  <c:v>FTSI</c:v>
                </c:pt>
              </c:strCache>
            </c:strRef>
          </c:cat>
          <c:val>
            <c:numRef>
              <c:f>'1 Al-Fumerate'!$E$8:$E$13</c:f>
              <c:numCache>
                <c:formatCode>General</c:formatCode>
                <c:ptCount val="6"/>
                <c:pt idx="0">
                  <c:v>3.4</c:v>
                </c:pt>
                <c:pt idx="1">
                  <c:v>4.0999999999999996</c:v>
                </c:pt>
                <c:pt idx="2">
                  <c:v>4.2</c:v>
                </c:pt>
                <c:pt idx="3">
                  <c:v>7.2</c:v>
                </c:pt>
                <c:pt idx="4">
                  <c:v>5</c:v>
                </c:pt>
                <c:pt idx="5">
                  <c:v>4.2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1-B4BF-48FD-8D49-F0DF9057C2A3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114558848"/>
        <c:axId val="114556928"/>
      </c:lineChart>
      <c:catAx>
        <c:axId val="114401280"/>
        <c:scaling>
          <c:orientation val="minMax"/>
        </c:scaling>
        <c:delete val="0"/>
        <c:axPos val="b"/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GB" sz="1200" b="1">
                    <a:solidFill>
                      <a:sysClr val="windowText" lastClr="000000"/>
                    </a:solidFill>
                    <a:latin typeface="Times New Roman" panose="02020603050405020304" pitchFamily="18" charset="0"/>
                    <a:cs typeface="Times New Roman" panose="02020603050405020304" pitchFamily="18" charset="0"/>
                  </a:rPr>
                  <a:t>Membranes</a:t>
                </a:r>
              </a:p>
            </c:rich>
          </c:tx>
          <c:layout>
            <c:manualLayout>
              <c:xMode val="edge"/>
              <c:yMode val="edge"/>
              <c:x val="0.41732057906824149"/>
              <c:y val="0.8770421250535172"/>
            </c:manualLayout>
          </c:layout>
          <c:overlay val="0"/>
          <c:spPr>
            <a:noFill/>
            <a:ln>
              <a:noFill/>
            </a:ln>
            <a:effectLst/>
          </c:spPr>
        </c:title>
        <c:numFmt formatCode="General" sourceLinked="1"/>
        <c:majorTickMark val="none"/>
        <c:minorTickMark val="in"/>
        <c:tickLblPos val="nextTo"/>
        <c:spPr>
          <a:noFill/>
          <a:ln w="9525" cap="flat" cmpd="sng" algn="ctr">
            <a:solidFill>
              <a:schemeClr val="tx1"/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200" b="0" i="0" u="none" strike="noStrike" kern="1200" baseline="0">
                <a:solidFill>
                  <a:sysClr val="windowText" lastClr="000000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en-US"/>
          </a:p>
        </c:txPr>
        <c:crossAx val="114403200"/>
        <c:crosses val="autoZero"/>
        <c:auto val="1"/>
        <c:lblAlgn val="ctr"/>
        <c:lblOffset val="100"/>
        <c:noMultiLvlLbl val="0"/>
      </c:catAx>
      <c:valAx>
        <c:axId val="114403200"/>
        <c:scaling>
          <c:orientation val="minMax"/>
        </c:scaling>
        <c:delete val="0"/>
        <c:axPos val="l"/>
        <c:title>
          <c:tx>
            <c:rich>
              <a:bodyPr rot="-5400000" spcFirstLastPara="1" vertOverflow="ellipsis" vert="horz" wrap="square" anchor="ctr" anchorCtr="1"/>
              <a:lstStyle/>
              <a:p>
                <a:pPr marL="0" marR="0" lvl="0" indent="0" algn="ctr" defTabSz="914400" rtl="0" eaLnBrk="1" fontAlgn="auto" latinLnBrk="0" hangingPunct="1">
                  <a:lnSpc>
                    <a:spcPct val="100000"/>
                  </a:lnSpc>
                  <a:spcBef>
                    <a:spcPts val="0"/>
                  </a:spcBef>
                  <a:spcAft>
                    <a:spcPts val="0"/>
                  </a:spcAft>
                  <a:buClrTx/>
                  <a:buSzTx/>
                  <a:buFontTx/>
                  <a:buNone/>
                  <a:tabLst/>
                  <a:defRPr sz="1200" b="0" i="0" u="none" strike="noStrike" kern="1200" baseline="0">
                    <a:solidFill>
                      <a:sysClr val="windowText" lastClr="000000">
                        <a:lumMod val="65000"/>
                        <a:lumOff val="35000"/>
                      </a:sys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GB" sz="1200" b="1" i="0" u="none" strike="noStrike" kern="1200" baseline="0">
                    <a:solidFill>
                      <a:sysClr val="windowText" lastClr="000000"/>
                    </a:solidFill>
                    <a:latin typeface="Times New Roman" panose="02020603050405020304" pitchFamily="18" charset="0"/>
                    <a:cs typeface="Times New Roman" panose="02020603050405020304" pitchFamily="18" charset="0"/>
                  </a:rPr>
                  <a:t>FO flux (L/m</a:t>
                </a:r>
                <a:r>
                  <a:rPr lang="en-GB" sz="1200" b="1" i="0" u="none" strike="noStrike" kern="1200" baseline="30000">
                    <a:solidFill>
                      <a:sysClr val="windowText" lastClr="000000"/>
                    </a:solidFill>
                    <a:latin typeface="Times New Roman" panose="02020603050405020304" pitchFamily="18" charset="0"/>
                    <a:cs typeface="Times New Roman" panose="02020603050405020304" pitchFamily="18" charset="0"/>
                  </a:rPr>
                  <a:t>2</a:t>
                </a:r>
                <a:r>
                  <a:rPr lang="en-GB" sz="1200" b="1" i="0" u="none" strike="noStrike" kern="1200" baseline="0">
                    <a:solidFill>
                      <a:sysClr val="windowText" lastClr="000000"/>
                    </a:solidFill>
                    <a:latin typeface="Times New Roman" panose="02020603050405020304" pitchFamily="18" charset="0"/>
                    <a:cs typeface="Times New Roman" panose="02020603050405020304" pitchFamily="18" charset="0"/>
                  </a:rPr>
                  <a:t>h)</a:t>
                </a:r>
              </a:p>
              <a:p>
                <a:pPr marL="0" marR="0" lvl="0" indent="0" algn="ctr" defTabSz="914400" rtl="0" eaLnBrk="1" fontAlgn="auto" latinLnBrk="0" hangingPunct="1">
                  <a:lnSpc>
                    <a:spcPct val="100000"/>
                  </a:lnSpc>
                  <a:spcBef>
                    <a:spcPts val="0"/>
                  </a:spcBef>
                  <a:spcAft>
                    <a:spcPts val="0"/>
                  </a:spcAft>
                  <a:buClrTx/>
                  <a:buSzTx/>
                  <a:buFontTx/>
                  <a:buNone/>
                  <a:tabLst/>
                  <a:defRPr sz="1200" b="0" i="0" u="none" strike="noStrike" kern="1200" baseline="0">
                    <a:solidFill>
                      <a:sysClr val="windowText" lastClr="000000">
                        <a:lumMod val="65000"/>
                        <a:lumOff val="35000"/>
                      </a:sysClr>
                    </a:solidFill>
                    <a:latin typeface="+mn-lt"/>
                    <a:ea typeface="+mn-ea"/>
                    <a:cs typeface="+mn-cs"/>
                  </a:defRPr>
                </a:pPr>
                <a:endParaRPr lang="en-GB" sz="1200"/>
              </a:p>
            </c:rich>
          </c:tx>
          <c:overlay val="0"/>
          <c:spPr>
            <a:noFill/>
            <a:ln>
              <a:noFill/>
            </a:ln>
            <a:effectLst/>
          </c:spPr>
        </c:title>
        <c:numFmt formatCode="General" sourceLinked="1"/>
        <c:majorTickMark val="in"/>
        <c:minorTickMark val="none"/>
        <c:tickLblPos val="nextTo"/>
        <c:spPr>
          <a:noFill/>
          <a:ln>
            <a:solidFill>
              <a:schemeClr val="tx1"/>
            </a:solidFill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200" b="0" i="0" u="none" strike="noStrike" kern="1200" baseline="0">
                <a:solidFill>
                  <a:sysClr val="windowText" lastClr="000000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en-US"/>
          </a:p>
        </c:txPr>
        <c:crossAx val="114401280"/>
        <c:crosses val="autoZero"/>
        <c:crossBetween val="between"/>
        <c:majorUnit val="10"/>
      </c:valAx>
      <c:valAx>
        <c:axId val="114556928"/>
        <c:scaling>
          <c:orientation val="minMax"/>
        </c:scaling>
        <c:delete val="0"/>
        <c:axPos val="r"/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2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GB" sz="1200" b="1" i="0" u="none" strike="noStrike" kern="1200" baseline="0">
                    <a:solidFill>
                      <a:sysClr val="windowText" lastClr="000000"/>
                    </a:solidFill>
                    <a:latin typeface="Times New Roman" panose="02020603050405020304" pitchFamily="18" charset="0"/>
                    <a:cs typeface="Times New Roman" panose="02020603050405020304" pitchFamily="18" charset="0"/>
                  </a:rPr>
                  <a:t>RSF (g/m</a:t>
                </a:r>
                <a:r>
                  <a:rPr lang="en-GB" sz="1200" b="1" i="0" u="none" strike="noStrike" kern="1200" baseline="30000">
                    <a:solidFill>
                      <a:sysClr val="windowText" lastClr="000000"/>
                    </a:solidFill>
                    <a:latin typeface="Times New Roman" panose="02020603050405020304" pitchFamily="18" charset="0"/>
                    <a:cs typeface="Times New Roman" panose="02020603050405020304" pitchFamily="18" charset="0"/>
                  </a:rPr>
                  <a:t>2</a:t>
                </a:r>
                <a:r>
                  <a:rPr lang="en-GB" sz="1200" b="1" i="0" u="none" strike="noStrike" kern="1200" baseline="0">
                    <a:solidFill>
                      <a:sysClr val="windowText" lastClr="000000"/>
                    </a:solidFill>
                    <a:latin typeface="Times New Roman" panose="02020603050405020304" pitchFamily="18" charset="0"/>
                    <a:cs typeface="Times New Roman" panose="02020603050405020304" pitchFamily="18" charset="0"/>
                  </a:rPr>
                  <a:t>h)</a:t>
                </a:r>
                <a:endParaRPr lang="en-GB" sz="1200"/>
              </a:p>
            </c:rich>
          </c:tx>
          <c:layout>
            <c:manualLayout>
              <c:xMode val="edge"/>
              <c:yMode val="edge"/>
              <c:x val="0.93671772473753256"/>
              <c:y val="0.1935740254690386"/>
            </c:manualLayout>
          </c:layout>
          <c:overlay val="0"/>
          <c:spPr>
            <a:noFill/>
            <a:ln>
              <a:noFill/>
            </a:ln>
            <a:effectLst/>
          </c:spPr>
        </c:title>
        <c:numFmt formatCode="General" sourceLinked="1"/>
        <c:majorTickMark val="in"/>
        <c:minorTickMark val="none"/>
        <c:tickLblPos val="nextTo"/>
        <c:spPr>
          <a:noFill/>
          <a:ln>
            <a:solidFill>
              <a:schemeClr val="tx1"/>
            </a:solidFill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200" b="0" i="0" u="none" strike="noStrike" kern="1200" baseline="0">
                <a:solidFill>
                  <a:sysClr val="windowText" lastClr="000000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en-US"/>
          </a:p>
        </c:txPr>
        <c:crossAx val="114558848"/>
        <c:crosses val="max"/>
        <c:crossBetween val="between"/>
        <c:majorUnit val="2"/>
      </c:valAx>
      <c:catAx>
        <c:axId val="114558848"/>
        <c:scaling>
          <c:orientation val="minMax"/>
        </c:scaling>
        <c:delete val="1"/>
        <c:axPos val="b"/>
        <c:numFmt formatCode="General" sourceLinked="1"/>
        <c:majorTickMark val="out"/>
        <c:minorTickMark val="none"/>
        <c:tickLblPos val="none"/>
        <c:crossAx val="114556928"/>
        <c:crosses val="autoZero"/>
        <c:auto val="1"/>
        <c:lblAlgn val="ctr"/>
        <c:lblOffset val="100"/>
        <c:noMultiLvlLbl val="0"/>
      </c:catAx>
      <c:spPr>
        <a:noFill/>
        <a:ln>
          <a:solidFill>
            <a:schemeClr val="tx1"/>
          </a:solidFill>
        </a:ln>
        <a:effectLst/>
      </c:spPr>
    </c:plotArea>
    <c:legend>
      <c:legendPos val="b"/>
      <c:layout>
        <c:manualLayout>
          <c:xMode val="edge"/>
          <c:yMode val="edge"/>
          <c:x val="0.30205585629921289"/>
          <c:y val="0.51508855837464751"/>
          <c:w val="0.45007956036745461"/>
          <c:h val="9.4602896860114707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200" b="0" i="0" u="none" strike="noStrike" kern="1200" baseline="0">
              <a:solidFill>
                <a:sysClr val="windowText" lastClr="000000"/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defRPr>
          </a:pPr>
          <a:endParaRPr lang="en-US"/>
        </a:p>
      </c:txPr>
    </c:legend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chemeClr val="bg1"/>
      </a:solidFill>
      <a:round/>
    </a:ln>
    <a:effectLst/>
  </c:spPr>
  <c:txPr>
    <a:bodyPr/>
    <a:lstStyle/>
    <a:p>
      <a:pPr>
        <a:defRPr/>
      </a:pPr>
      <a:endParaRPr lang="en-US"/>
    </a:p>
  </c:txPr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GB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0.13865288713910764"/>
          <c:y val="5.3912219305920134E-2"/>
          <c:w val="0.82245822397200352"/>
          <c:h val="0.70128645377661059"/>
        </c:manualLayout>
      </c:layout>
      <c:scatterChart>
        <c:scatterStyle val="smoothMarker"/>
        <c:varyColors val="0"/>
        <c:ser>
          <c:idx val="0"/>
          <c:order val="0"/>
          <c:tx>
            <c:strRef>
              <c:f>'1 Al-Fumerate'!$C$18</c:f>
              <c:strCache>
                <c:ptCount val="1"/>
                <c:pt idx="0">
                  <c:v>M1</c:v>
                </c:pt>
              </c:strCache>
            </c:strRef>
          </c:tx>
          <c:spPr>
            <a:ln w="19050" cap="rnd">
              <a:solidFill>
                <a:schemeClr val="tx1">
                  <a:alpha val="95000"/>
                </a:schemeClr>
              </a:solidFill>
              <a:round/>
            </a:ln>
            <a:effectLst/>
          </c:spPr>
          <c:marker>
            <c:symbol val="diamond"/>
            <c:size val="5"/>
            <c:spPr>
              <a:solidFill>
                <a:schemeClr val="tx1"/>
              </a:solidFill>
              <a:ln w="9525">
                <a:solidFill>
                  <a:schemeClr val="bg1"/>
                </a:solidFill>
              </a:ln>
              <a:effectLst/>
            </c:spPr>
          </c:marker>
          <c:errBars>
            <c:errDir val="y"/>
            <c:errBarType val="both"/>
            <c:errValType val="cust"/>
            <c:noEndCap val="0"/>
            <c:plus>
              <c:numRef>
                <c:f>'1 Al-Fumerate'!$H$19:$H$25</c:f>
                <c:numCache>
                  <c:formatCode>General</c:formatCode>
                  <c:ptCount val="7"/>
                  <c:pt idx="0">
                    <c:v>1.8</c:v>
                  </c:pt>
                  <c:pt idx="1">
                    <c:v>1.78</c:v>
                  </c:pt>
                  <c:pt idx="2">
                    <c:v>2.2000000000000002</c:v>
                  </c:pt>
                  <c:pt idx="3">
                    <c:v>1.67</c:v>
                  </c:pt>
                  <c:pt idx="4">
                    <c:v>2</c:v>
                  </c:pt>
                  <c:pt idx="5">
                    <c:v>2.2999999999999998</c:v>
                  </c:pt>
                  <c:pt idx="6">
                    <c:v>1.7</c:v>
                  </c:pt>
                </c:numCache>
              </c:numRef>
            </c:plus>
            <c:minus>
              <c:numRef>
                <c:f>'1 Al-Fumerate'!$H$19:$H$25</c:f>
                <c:numCache>
                  <c:formatCode>General</c:formatCode>
                  <c:ptCount val="7"/>
                  <c:pt idx="0">
                    <c:v>1.8</c:v>
                  </c:pt>
                  <c:pt idx="1">
                    <c:v>1.78</c:v>
                  </c:pt>
                  <c:pt idx="2">
                    <c:v>2.2000000000000002</c:v>
                  </c:pt>
                  <c:pt idx="3">
                    <c:v>1.67</c:v>
                  </c:pt>
                  <c:pt idx="4">
                    <c:v>2</c:v>
                  </c:pt>
                  <c:pt idx="5">
                    <c:v>2.2999999999999998</c:v>
                  </c:pt>
                  <c:pt idx="6">
                    <c:v>1.7</c:v>
                  </c:pt>
                </c:numCache>
              </c:numRef>
            </c:minus>
            <c:spPr>
              <a:noFill/>
              <a:ln w="9525" cap="flat" cmpd="sng" algn="ctr">
                <a:solidFill>
                  <a:schemeClr val="tx1">
                    <a:lumMod val="65000"/>
                    <a:lumOff val="35000"/>
                  </a:schemeClr>
                </a:solidFill>
                <a:round/>
              </a:ln>
              <a:effectLst/>
            </c:spPr>
          </c:errBars>
          <c:xVal>
            <c:numRef>
              <c:f>'1 Al-Fumerate'!$B$19:$B$25</c:f>
              <c:numCache>
                <c:formatCode>General</c:formatCode>
                <c:ptCount val="7"/>
                <c:pt idx="0">
                  <c:v>0</c:v>
                </c:pt>
                <c:pt idx="1">
                  <c:v>1</c:v>
                </c:pt>
                <c:pt idx="2">
                  <c:v>2</c:v>
                </c:pt>
                <c:pt idx="3">
                  <c:v>3</c:v>
                </c:pt>
                <c:pt idx="4">
                  <c:v>4</c:v>
                </c:pt>
                <c:pt idx="5">
                  <c:v>5</c:v>
                </c:pt>
                <c:pt idx="6">
                  <c:v>6</c:v>
                </c:pt>
              </c:numCache>
            </c:numRef>
          </c:xVal>
          <c:yVal>
            <c:numRef>
              <c:f>'1 Al-Fumerate'!$C$19:$C$25</c:f>
              <c:numCache>
                <c:formatCode>General</c:formatCode>
                <c:ptCount val="7"/>
                <c:pt idx="0">
                  <c:v>10.8</c:v>
                </c:pt>
                <c:pt idx="1">
                  <c:v>14.5</c:v>
                </c:pt>
                <c:pt idx="2">
                  <c:v>20.36</c:v>
                </c:pt>
                <c:pt idx="3">
                  <c:v>24</c:v>
                </c:pt>
                <c:pt idx="4">
                  <c:v>27.76</c:v>
                </c:pt>
                <c:pt idx="5">
                  <c:v>30.1</c:v>
                </c:pt>
                <c:pt idx="6">
                  <c:v>33.9</c:v>
                </c:pt>
              </c:numCache>
            </c:numRef>
          </c:yVal>
          <c:smooth val="1"/>
          <c:extLst>
            <c:ext xmlns:c16="http://schemas.microsoft.com/office/drawing/2014/chart" uri="{C3380CC4-5D6E-409C-BE32-E72D297353CC}">
              <c16:uniqueId val="{00000000-60D6-4D7B-B414-E413B2A82C58}"/>
            </c:ext>
          </c:extLst>
        </c:ser>
        <c:ser>
          <c:idx val="1"/>
          <c:order val="1"/>
          <c:tx>
            <c:strRef>
              <c:f>'1 Al-Fumerate'!$D$18</c:f>
              <c:strCache>
                <c:ptCount val="1"/>
                <c:pt idx="0">
                  <c:v>M2</c:v>
                </c:pt>
              </c:strCache>
            </c:strRef>
          </c:tx>
          <c:spPr>
            <a:ln w="19050" cap="rnd">
              <a:solidFill>
                <a:schemeClr val="tx1"/>
              </a:solidFill>
              <a:round/>
            </a:ln>
            <a:effectLst/>
          </c:spPr>
          <c:marker>
            <c:symbol val="triangle"/>
            <c:size val="5"/>
            <c:spPr>
              <a:solidFill>
                <a:schemeClr val="tx1"/>
              </a:solidFill>
              <a:ln w="9525">
                <a:solidFill>
                  <a:schemeClr val="bg1"/>
                </a:solidFill>
              </a:ln>
              <a:effectLst/>
            </c:spPr>
          </c:marker>
          <c:errBars>
            <c:errDir val="y"/>
            <c:errBarType val="both"/>
            <c:errValType val="cust"/>
            <c:noEndCap val="0"/>
            <c:plus>
              <c:numRef>
                <c:f>'1 Al-Fumerate'!$I$19:$I$25</c:f>
                <c:numCache>
                  <c:formatCode>General</c:formatCode>
                  <c:ptCount val="7"/>
                  <c:pt idx="0">
                    <c:v>3</c:v>
                  </c:pt>
                  <c:pt idx="1">
                    <c:v>2.9</c:v>
                  </c:pt>
                  <c:pt idx="2">
                    <c:v>2.2999999999999998</c:v>
                  </c:pt>
                  <c:pt idx="3">
                    <c:v>3.2</c:v>
                  </c:pt>
                  <c:pt idx="4">
                    <c:v>2.4500000000000002</c:v>
                  </c:pt>
                  <c:pt idx="5">
                    <c:v>2.6</c:v>
                  </c:pt>
                  <c:pt idx="6">
                    <c:v>2.8</c:v>
                  </c:pt>
                </c:numCache>
              </c:numRef>
            </c:plus>
            <c:minus>
              <c:numRef>
                <c:f>'1 Al-Fumerate'!$I$19:$I$25</c:f>
                <c:numCache>
                  <c:formatCode>General</c:formatCode>
                  <c:ptCount val="7"/>
                  <c:pt idx="0">
                    <c:v>3</c:v>
                  </c:pt>
                  <c:pt idx="1">
                    <c:v>2.9</c:v>
                  </c:pt>
                  <c:pt idx="2">
                    <c:v>2.2999999999999998</c:v>
                  </c:pt>
                  <c:pt idx="3">
                    <c:v>3.2</c:v>
                  </c:pt>
                  <c:pt idx="4">
                    <c:v>2.4500000000000002</c:v>
                  </c:pt>
                  <c:pt idx="5">
                    <c:v>2.6</c:v>
                  </c:pt>
                  <c:pt idx="6">
                    <c:v>2.8</c:v>
                  </c:pt>
                </c:numCache>
              </c:numRef>
            </c:minus>
            <c:spPr>
              <a:noFill/>
              <a:ln w="9525" cap="flat" cmpd="sng" algn="ctr">
                <a:solidFill>
                  <a:schemeClr val="tx1">
                    <a:lumMod val="65000"/>
                    <a:lumOff val="35000"/>
                  </a:schemeClr>
                </a:solidFill>
                <a:round/>
              </a:ln>
              <a:effectLst/>
            </c:spPr>
          </c:errBars>
          <c:xVal>
            <c:numRef>
              <c:f>'1 Al-Fumerate'!$B$19:$B$25</c:f>
              <c:numCache>
                <c:formatCode>General</c:formatCode>
                <c:ptCount val="7"/>
                <c:pt idx="0">
                  <c:v>0</c:v>
                </c:pt>
                <c:pt idx="1">
                  <c:v>1</c:v>
                </c:pt>
                <c:pt idx="2">
                  <c:v>2</c:v>
                </c:pt>
                <c:pt idx="3">
                  <c:v>3</c:v>
                </c:pt>
                <c:pt idx="4">
                  <c:v>4</c:v>
                </c:pt>
                <c:pt idx="5">
                  <c:v>5</c:v>
                </c:pt>
                <c:pt idx="6">
                  <c:v>6</c:v>
                </c:pt>
              </c:numCache>
            </c:numRef>
          </c:xVal>
          <c:yVal>
            <c:numRef>
              <c:f>'1 Al-Fumerate'!$D$19:$D$25</c:f>
              <c:numCache>
                <c:formatCode>General</c:formatCode>
                <c:ptCount val="7"/>
                <c:pt idx="0">
                  <c:v>16.2</c:v>
                </c:pt>
                <c:pt idx="1">
                  <c:v>19.3</c:v>
                </c:pt>
                <c:pt idx="2">
                  <c:v>25.2</c:v>
                </c:pt>
                <c:pt idx="3">
                  <c:v>28.7</c:v>
                </c:pt>
                <c:pt idx="4">
                  <c:v>31.2</c:v>
                </c:pt>
                <c:pt idx="5">
                  <c:v>33</c:v>
                </c:pt>
                <c:pt idx="6">
                  <c:v>36.4</c:v>
                </c:pt>
              </c:numCache>
            </c:numRef>
          </c:yVal>
          <c:smooth val="1"/>
          <c:extLst>
            <c:ext xmlns:c16="http://schemas.microsoft.com/office/drawing/2014/chart" uri="{C3380CC4-5D6E-409C-BE32-E72D297353CC}">
              <c16:uniqueId val="{00000001-60D6-4D7B-B414-E413B2A82C58}"/>
            </c:ext>
          </c:extLst>
        </c:ser>
        <c:ser>
          <c:idx val="2"/>
          <c:order val="2"/>
          <c:tx>
            <c:strRef>
              <c:f>'1 Al-Fumerate'!$E$18</c:f>
              <c:strCache>
                <c:ptCount val="1"/>
                <c:pt idx="0">
                  <c:v>M3</c:v>
                </c:pt>
              </c:strCache>
            </c:strRef>
          </c:tx>
          <c:spPr>
            <a:ln w="19050" cap="rnd">
              <a:solidFill>
                <a:schemeClr val="tx1"/>
              </a:solidFill>
              <a:round/>
            </a:ln>
            <a:effectLst/>
          </c:spPr>
          <c:marker>
            <c:symbol val="x"/>
            <c:size val="4"/>
            <c:spPr>
              <a:solidFill>
                <a:schemeClr val="tx1"/>
              </a:solidFill>
              <a:ln w="9525">
                <a:solidFill>
                  <a:schemeClr val="bg1"/>
                </a:solidFill>
              </a:ln>
              <a:effectLst/>
            </c:spPr>
          </c:marker>
          <c:errBars>
            <c:errDir val="y"/>
            <c:errBarType val="both"/>
            <c:errValType val="cust"/>
            <c:noEndCap val="0"/>
            <c:plus>
              <c:numRef>
                <c:f>'1 Al-Fumerate'!$J$19:$J$25</c:f>
                <c:numCache>
                  <c:formatCode>General</c:formatCode>
                  <c:ptCount val="7"/>
                  <c:pt idx="0">
                    <c:v>3.2</c:v>
                  </c:pt>
                  <c:pt idx="1">
                    <c:v>3.6</c:v>
                  </c:pt>
                  <c:pt idx="2">
                    <c:v>2.5</c:v>
                  </c:pt>
                  <c:pt idx="3">
                    <c:v>3.3</c:v>
                  </c:pt>
                  <c:pt idx="4">
                    <c:v>3</c:v>
                  </c:pt>
                  <c:pt idx="5">
                    <c:v>2.9</c:v>
                  </c:pt>
                  <c:pt idx="6">
                    <c:v>2.99</c:v>
                  </c:pt>
                </c:numCache>
              </c:numRef>
            </c:plus>
            <c:minus>
              <c:numRef>
                <c:f>'1 Al-Fumerate'!$J$19:$J$25</c:f>
                <c:numCache>
                  <c:formatCode>General</c:formatCode>
                  <c:ptCount val="7"/>
                  <c:pt idx="0">
                    <c:v>3.2</c:v>
                  </c:pt>
                  <c:pt idx="1">
                    <c:v>3.6</c:v>
                  </c:pt>
                  <c:pt idx="2">
                    <c:v>2.5</c:v>
                  </c:pt>
                  <c:pt idx="3">
                    <c:v>3.3</c:v>
                  </c:pt>
                  <c:pt idx="4">
                    <c:v>3</c:v>
                  </c:pt>
                  <c:pt idx="5">
                    <c:v>2.9</c:v>
                  </c:pt>
                  <c:pt idx="6">
                    <c:v>2.99</c:v>
                  </c:pt>
                </c:numCache>
              </c:numRef>
            </c:minus>
            <c:spPr>
              <a:noFill/>
              <a:ln w="9525" cap="flat" cmpd="sng" algn="ctr">
                <a:solidFill>
                  <a:schemeClr val="tx1">
                    <a:lumMod val="65000"/>
                    <a:lumOff val="35000"/>
                  </a:schemeClr>
                </a:solidFill>
                <a:round/>
              </a:ln>
              <a:effectLst/>
            </c:spPr>
          </c:errBars>
          <c:xVal>
            <c:numRef>
              <c:f>'1 Al-Fumerate'!$B$19:$B$25</c:f>
              <c:numCache>
                <c:formatCode>General</c:formatCode>
                <c:ptCount val="7"/>
                <c:pt idx="0">
                  <c:v>0</c:v>
                </c:pt>
                <c:pt idx="1">
                  <c:v>1</c:v>
                </c:pt>
                <c:pt idx="2">
                  <c:v>2</c:v>
                </c:pt>
                <c:pt idx="3">
                  <c:v>3</c:v>
                </c:pt>
                <c:pt idx="4">
                  <c:v>4</c:v>
                </c:pt>
                <c:pt idx="5">
                  <c:v>5</c:v>
                </c:pt>
                <c:pt idx="6">
                  <c:v>6</c:v>
                </c:pt>
              </c:numCache>
            </c:numRef>
          </c:xVal>
          <c:yVal>
            <c:numRef>
              <c:f>'1 Al-Fumerate'!$E$19:$E$25</c:f>
              <c:numCache>
                <c:formatCode>General</c:formatCode>
                <c:ptCount val="7"/>
                <c:pt idx="0">
                  <c:v>23.7</c:v>
                </c:pt>
                <c:pt idx="1">
                  <c:v>29.4</c:v>
                </c:pt>
                <c:pt idx="2">
                  <c:v>36.799999999999997</c:v>
                </c:pt>
                <c:pt idx="3">
                  <c:v>39.9</c:v>
                </c:pt>
                <c:pt idx="4">
                  <c:v>43.2</c:v>
                </c:pt>
                <c:pt idx="5">
                  <c:v>45.6</c:v>
                </c:pt>
                <c:pt idx="6">
                  <c:v>47.8</c:v>
                </c:pt>
              </c:numCache>
            </c:numRef>
          </c:yVal>
          <c:smooth val="1"/>
          <c:extLst>
            <c:ext xmlns:c16="http://schemas.microsoft.com/office/drawing/2014/chart" uri="{C3380CC4-5D6E-409C-BE32-E72D297353CC}">
              <c16:uniqueId val="{00000002-60D6-4D7B-B414-E413B2A82C58}"/>
            </c:ext>
          </c:extLst>
        </c:ser>
        <c:ser>
          <c:idx val="3"/>
          <c:order val="3"/>
          <c:tx>
            <c:strRef>
              <c:f>'1 Al-Fumerate'!$F$18</c:f>
              <c:strCache>
                <c:ptCount val="1"/>
                <c:pt idx="0">
                  <c:v>M4</c:v>
                </c:pt>
              </c:strCache>
            </c:strRef>
          </c:tx>
          <c:spPr>
            <a:ln w="19050" cap="rnd">
              <a:solidFill>
                <a:schemeClr val="tx1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chemeClr val="tx1"/>
              </a:solidFill>
              <a:ln w="9525">
                <a:solidFill>
                  <a:schemeClr val="bg1"/>
                </a:solidFill>
              </a:ln>
              <a:effectLst/>
            </c:spPr>
          </c:marker>
          <c:errBars>
            <c:errDir val="y"/>
            <c:errBarType val="both"/>
            <c:errValType val="cust"/>
            <c:noEndCap val="0"/>
            <c:plus>
              <c:numRef>
                <c:f>'1 Al-Fumerate'!$K$19:$K$25</c:f>
                <c:numCache>
                  <c:formatCode>General</c:formatCode>
                  <c:ptCount val="7"/>
                  <c:pt idx="0">
                    <c:v>3</c:v>
                  </c:pt>
                  <c:pt idx="1">
                    <c:v>2.2999999999999998</c:v>
                  </c:pt>
                  <c:pt idx="2">
                    <c:v>2.6</c:v>
                  </c:pt>
                  <c:pt idx="3">
                    <c:v>2.2000000000000002</c:v>
                  </c:pt>
                  <c:pt idx="4">
                    <c:v>2.8</c:v>
                  </c:pt>
                  <c:pt idx="5">
                    <c:v>3.2</c:v>
                  </c:pt>
                  <c:pt idx="6">
                    <c:v>2.9</c:v>
                  </c:pt>
                </c:numCache>
              </c:numRef>
            </c:plus>
            <c:minus>
              <c:numRef>
                <c:f>'1 Al-Fumerate'!$K$19:$K$25</c:f>
                <c:numCache>
                  <c:formatCode>General</c:formatCode>
                  <c:ptCount val="7"/>
                  <c:pt idx="0">
                    <c:v>3</c:v>
                  </c:pt>
                  <c:pt idx="1">
                    <c:v>2.2999999999999998</c:v>
                  </c:pt>
                  <c:pt idx="2">
                    <c:v>2.6</c:v>
                  </c:pt>
                  <c:pt idx="3">
                    <c:v>2.2000000000000002</c:v>
                  </c:pt>
                  <c:pt idx="4">
                    <c:v>2.8</c:v>
                  </c:pt>
                  <c:pt idx="5">
                    <c:v>3.2</c:v>
                  </c:pt>
                  <c:pt idx="6">
                    <c:v>2.9</c:v>
                  </c:pt>
                </c:numCache>
              </c:numRef>
            </c:minus>
            <c:spPr>
              <a:noFill/>
              <a:ln w="9525" cap="flat" cmpd="sng" algn="ctr">
                <a:solidFill>
                  <a:schemeClr val="tx1">
                    <a:lumMod val="65000"/>
                    <a:lumOff val="35000"/>
                  </a:schemeClr>
                </a:solidFill>
                <a:round/>
              </a:ln>
              <a:effectLst/>
            </c:spPr>
          </c:errBars>
          <c:xVal>
            <c:numRef>
              <c:f>'1 Al-Fumerate'!$B$19:$B$25</c:f>
              <c:numCache>
                <c:formatCode>General</c:formatCode>
                <c:ptCount val="7"/>
                <c:pt idx="0">
                  <c:v>0</c:v>
                </c:pt>
                <c:pt idx="1">
                  <c:v>1</c:v>
                </c:pt>
                <c:pt idx="2">
                  <c:v>2</c:v>
                </c:pt>
                <c:pt idx="3">
                  <c:v>3</c:v>
                </c:pt>
                <c:pt idx="4">
                  <c:v>4</c:v>
                </c:pt>
                <c:pt idx="5">
                  <c:v>5</c:v>
                </c:pt>
                <c:pt idx="6">
                  <c:v>6</c:v>
                </c:pt>
              </c:numCache>
            </c:numRef>
          </c:xVal>
          <c:yVal>
            <c:numRef>
              <c:f>'1 Al-Fumerate'!$F$19:$F$25</c:f>
              <c:numCache>
                <c:formatCode>General</c:formatCode>
                <c:ptCount val="7"/>
                <c:pt idx="0">
                  <c:v>33.1</c:v>
                </c:pt>
                <c:pt idx="1">
                  <c:v>41.7</c:v>
                </c:pt>
                <c:pt idx="2">
                  <c:v>49.7</c:v>
                </c:pt>
                <c:pt idx="3">
                  <c:v>54.2</c:v>
                </c:pt>
                <c:pt idx="4">
                  <c:v>59.7</c:v>
                </c:pt>
                <c:pt idx="5">
                  <c:v>63.2</c:v>
                </c:pt>
                <c:pt idx="6">
                  <c:v>65.2</c:v>
                </c:pt>
              </c:numCache>
            </c:numRef>
          </c:yVal>
          <c:smooth val="1"/>
          <c:extLst>
            <c:ext xmlns:c16="http://schemas.microsoft.com/office/drawing/2014/chart" uri="{C3380CC4-5D6E-409C-BE32-E72D297353CC}">
              <c16:uniqueId val="{00000003-60D6-4D7B-B414-E413B2A82C58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82607488"/>
        <c:axId val="82618624"/>
      </c:scatterChart>
      <c:valAx>
        <c:axId val="82607488"/>
        <c:scaling>
          <c:orientation val="minMax"/>
          <c:max val="7"/>
        </c:scaling>
        <c:delete val="0"/>
        <c:axPos val="b"/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GB" sz="1200" b="1">
                    <a:solidFill>
                      <a:sysClr val="windowText" lastClr="000000"/>
                    </a:solidFill>
                    <a:latin typeface="Times New Roman" panose="02020603050405020304" pitchFamily="18" charset="0"/>
                    <a:cs typeface="Times New Roman" panose="02020603050405020304" pitchFamily="18" charset="0"/>
                  </a:rPr>
                  <a:t>Applied Pressure (bar)</a:t>
                </a:r>
              </a:p>
            </c:rich>
          </c:tx>
          <c:layout>
            <c:manualLayout>
              <c:xMode val="edge"/>
              <c:yMode val="edge"/>
              <c:x val="0.37920144356955382"/>
              <c:y val="0.84742089530475362"/>
            </c:manualLayout>
          </c:layout>
          <c:overlay val="0"/>
          <c:spPr>
            <a:noFill/>
            <a:ln>
              <a:noFill/>
            </a:ln>
            <a:effectLst/>
          </c:spPr>
        </c:title>
        <c:numFmt formatCode="General" sourceLinked="1"/>
        <c:majorTickMark val="in"/>
        <c:minorTickMark val="none"/>
        <c:tickLblPos val="nextTo"/>
        <c:spPr>
          <a:noFill/>
          <a:ln w="9525" cap="flat" cmpd="sng" algn="ctr">
            <a:solidFill>
              <a:schemeClr val="tx1"/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200" b="0" i="0" u="none" strike="noStrike" kern="1200" baseline="0">
                <a:solidFill>
                  <a:sysClr val="windowText" lastClr="000000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en-US"/>
          </a:p>
        </c:txPr>
        <c:crossAx val="82618624"/>
        <c:crosses val="autoZero"/>
        <c:crossBetween val="midCat"/>
        <c:majorUnit val="1"/>
      </c:valAx>
      <c:valAx>
        <c:axId val="82618624"/>
        <c:scaling>
          <c:orientation val="minMax"/>
        </c:scaling>
        <c:delete val="0"/>
        <c:axPos val="l"/>
        <c:title>
          <c:tx>
            <c:rich>
              <a:bodyPr rot="-5400000" spcFirstLastPara="1" vertOverflow="ellipsis" vert="horz" wrap="square" anchor="ctr" anchorCtr="1"/>
              <a:lstStyle/>
              <a:p>
                <a:pPr marL="0" marR="0" lvl="0" indent="0" algn="ctr" defTabSz="914400" rtl="0" eaLnBrk="1" fontAlgn="auto" latinLnBrk="0" hangingPunct="1">
                  <a:lnSpc>
                    <a:spcPct val="100000"/>
                  </a:lnSpc>
                  <a:spcBef>
                    <a:spcPts val="0"/>
                  </a:spcBef>
                  <a:spcAft>
                    <a:spcPts val="0"/>
                  </a:spcAft>
                  <a:buClrTx/>
                  <a:buSzTx/>
                  <a:buFontTx/>
                  <a:buNone/>
                  <a:tabLst/>
                  <a:defRPr sz="1000" b="0" i="0" u="none" strike="noStrike" kern="1200" baseline="0">
                    <a:solidFill>
                      <a:sysClr val="windowText" lastClr="000000">
                        <a:lumMod val="65000"/>
                        <a:lumOff val="35000"/>
                      </a:sys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GB" sz="1200" b="1" i="0" u="none" strike="noStrike" kern="1200" baseline="0">
                    <a:solidFill>
                      <a:sysClr val="windowText" lastClr="000000"/>
                    </a:solidFill>
                    <a:latin typeface="Times New Roman" panose="02020603050405020304" pitchFamily="18" charset="0"/>
                    <a:cs typeface="Times New Roman" panose="02020603050405020304" pitchFamily="18" charset="0"/>
                  </a:rPr>
                  <a:t>Water Flux (L/m</a:t>
                </a:r>
                <a:r>
                  <a:rPr lang="en-GB" sz="1200" b="1" i="0" u="none" strike="noStrike" kern="1200" baseline="30000">
                    <a:solidFill>
                      <a:sysClr val="windowText" lastClr="000000"/>
                    </a:solidFill>
                    <a:latin typeface="Times New Roman" panose="02020603050405020304" pitchFamily="18" charset="0"/>
                    <a:cs typeface="Times New Roman" panose="02020603050405020304" pitchFamily="18" charset="0"/>
                  </a:rPr>
                  <a:t>2</a:t>
                </a:r>
                <a:r>
                  <a:rPr lang="en-GB" sz="1200" b="1" i="0" u="none" strike="noStrike" kern="1200" baseline="0">
                    <a:solidFill>
                      <a:sysClr val="windowText" lastClr="000000"/>
                    </a:solidFill>
                    <a:latin typeface="Times New Roman" panose="02020603050405020304" pitchFamily="18" charset="0"/>
                    <a:cs typeface="Times New Roman" panose="02020603050405020304" pitchFamily="18" charset="0"/>
                  </a:rPr>
                  <a:t>h)</a:t>
                </a:r>
                <a:endParaRPr lang="en-GB" sz="1200"/>
              </a:p>
            </c:rich>
          </c:tx>
          <c:overlay val="0"/>
          <c:spPr>
            <a:noFill/>
            <a:ln>
              <a:noFill/>
            </a:ln>
            <a:effectLst/>
          </c:spPr>
        </c:title>
        <c:numFmt formatCode="General" sourceLinked="1"/>
        <c:majorTickMark val="in"/>
        <c:minorTickMark val="none"/>
        <c:tickLblPos val="nextTo"/>
        <c:spPr>
          <a:noFill/>
          <a:ln w="9525" cap="flat" cmpd="sng" algn="ctr">
            <a:solidFill>
              <a:schemeClr val="tx1"/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200" b="0" i="0" u="none" strike="noStrike" kern="1200" baseline="0">
                <a:solidFill>
                  <a:sysClr val="windowText" lastClr="000000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en-US"/>
          </a:p>
        </c:txPr>
        <c:crossAx val="82607488"/>
        <c:crosses val="autoZero"/>
        <c:crossBetween val="midCat"/>
        <c:majorUnit val="20"/>
      </c:valAx>
      <c:spPr>
        <a:noFill/>
        <a:ln>
          <a:solidFill>
            <a:schemeClr val="tx1"/>
          </a:solidFill>
        </a:ln>
        <a:effectLst/>
      </c:spPr>
    </c:plotArea>
    <c:legend>
      <c:legendPos val="b"/>
      <c:layout>
        <c:manualLayout>
          <c:xMode val="edge"/>
          <c:yMode val="edge"/>
          <c:x val="0.37774409448818874"/>
          <c:y val="0.60243000874890651"/>
          <c:w val="0.54226662292213457"/>
          <c:h val="8.8690215806357553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200" b="0" i="0" u="none" strike="noStrike" kern="1200" baseline="0">
              <a:solidFill>
                <a:sysClr val="windowText" lastClr="000000"/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defRPr>
          </a:pPr>
          <a:endParaRPr lang="en-US"/>
        </a:p>
      </c:txPr>
    </c:legend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chemeClr val="bg1"/>
      </a:solidFill>
      <a:round/>
    </a:ln>
    <a:effectLst/>
  </c:spPr>
  <c:txPr>
    <a:bodyPr/>
    <a:lstStyle/>
    <a:p>
      <a:pPr>
        <a:defRPr/>
      </a:pPr>
      <a:endParaRPr lang="en-US"/>
    </a:p>
  </c:txPr>
  <c:externalData r:id="rId1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GB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0.16383442265795206"/>
          <c:y val="5.8022119432380372E-2"/>
          <c:w val="0.79803921568627523"/>
          <c:h val="0.59879359250497333"/>
        </c:manualLayout>
      </c:layout>
      <c:scatterChart>
        <c:scatterStyle val="smoothMarker"/>
        <c:varyColors val="0"/>
        <c:ser>
          <c:idx val="0"/>
          <c:order val="0"/>
          <c:tx>
            <c:strRef>
              <c:f>'1 Al-Fumerate'!$C$31</c:f>
              <c:strCache>
                <c:ptCount val="1"/>
                <c:pt idx="0">
                  <c:v>M1</c:v>
                </c:pt>
              </c:strCache>
            </c:strRef>
          </c:tx>
          <c:spPr>
            <a:ln w="19050" cap="rnd">
              <a:solidFill>
                <a:schemeClr val="tx1"/>
              </a:solidFill>
              <a:round/>
            </a:ln>
            <a:effectLst/>
          </c:spPr>
          <c:marker>
            <c:symbol val="triangle"/>
            <c:size val="5"/>
            <c:spPr>
              <a:solidFill>
                <a:schemeClr val="tx1"/>
              </a:solidFill>
              <a:ln w="9525">
                <a:solidFill>
                  <a:schemeClr val="accent1"/>
                </a:solidFill>
              </a:ln>
              <a:effectLst/>
            </c:spPr>
          </c:marker>
          <c:errBars>
            <c:errDir val="y"/>
            <c:errBarType val="both"/>
            <c:errValType val="cust"/>
            <c:noEndCap val="0"/>
            <c:plus>
              <c:numRef>
                <c:f>'1 Al-Fumerate'!$H$32:$H$38</c:f>
                <c:numCache>
                  <c:formatCode>General</c:formatCode>
                  <c:ptCount val="7"/>
                  <c:pt idx="0">
                    <c:v>0.16</c:v>
                  </c:pt>
                  <c:pt idx="1">
                    <c:v>0.36</c:v>
                  </c:pt>
                  <c:pt idx="2">
                    <c:v>0.44</c:v>
                  </c:pt>
                  <c:pt idx="3">
                    <c:v>0.28000000000000003</c:v>
                  </c:pt>
                  <c:pt idx="4">
                    <c:v>0.36</c:v>
                  </c:pt>
                  <c:pt idx="5">
                    <c:v>0.25</c:v>
                  </c:pt>
                  <c:pt idx="6">
                    <c:v>0.35</c:v>
                  </c:pt>
                </c:numCache>
              </c:numRef>
            </c:plus>
            <c:minus>
              <c:numRef>
                <c:f>'1 Al-Fumerate'!$H$32:$H$38</c:f>
                <c:numCache>
                  <c:formatCode>General</c:formatCode>
                  <c:ptCount val="7"/>
                  <c:pt idx="0">
                    <c:v>0.16</c:v>
                  </c:pt>
                  <c:pt idx="1">
                    <c:v>0.36</c:v>
                  </c:pt>
                  <c:pt idx="2">
                    <c:v>0.44</c:v>
                  </c:pt>
                  <c:pt idx="3">
                    <c:v>0.28000000000000003</c:v>
                  </c:pt>
                  <c:pt idx="4">
                    <c:v>0.36</c:v>
                  </c:pt>
                  <c:pt idx="5">
                    <c:v>0.25</c:v>
                  </c:pt>
                  <c:pt idx="6">
                    <c:v>0.35</c:v>
                  </c:pt>
                </c:numCache>
              </c:numRef>
            </c:minus>
            <c:spPr>
              <a:noFill/>
              <a:ln w="9525" cap="flat" cmpd="sng" algn="ctr">
                <a:solidFill>
                  <a:schemeClr val="tx1">
                    <a:lumMod val="65000"/>
                    <a:lumOff val="35000"/>
                  </a:schemeClr>
                </a:solidFill>
                <a:round/>
              </a:ln>
              <a:effectLst/>
            </c:spPr>
          </c:errBars>
          <c:xVal>
            <c:numRef>
              <c:f>'1 Al-Fumerate'!$B$32:$B$38</c:f>
              <c:numCache>
                <c:formatCode>General</c:formatCode>
                <c:ptCount val="7"/>
                <c:pt idx="0">
                  <c:v>0</c:v>
                </c:pt>
                <c:pt idx="1">
                  <c:v>1</c:v>
                </c:pt>
                <c:pt idx="2">
                  <c:v>2</c:v>
                </c:pt>
                <c:pt idx="3">
                  <c:v>3</c:v>
                </c:pt>
                <c:pt idx="4">
                  <c:v>4</c:v>
                </c:pt>
                <c:pt idx="5">
                  <c:v>5</c:v>
                </c:pt>
                <c:pt idx="6">
                  <c:v>6</c:v>
                </c:pt>
              </c:numCache>
            </c:numRef>
          </c:xVal>
          <c:yVal>
            <c:numRef>
              <c:f>'1 Al-Fumerate'!$C$32:$C$38</c:f>
              <c:numCache>
                <c:formatCode>General</c:formatCode>
                <c:ptCount val="7"/>
                <c:pt idx="0">
                  <c:v>3.4</c:v>
                </c:pt>
                <c:pt idx="1">
                  <c:v>2.92</c:v>
                </c:pt>
                <c:pt idx="2">
                  <c:v>2.33</c:v>
                </c:pt>
                <c:pt idx="3">
                  <c:v>1.67</c:v>
                </c:pt>
                <c:pt idx="4">
                  <c:v>1.27</c:v>
                </c:pt>
                <c:pt idx="5">
                  <c:v>1.1000000000000001</c:v>
                </c:pt>
                <c:pt idx="6">
                  <c:v>0.84</c:v>
                </c:pt>
              </c:numCache>
            </c:numRef>
          </c:yVal>
          <c:smooth val="1"/>
          <c:extLst>
            <c:ext xmlns:c16="http://schemas.microsoft.com/office/drawing/2014/chart" uri="{C3380CC4-5D6E-409C-BE32-E72D297353CC}">
              <c16:uniqueId val="{00000000-8E08-4A48-8244-F11DA994230C}"/>
            </c:ext>
          </c:extLst>
        </c:ser>
        <c:ser>
          <c:idx val="1"/>
          <c:order val="1"/>
          <c:tx>
            <c:strRef>
              <c:f>'1 Al-Fumerate'!$D$31</c:f>
              <c:strCache>
                <c:ptCount val="1"/>
                <c:pt idx="0">
                  <c:v>M2</c:v>
                </c:pt>
              </c:strCache>
            </c:strRef>
          </c:tx>
          <c:spPr>
            <a:ln w="19050" cap="rnd">
              <a:solidFill>
                <a:schemeClr val="tx1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chemeClr val="tx1"/>
              </a:solidFill>
              <a:ln w="9525">
                <a:solidFill>
                  <a:schemeClr val="bg1"/>
                </a:solidFill>
              </a:ln>
              <a:effectLst/>
            </c:spPr>
          </c:marker>
          <c:errBars>
            <c:errDir val="y"/>
            <c:errBarType val="both"/>
            <c:errValType val="cust"/>
            <c:noEndCap val="0"/>
            <c:plus>
              <c:numRef>
                <c:f>'1 Al-Fumerate'!$I$32:$I$38</c:f>
                <c:numCache>
                  <c:formatCode>General</c:formatCode>
                  <c:ptCount val="7"/>
                  <c:pt idx="0">
                    <c:v>0.36</c:v>
                  </c:pt>
                  <c:pt idx="1">
                    <c:v>0.4</c:v>
                  </c:pt>
                  <c:pt idx="2">
                    <c:v>0.38</c:v>
                  </c:pt>
                  <c:pt idx="3">
                    <c:v>0.4</c:v>
                  </c:pt>
                  <c:pt idx="4">
                    <c:v>0.42</c:v>
                  </c:pt>
                  <c:pt idx="5">
                    <c:v>0.33</c:v>
                  </c:pt>
                  <c:pt idx="6">
                    <c:v>0.35</c:v>
                  </c:pt>
                </c:numCache>
              </c:numRef>
            </c:plus>
            <c:minus>
              <c:numRef>
                <c:f>'1 Al-Fumerate'!$I$32:$I$38</c:f>
                <c:numCache>
                  <c:formatCode>General</c:formatCode>
                  <c:ptCount val="7"/>
                  <c:pt idx="0">
                    <c:v>0.36</c:v>
                  </c:pt>
                  <c:pt idx="1">
                    <c:v>0.4</c:v>
                  </c:pt>
                  <c:pt idx="2">
                    <c:v>0.38</c:v>
                  </c:pt>
                  <c:pt idx="3">
                    <c:v>0.4</c:v>
                  </c:pt>
                  <c:pt idx="4">
                    <c:v>0.42</c:v>
                  </c:pt>
                  <c:pt idx="5">
                    <c:v>0.33</c:v>
                  </c:pt>
                  <c:pt idx="6">
                    <c:v>0.35</c:v>
                  </c:pt>
                </c:numCache>
              </c:numRef>
            </c:minus>
            <c:spPr>
              <a:noFill/>
              <a:ln w="9525" cap="flat" cmpd="sng" algn="ctr">
                <a:solidFill>
                  <a:schemeClr val="tx1">
                    <a:lumMod val="65000"/>
                    <a:lumOff val="35000"/>
                  </a:schemeClr>
                </a:solidFill>
                <a:round/>
              </a:ln>
              <a:effectLst/>
            </c:spPr>
          </c:errBars>
          <c:xVal>
            <c:numRef>
              <c:f>'1 Al-Fumerate'!$B$32:$B$38</c:f>
              <c:numCache>
                <c:formatCode>General</c:formatCode>
                <c:ptCount val="7"/>
                <c:pt idx="0">
                  <c:v>0</c:v>
                </c:pt>
                <c:pt idx="1">
                  <c:v>1</c:v>
                </c:pt>
                <c:pt idx="2">
                  <c:v>2</c:v>
                </c:pt>
                <c:pt idx="3">
                  <c:v>3</c:v>
                </c:pt>
                <c:pt idx="4">
                  <c:v>4</c:v>
                </c:pt>
                <c:pt idx="5">
                  <c:v>5</c:v>
                </c:pt>
                <c:pt idx="6">
                  <c:v>6</c:v>
                </c:pt>
              </c:numCache>
            </c:numRef>
          </c:xVal>
          <c:yVal>
            <c:numRef>
              <c:f>'1 Al-Fumerate'!$D$32:$D$38</c:f>
              <c:numCache>
                <c:formatCode>General</c:formatCode>
                <c:ptCount val="7"/>
                <c:pt idx="0">
                  <c:v>4.0999999999999996</c:v>
                </c:pt>
                <c:pt idx="1">
                  <c:v>3.2</c:v>
                </c:pt>
                <c:pt idx="2">
                  <c:v>2.67</c:v>
                </c:pt>
                <c:pt idx="3">
                  <c:v>2.2000000000000002</c:v>
                </c:pt>
                <c:pt idx="4">
                  <c:v>1.52</c:v>
                </c:pt>
                <c:pt idx="5">
                  <c:v>1.3</c:v>
                </c:pt>
                <c:pt idx="6">
                  <c:v>1.03</c:v>
                </c:pt>
              </c:numCache>
            </c:numRef>
          </c:yVal>
          <c:smooth val="1"/>
          <c:extLst>
            <c:ext xmlns:c16="http://schemas.microsoft.com/office/drawing/2014/chart" uri="{C3380CC4-5D6E-409C-BE32-E72D297353CC}">
              <c16:uniqueId val="{00000001-8E08-4A48-8244-F11DA994230C}"/>
            </c:ext>
          </c:extLst>
        </c:ser>
        <c:ser>
          <c:idx val="2"/>
          <c:order val="2"/>
          <c:tx>
            <c:strRef>
              <c:f>'1 Al-Fumerate'!$E$31</c:f>
              <c:strCache>
                <c:ptCount val="1"/>
                <c:pt idx="0">
                  <c:v>M3</c:v>
                </c:pt>
              </c:strCache>
            </c:strRef>
          </c:tx>
          <c:spPr>
            <a:ln w="19050" cap="rnd">
              <a:solidFill>
                <a:schemeClr val="tx1"/>
              </a:solidFill>
              <a:round/>
            </a:ln>
            <a:effectLst/>
          </c:spPr>
          <c:marker>
            <c:symbol val="diamond"/>
            <c:size val="5"/>
            <c:spPr>
              <a:solidFill>
                <a:schemeClr val="tx1"/>
              </a:solidFill>
              <a:ln w="9525">
                <a:solidFill>
                  <a:schemeClr val="bg1"/>
                </a:solidFill>
              </a:ln>
              <a:effectLst/>
            </c:spPr>
          </c:marker>
          <c:errBars>
            <c:errDir val="y"/>
            <c:errBarType val="both"/>
            <c:errValType val="cust"/>
            <c:noEndCap val="0"/>
            <c:plus>
              <c:numRef>
                <c:f>'1 Al-Fumerate'!$J$32:$J$38</c:f>
                <c:numCache>
                  <c:formatCode>General</c:formatCode>
                  <c:ptCount val="7"/>
                  <c:pt idx="0">
                    <c:v>0.22</c:v>
                  </c:pt>
                  <c:pt idx="1">
                    <c:v>0.35</c:v>
                  </c:pt>
                  <c:pt idx="2">
                    <c:v>0.3</c:v>
                  </c:pt>
                  <c:pt idx="3">
                    <c:v>0.28000000000000003</c:v>
                  </c:pt>
                  <c:pt idx="4">
                    <c:v>0.4</c:v>
                  </c:pt>
                  <c:pt idx="5">
                    <c:v>0.28000000000000003</c:v>
                  </c:pt>
                  <c:pt idx="6">
                    <c:v>0.32</c:v>
                  </c:pt>
                </c:numCache>
              </c:numRef>
            </c:plus>
            <c:minus>
              <c:numRef>
                <c:f>'1 Al-Fumerate'!$J$32:$J$38</c:f>
                <c:numCache>
                  <c:formatCode>General</c:formatCode>
                  <c:ptCount val="7"/>
                  <c:pt idx="0">
                    <c:v>0.22</c:v>
                  </c:pt>
                  <c:pt idx="1">
                    <c:v>0.35</c:v>
                  </c:pt>
                  <c:pt idx="2">
                    <c:v>0.3</c:v>
                  </c:pt>
                  <c:pt idx="3">
                    <c:v>0.28000000000000003</c:v>
                  </c:pt>
                  <c:pt idx="4">
                    <c:v>0.4</c:v>
                  </c:pt>
                  <c:pt idx="5">
                    <c:v>0.28000000000000003</c:v>
                  </c:pt>
                  <c:pt idx="6">
                    <c:v>0.32</c:v>
                  </c:pt>
                </c:numCache>
              </c:numRef>
            </c:minus>
            <c:spPr>
              <a:noFill/>
              <a:ln w="9525" cap="flat" cmpd="sng" algn="ctr">
                <a:solidFill>
                  <a:schemeClr val="tx1">
                    <a:lumMod val="65000"/>
                    <a:lumOff val="35000"/>
                  </a:schemeClr>
                </a:solidFill>
                <a:round/>
              </a:ln>
              <a:effectLst/>
            </c:spPr>
          </c:errBars>
          <c:xVal>
            <c:numRef>
              <c:f>'1 Al-Fumerate'!$B$32:$B$38</c:f>
              <c:numCache>
                <c:formatCode>General</c:formatCode>
                <c:ptCount val="7"/>
                <c:pt idx="0">
                  <c:v>0</c:v>
                </c:pt>
                <c:pt idx="1">
                  <c:v>1</c:v>
                </c:pt>
                <c:pt idx="2">
                  <c:v>2</c:v>
                </c:pt>
                <c:pt idx="3">
                  <c:v>3</c:v>
                </c:pt>
                <c:pt idx="4">
                  <c:v>4</c:v>
                </c:pt>
                <c:pt idx="5">
                  <c:v>5</c:v>
                </c:pt>
                <c:pt idx="6">
                  <c:v>6</c:v>
                </c:pt>
              </c:numCache>
            </c:numRef>
          </c:xVal>
          <c:yVal>
            <c:numRef>
              <c:f>'1 Al-Fumerate'!$E$32:$E$38</c:f>
              <c:numCache>
                <c:formatCode>General</c:formatCode>
                <c:ptCount val="7"/>
                <c:pt idx="0">
                  <c:v>3.1</c:v>
                </c:pt>
                <c:pt idx="1">
                  <c:v>2.86</c:v>
                </c:pt>
                <c:pt idx="2">
                  <c:v>1.9</c:v>
                </c:pt>
                <c:pt idx="3">
                  <c:v>1.64</c:v>
                </c:pt>
                <c:pt idx="4">
                  <c:v>1.1000000000000001</c:v>
                </c:pt>
                <c:pt idx="5">
                  <c:v>0.98</c:v>
                </c:pt>
                <c:pt idx="6">
                  <c:v>0.88</c:v>
                </c:pt>
              </c:numCache>
            </c:numRef>
          </c:yVal>
          <c:smooth val="1"/>
          <c:extLst>
            <c:ext xmlns:c16="http://schemas.microsoft.com/office/drawing/2014/chart" uri="{C3380CC4-5D6E-409C-BE32-E72D297353CC}">
              <c16:uniqueId val="{00000002-8E08-4A48-8244-F11DA994230C}"/>
            </c:ext>
          </c:extLst>
        </c:ser>
        <c:ser>
          <c:idx val="3"/>
          <c:order val="3"/>
          <c:tx>
            <c:strRef>
              <c:f>'1 Al-Fumerate'!$F$31</c:f>
              <c:strCache>
                <c:ptCount val="1"/>
                <c:pt idx="0">
                  <c:v>M4</c:v>
                </c:pt>
              </c:strCache>
            </c:strRef>
          </c:tx>
          <c:spPr>
            <a:ln w="19050" cap="rnd">
              <a:solidFill>
                <a:schemeClr val="tx1"/>
              </a:solidFill>
              <a:round/>
            </a:ln>
            <a:effectLst/>
          </c:spPr>
          <c:marker>
            <c:symbol val="star"/>
            <c:size val="5"/>
            <c:spPr>
              <a:solidFill>
                <a:schemeClr val="tx1"/>
              </a:solidFill>
              <a:ln w="9525">
                <a:solidFill>
                  <a:schemeClr val="bg1"/>
                </a:solidFill>
              </a:ln>
              <a:effectLst/>
            </c:spPr>
          </c:marker>
          <c:errBars>
            <c:errDir val="y"/>
            <c:errBarType val="both"/>
            <c:errValType val="cust"/>
            <c:noEndCap val="0"/>
            <c:plus>
              <c:numRef>
                <c:f>'1 Al-Fumerate'!$K$32:$K$38</c:f>
                <c:numCache>
                  <c:formatCode>General</c:formatCode>
                  <c:ptCount val="7"/>
                  <c:pt idx="0">
                    <c:v>0.3</c:v>
                  </c:pt>
                  <c:pt idx="1">
                    <c:v>0.28000000000000003</c:v>
                  </c:pt>
                  <c:pt idx="2">
                    <c:v>0.2</c:v>
                  </c:pt>
                  <c:pt idx="3">
                    <c:v>0.32</c:v>
                  </c:pt>
                  <c:pt idx="4">
                    <c:v>0.33</c:v>
                  </c:pt>
                  <c:pt idx="5">
                    <c:v>0.25</c:v>
                  </c:pt>
                  <c:pt idx="6">
                    <c:v>0.3</c:v>
                  </c:pt>
                </c:numCache>
              </c:numRef>
            </c:plus>
            <c:minus>
              <c:numRef>
                <c:f>'1 Al-Fumerate'!$K$32:$K$38</c:f>
                <c:numCache>
                  <c:formatCode>General</c:formatCode>
                  <c:ptCount val="7"/>
                  <c:pt idx="0">
                    <c:v>0.3</c:v>
                  </c:pt>
                  <c:pt idx="1">
                    <c:v>0.28000000000000003</c:v>
                  </c:pt>
                  <c:pt idx="2">
                    <c:v>0.2</c:v>
                  </c:pt>
                  <c:pt idx="3">
                    <c:v>0.32</c:v>
                  </c:pt>
                  <c:pt idx="4">
                    <c:v>0.33</c:v>
                  </c:pt>
                  <c:pt idx="5">
                    <c:v>0.25</c:v>
                  </c:pt>
                  <c:pt idx="6">
                    <c:v>0.3</c:v>
                  </c:pt>
                </c:numCache>
              </c:numRef>
            </c:minus>
            <c:spPr>
              <a:noFill/>
              <a:ln w="9525" cap="flat" cmpd="sng" algn="ctr">
                <a:solidFill>
                  <a:schemeClr val="tx1">
                    <a:lumMod val="65000"/>
                    <a:lumOff val="35000"/>
                  </a:schemeClr>
                </a:solidFill>
                <a:round/>
              </a:ln>
              <a:effectLst/>
            </c:spPr>
          </c:errBars>
          <c:xVal>
            <c:numRef>
              <c:f>'1 Al-Fumerate'!$B$32:$B$38</c:f>
              <c:numCache>
                <c:formatCode>General</c:formatCode>
                <c:ptCount val="7"/>
                <c:pt idx="0">
                  <c:v>0</c:v>
                </c:pt>
                <c:pt idx="1">
                  <c:v>1</c:v>
                </c:pt>
                <c:pt idx="2">
                  <c:v>2</c:v>
                </c:pt>
                <c:pt idx="3">
                  <c:v>3</c:v>
                </c:pt>
                <c:pt idx="4">
                  <c:v>4</c:v>
                </c:pt>
                <c:pt idx="5">
                  <c:v>5</c:v>
                </c:pt>
                <c:pt idx="6">
                  <c:v>6</c:v>
                </c:pt>
              </c:numCache>
            </c:numRef>
          </c:xVal>
          <c:yVal>
            <c:numRef>
              <c:f>'1 Al-Fumerate'!$F$32:$F$38</c:f>
              <c:numCache>
                <c:formatCode>General</c:formatCode>
                <c:ptCount val="7"/>
                <c:pt idx="0">
                  <c:v>7.2</c:v>
                </c:pt>
                <c:pt idx="1">
                  <c:v>6.7</c:v>
                </c:pt>
                <c:pt idx="2">
                  <c:v>5.6</c:v>
                </c:pt>
                <c:pt idx="3">
                  <c:v>4.18</c:v>
                </c:pt>
                <c:pt idx="4">
                  <c:v>3.3</c:v>
                </c:pt>
                <c:pt idx="5">
                  <c:v>2.34</c:v>
                </c:pt>
                <c:pt idx="6">
                  <c:v>1.88</c:v>
                </c:pt>
              </c:numCache>
            </c:numRef>
          </c:yVal>
          <c:smooth val="1"/>
          <c:extLst>
            <c:ext xmlns:c16="http://schemas.microsoft.com/office/drawing/2014/chart" uri="{C3380CC4-5D6E-409C-BE32-E72D297353CC}">
              <c16:uniqueId val="{00000003-8E08-4A48-8244-F11DA994230C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114867584"/>
        <c:axId val="115119616"/>
      </c:scatterChart>
      <c:valAx>
        <c:axId val="114867584"/>
        <c:scaling>
          <c:orientation val="minMax"/>
          <c:max val="7"/>
        </c:scaling>
        <c:delete val="0"/>
        <c:axPos val="b"/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GB" sz="1200" b="1">
                    <a:solidFill>
                      <a:sysClr val="windowText" lastClr="000000"/>
                    </a:solidFill>
                    <a:latin typeface="Times New Roman" panose="02020603050405020304" pitchFamily="18" charset="0"/>
                    <a:cs typeface="Times New Roman" panose="02020603050405020304" pitchFamily="18" charset="0"/>
                  </a:rPr>
                  <a:t>Apllied Pressure (bar)</a:t>
                </a:r>
              </a:p>
            </c:rich>
          </c:tx>
          <c:layout>
            <c:manualLayout>
              <c:xMode val="edge"/>
              <c:yMode val="edge"/>
              <c:x val="0.39189804093115832"/>
              <c:y val="0.82582418229111554"/>
            </c:manualLayout>
          </c:layout>
          <c:overlay val="0"/>
          <c:spPr>
            <a:noFill/>
            <a:ln>
              <a:noFill/>
            </a:ln>
            <a:effectLst/>
          </c:spPr>
        </c:title>
        <c:numFmt formatCode="General" sourceLinked="1"/>
        <c:majorTickMark val="in"/>
        <c:minorTickMark val="none"/>
        <c:tickLblPos val="nextTo"/>
        <c:spPr>
          <a:noFill/>
          <a:ln w="9525" cap="flat" cmpd="sng" algn="ctr">
            <a:solidFill>
              <a:schemeClr val="tx1"/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200" b="0" i="0" u="none" strike="noStrike" kern="1200" baseline="0">
                <a:solidFill>
                  <a:sysClr val="windowText" lastClr="000000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en-US"/>
          </a:p>
        </c:txPr>
        <c:crossAx val="115119616"/>
        <c:crosses val="autoZero"/>
        <c:crossBetween val="midCat"/>
        <c:majorUnit val="1"/>
      </c:valAx>
      <c:valAx>
        <c:axId val="115119616"/>
        <c:scaling>
          <c:orientation val="minMax"/>
        </c:scaling>
        <c:delete val="0"/>
        <c:axPos val="l"/>
        <c:title>
          <c:tx>
            <c:rich>
              <a:bodyPr rot="-5400000" spcFirstLastPara="1" vertOverflow="ellipsis" vert="horz" wrap="square" anchor="ctr" anchorCtr="1"/>
              <a:lstStyle/>
              <a:p>
                <a:pPr marL="0" marR="0" lvl="0" indent="0" algn="ctr" defTabSz="914400" rtl="0" eaLnBrk="1" fontAlgn="auto" latinLnBrk="0" hangingPunct="1">
                  <a:lnSpc>
                    <a:spcPct val="100000"/>
                  </a:lnSpc>
                  <a:spcBef>
                    <a:spcPts val="0"/>
                  </a:spcBef>
                  <a:spcAft>
                    <a:spcPts val="0"/>
                  </a:spcAft>
                  <a:buClrTx/>
                  <a:buSzTx/>
                  <a:buFontTx/>
                  <a:buNone/>
                  <a:tabLst/>
                  <a:defRPr sz="1200" b="0" i="0" u="none" strike="noStrike" kern="1200" baseline="0">
                    <a:solidFill>
                      <a:sysClr val="windowText" lastClr="000000">
                        <a:lumMod val="65000"/>
                        <a:lumOff val="35000"/>
                      </a:sys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GB" sz="1200" b="1" i="0" u="none" strike="noStrike" kern="1200" baseline="0">
                    <a:solidFill>
                      <a:sysClr val="windowText" lastClr="000000"/>
                    </a:solidFill>
                    <a:latin typeface="Times New Roman" panose="02020603050405020304" pitchFamily="18" charset="0"/>
                    <a:cs typeface="Times New Roman" panose="02020603050405020304" pitchFamily="18" charset="0"/>
                  </a:rPr>
                  <a:t>RSF (g/m2h)</a:t>
                </a:r>
              </a:p>
              <a:p>
                <a:pPr marL="0" marR="0" lvl="0" indent="0" algn="ctr" defTabSz="914400" rtl="0" eaLnBrk="1" fontAlgn="auto" latinLnBrk="0" hangingPunct="1">
                  <a:lnSpc>
                    <a:spcPct val="100000"/>
                  </a:lnSpc>
                  <a:spcBef>
                    <a:spcPts val="0"/>
                  </a:spcBef>
                  <a:spcAft>
                    <a:spcPts val="0"/>
                  </a:spcAft>
                  <a:buClrTx/>
                  <a:buSzTx/>
                  <a:buFontTx/>
                  <a:buNone/>
                  <a:tabLst/>
                  <a:defRPr sz="1200" b="0" i="0" u="none" strike="noStrike" kern="1200" baseline="0">
                    <a:solidFill>
                      <a:sysClr val="windowText" lastClr="000000">
                        <a:lumMod val="65000"/>
                        <a:lumOff val="35000"/>
                      </a:sysClr>
                    </a:solidFill>
                    <a:latin typeface="+mn-lt"/>
                    <a:ea typeface="+mn-ea"/>
                    <a:cs typeface="+mn-cs"/>
                  </a:defRPr>
                </a:pPr>
                <a:endParaRPr lang="en-GB" sz="1200"/>
              </a:p>
            </c:rich>
          </c:tx>
          <c:overlay val="0"/>
          <c:spPr>
            <a:noFill/>
            <a:ln>
              <a:noFill/>
            </a:ln>
            <a:effectLst/>
          </c:spPr>
        </c:title>
        <c:numFmt formatCode="General" sourceLinked="1"/>
        <c:majorTickMark val="in"/>
        <c:minorTickMark val="none"/>
        <c:tickLblPos val="nextTo"/>
        <c:spPr>
          <a:noFill/>
          <a:ln w="9525" cap="flat" cmpd="sng" algn="ctr">
            <a:solidFill>
              <a:schemeClr val="tx1"/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200" b="0" i="0" u="none" strike="noStrike" kern="1200" baseline="0">
                <a:solidFill>
                  <a:sysClr val="windowText" lastClr="000000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en-US"/>
          </a:p>
        </c:txPr>
        <c:crossAx val="114867584"/>
        <c:crosses val="autoZero"/>
        <c:crossBetween val="midCat"/>
        <c:majorUnit val="2"/>
      </c:valAx>
      <c:spPr>
        <a:noFill/>
        <a:ln>
          <a:solidFill>
            <a:schemeClr val="tx1"/>
          </a:solidFill>
        </a:ln>
        <a:effectLst/>
      </c:spPr>
    </c:plotArea>
    <c:legend>
      <c:legendPos val="b"/>
      <c:layout>
        <c:manualLayout>
          <c:xMode val="edge"/>
          <c:yMode val="edge"/>
          <c:x val="0.40370327483574381"/>
          <c:y val="0.15169740553731262"/>
          <c:w val="0.53163394404130859"/>
          <c:h val="9.5451353334196576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200" b="0" i="0" u="none" strike="noStrike" kern="1200" baseline="0">
              <a:solidFill>
                <a:sysClr val="windowText" lastClr="000000"/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defRPr>
          </a:pPr>
          <a:endParaRPr lang="en-US"/>
        </a:p>
      </c:txPr>
    </c:legend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chemeClr val="bg1"/>
      </a:solidFill>
      <a:round/>
    </a:ln>
    <a:effectLst/>
  </c:spPr>
  <c:txPr>
    <a:bodyPr/>
    <a:lstStyle/>
    <a:p>
      <a:pPr>
        <a:defRPr/>
      </a:pPr>
      <a:endParaRPr lang="en-US"/>
    </a:p>
  </c:txPr>
  <c:externalData r:id="rId1">
    <c:autoUpdate val="0"/>
  </c:externalData>
</c:chartSpac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2</Pages>
  <Words>258</Words>
  <Characters>1474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RAJESH KUMAR</dc:creator>
  <cp:keywords/>
  <dc:description/>
  <cp:lastModifiedBy>RAJESH KUMAR</cp:lastModifiedBy>
  <cp:revision>6</cp:revision>
  <dcterms:created xsi:type="dcterms:W3CDTF">2026-06-12T14:48:00Z</dcterms:created>
  <dcterms:modified xsi:type="dcterms:W3CDTF">2026-07-10T10:16:00Z</dcterms:modified>
</cp:coreProperties>
</file>