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08411" w14:textId="77777777" w:rsidR="002A00EB" w:rsidRDefault="002A00EB" w:rsidP="002A00EB">
      <w:pPr>
        <w:pStyle w:val="Heading2"/>
        <w:spacing w:before="0" w:after="240"/>
      </w:pPr>
      <w:r>
        <w:t>6. SUPPLEMENTARY MATERIALS</w:t>
      </w:r>
    </w:p>
    <w:p w14:paraId="03975EBD" w14:textId="77777777" w:rsidR="002A00EB" w:rsidRDefault="002A00EB" w:rsidP="002A00EB">
      <w:pPr>
        <w:pStyle w:val="Heading3"/>
        <w:spacing w:before="0"/>
      </w:pPr>
      <w:r>
        <w:t>Supplementary Appendix S1: Full Search Strategies and Literature Database Logs</w:t>
      </w:r>
    </w:p>
    <w:p w14:paraId="611A34FA" w14:textId="77777777" w:rsidR="002A00EB" w:rsidRDefault="002A00EB" w:rsidP="002A00EB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>Detailed database execution logs, term expansions, and hit counts for PubMed, Embase, and Cochrane Central searches conducted on July 15, 2026.</w:t>
      </w:r>
    </w:p>
    <w:p w14:paraId="456F3D20" w14:textId="77777777" w:rsidR="002A00EB" w:rsidRDefault="002A00EB" w:rsidP="002A00EB">
      <w:pPr>
        <w:pStyle w:val="Heading3"/>
        <w:spacing w:before="0"/>
      </w:pPr>
      <w:r>
        <w:t>Supplementary Appendix S2: List of Full-Text Excluded Studies with Specific Reasons</w:t>
      </w:r>
    </w:p>
    <w:p w14:paraId="5788DA74" w14:textId="77777777" w:rsidR="002A00EB" w:rsidRDefault="002A00EB" w:rsidP="002A00EB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>Detailed citation list of 296 full-text articles evaluated and excluded during Phase 3 screening, categorized by primary exclusion criteria (e.g., lack of patient-level tracking, single-arm cohort, duplicate trial update).</w:t>
      </w:r>
    </w:p>
    <w:p w14:paraId="38316836" w14:textId="77777777" w:rsidR="002A00EB" w:rsidRDefault="002A00EB" w:rsidP="002A00EB">
      <w:pPr>
        <w:pStyle w:val="Heading3"/>
        <w:spacing w:before="0"/>
      </w:pPr>
      <w:r>
        <w:t>Supplementary Appendix S3: Study-Level Microdata Extraction Sheet</w:t>
      </w:r>
    </w:p>
    <w:p w14:paraId="5A77B1D0" w14:textId="77777777" w:rsidR="002A00EB" w:rsidRDefault="002A00EB" w:rsidP="002A00EB">
      <w:pPr>
        <w:pBdr>
          <w:top w:val="nil"/>
          <w:left w:val="nil"/>
          <w:bottom w:val="nil"/>
          <w:right w:val="nil"/>
          <w:between w:val="nil"/>
        </w:pBdr>
        <w:spacing w:after="255"/>
        <w:rPr>
          <w:i/>
          <w:iCs/>
        </w:rPr>
      </w:pPr>
      <w:r>
        <w:rPr>
          <w:i/>
          <w:iCs/>
        </w:rPr>
        <w:t>(Note: The following extraction schema illustrates the systematic data structure utilized to track and evaluate patient-level mo-irAE endpoints across all included primary trial publications).</w:t>
      </w:r>
    </w:p>
    <w:p w14:paraId="3CED5C5E" w14:textId="77777777" w:rsidR="002A00EB" w:rsidRDefault="002A00EB" w:rsidP="002A00EB">
      <w:pPr>
        <w:pStyle w:val="Heading4"/>
        <w:spacing w:before="0"/>
      </w:pPr>
      <w:r>
        <w:t>SUPPLEMENTARY FIGURE S1: Study-Level Microdata Extraction Architecture</w:t>
      </w:r>
    </w:p>
    <w:p w14:paraId="78FD59E3" w14:textId="77777777" w:rsidR="002A00EB" w:rsidRDefault="002A00EB" w:rsidP="002A00EB">
      <w:r>
        <w:rPr>
          <w:noProof/>
        </w:rPr>
        <w:drawing>
          <wp:inline distT="114300" distB="114300" distL="114300" distR="114300" wp14:anchorId="304478B3" wp14:editId="4DD73954">
            <wp:extent cx="5943600" cy="3263900"/>
            <wp:effectExtent l="0" t="0" r="0" b="0"/>
            <wp:docPr id="1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6E4E34" w14:textId="77777777" w:rsidR="002A00EB" w:rsidRDefault="002A00EB" w:rsidP="002A00EB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Methodological Microdata Extraction Architecture and Data Verification Pipeline. This structural flow diagram outlines the multi-tiered extraction strategy used to isolate true patient-level safety profiles from complex clinical reporting formats. The architecture maps how primary publication texts, secondary supplementary appendices, and public registry records (ClinicalTrials.gov) were concurrently fed into a data processing filter. This pipeline systematically filtered out trials that only provided overlapping summary matrices. Simultaneously, text-mining scripts and manual data audits parsed out high-resolution longitudinal profiles from the four granular study sources. This rigorous cross-matching protocol resolved historical data discrepancies and missing data records, compiling the clear patient-level toxicity matrix needed to run the primary endpoint meta-analysis.</w:t>
      </w:r>
    </w:p>
    <w:p w14:paraId="64BAFABA" w14:textId="77777777" w:rsidR="002A00EB" w:rsidRDefault="002A00EB" w:rsidP="002A00EB">
      <w:pPr>
        <w:pStyle w:val="Heading3"/>
      </w:pPr>
      <w:r>
        <w:lastRenderedPageBreak/>
        <w:t>Supplementary Appendix S4: Leave-One-Out Cross-Validation Sensitivity Analyses</w:t>
      </w:r>
    </w:p>
    <w:p w14:paraId="7431A99A" w14:textId="77777777" w:rsidR="002A00EB" w:rsidRDefault="002A00EB" w:rsidP="002A00EB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t>Sensitivity analyses demonstrating that exclusion of any single study did not significantly alter the pooled true mo-irAE estimate (pooled incidence range: 7.6%–8.9%)¹,²,¹².</w:t>
      </w:r>
    </w:p>
    <w:p w14:paraId="5F8D01DE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EB"/>
    <w:rsid w:val="002A00EB"/>
    <w:rsid w:val="003C2EF4"/>
    <w:rsid w:val="00446799"/>
    <w:rsid w:val="00471820"/>
    <w:rsid w:val="005628F0"/>
    <w:rsid w:val="006A7E07"/>
    <w:rsid w:val="00701021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A75D"/>
  <w15:chartTrackingRefBased/>
  <w15:docId w15:val="{B1E4E9F9-AB43-49CC-BF46-F1F4C5A7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0EB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0EB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0EB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00EB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00EB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0EB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0EB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0EB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0EB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0EB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0E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0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0EB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0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0EB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0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0EB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0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0E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1727</Characters>
  <Application>Microsoft Office Word</Application>
  <DocSecurity>0</DocSecurity>
  <Lines>14</Lines>
  <Paragraphs>4</Paragraphs>
  <ScaleCrop>false</ScaleCrop>
  <Company>Springer Nature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2026-08-06T05:08:00Z</dcterms:created>
  <dcterms:modified xsi:type="dcterms:W3CDTF">2026-08-06T05:09:00Z</dcterms:modified>
</cp:coreProperties>
</file>