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A1B16" w14:textId="77777777" w:rsidR="00C32372" w:rsidRDefault="00C32372" w:rsidP="00C32372">
      <w:r>
        <w:rPr>
          <w:rFonts w:ascii="Arial" w:hAnsi="Arial" w:cs="Arial"/>
          <w:b/>
          <w:bCs/>
          <w:sz w:val="28"/>
          <w:szCs w:val="28"/>
        </w:rPr>
        <w:t>Supplementary Figures</w:t>
      </w:r>
    </w:p>
    <w:p w14:paraId="177DEB8B" w14:textId="77777777" w:rsidR="00C32372" w:rsidRDefault="00C32372" w:rsidP="00C32372">
      <w:pPr>
        <w:spacing w:before="120" w:after="8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4D2EA24" wp14:editId="2A6D23C6">
            <wp:extent cx="5715000" cy="2038350"/>
            <wp:effectExtent l="0" t="0" r="0" b="0"/>
            <wp:docPr id="625357976" name="图片 625357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57976" name="图片 62535797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1F116" w14:textId="77777777" w:rsidR="00C32372" w:rsidRDefault="00C32372" w:rsidP="00C32372">
      <w:pPr>
        <w:spacing w:after="200" w:line="28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19"/>
          <w:szCs w:val="19"/>
        </w:rPr>
        <w:t>Supplementary Fig. 1 | Degree-matched protein-interaction network proximity.</w:t>
      </w:r>
      <w:r>
        <w:rPr>
          <w:rFonts w:ascii="Arial" w:hAnsi="Arial" w:cs="Arial"/>
          <w:sz w:val="19"/>
          <w:szCs w:val="19"/>
        </w:rPr>
        <w:t xml:space="preserve"> Local interaction evidence, shortest-path structure and degree-matched permutation test assessing whether TMEM41B is unusually close to STING1 in the complete STRING physical interactome (empirical P = 0.716).</w:t>
      </w:r>
    </w:p>
    <w:p w14:paraId="2F4ABEAC" w14:textId="77777777" w:rsidR="00C32372" w:rsidRDefault="00C32372" w:rsidP="00C32372">
      <w:pPr>
        <w:spacing w:before="120" w:after="8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8021B5A" wp14:editId="43E01CEB">
            <wp:extent cx="5715000" cy="2209800"/>
            <wp:effectExtent l="0" t="0" r="0" b="0"/>
            <wp:docPr id="143354694" name="图片 143354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4694" name="图片 14335469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1929E" w14:textId="77777777" w:rsidR="00C32372" w:rsidRDefault="00C32372" w:rsidP="00C32372">
      <w:pPr>
        <w:spacing w:after="200" w:line="28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19"/>
          <w:szCs w:val="19"/>
        </w:rPr>
        <w:t>Supplementary Fig. 2 | Cell-type-resolved co-expression meta-analysis.</w:t>
      </w:r>
      <w:r>
        <w:rPr>
          <w:rFonts w:ascii="Arial" w:hAnsi="Arial" w:cs="Arial"/>
          <w:sz w:val="19"/>
          <w:szCs w:val="19"/>
        </w:rPr>
        <w:t xml:space="preserve"> Cell-type-specific TMEM41B correlations, pathway enrichment and cross-lineage meta-analysis showing context-dependent membrane and lipid associations.</w:t>
      </w:r>
    </w:p>
    <w:p w14:paraId="42E291D6" w14:textId="77777777" w:rsidR="00C32372" w:rsidRDefault="00C32372" w:rsidP="00C32372">
      <w:pPr>
        <w:spacing w:before="120" w:after="8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7C23951" wp14:editId="411D9904">
            <wp:extent cx="5715000" cy="368617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1A1CD" w14:textId="77777777" w:rsidR="00C32372" w:rsidRDefault="00C32372" w:rsidP="00C32372">
      <w:pPr>
        <w:spacing w:after="200" w:line="28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19"/>
          <w:szCs w:val="19"/>
        </w:rPr>
        <w:t>Supplementary Fig. 3 | Single-cell expression basis.</w:t>
      </w:r>
      <w:r>
        <w:rPr>
          <w:rFonts w:ascii="Arial" w:hAnsi="Arial" w:cs="Arial"/>
          <w:sz w:val="19"/>
          <w:szCs w:val="19"/>
        </w:rPr>
        <w:t xml:space="preserve"> Lung single-cell UMAP, cell composition, detection rates and violin plots defining the cellular contexts in which TMEM41B and TMEM173 can be jointly detected.</w:t>
      </w:r>
    </w:p>
    <w:p w14:paraId="1EA8EDE5" w14:textId="77777777" w:rsidR="00C32372" w:rsidRDefault="00C32372" w:rsidP="00C32372">
      <w:pPr>
        <w:spacing w:before="120" w:after="8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783F7F6" wp14:editId="0CCC531D">
            <wp:extent cx="571500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B3B6A" w14:textId="77777777" w:rsidR="00C32372" w:rsidRDefault="00C32372" w:rsidP="00C32372">
      <w:pPr>
        <w:spacing w:after="200" w:line="28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19"/>
          <w:szCs w:val="19"/>
        </w:rPr>
        <w:t>Supplementary Fig. 4 | Cell-type-matched virtual-knockout controls.</w:t>
      </w:r>
      <w:r>
        <w:rPr>
          <w:rFonts w:ascii="Arial" w:hAnsi="Arial" w:cs="Arial"/>
          <w:sz w:val="19"/>
          <w:szCs w:val="19"/>
        </w:rPr>
        <w:t xml:space="preserve"> Cell-type-resolved TMEM41B virtual knockout compared with VMP1, VAPB, SEC24A, SEC23B and expression-, </w:t>
      </w:r>
      <w:r>
        <w:rPr>
          <w:rFonts w:ascii="Arial" w:hAnsi="Arial" w:cs="Arial"/>
          <w:sz w:val="19"/>
          <w:szCs w:val="19"/>
        </w:rPr>
        <w:lastRenderedPageBreak/>
        <w:t>detection- and dispersion-matched random-gene controls.</w:t>
      </w:r>
    </w:p>
    <w:p w14:paraId="16E32774" w14:textId="77777777" w:rsidR="00C32372" w:rsidRDefault="00C32372" w:rsidP="00C32372">
      <w:pPr>
        <w:spacing w:before="120" w:after="8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59D4299" wp14:editId="4D10B0DD">
            <wp:extent cx="5715000" cy="22288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D4DBB" w14:textId="77777777" w:rsidR="00C32372" w:rsidRDefault="00C32372" w:rsidP="00C32372">
      <w:pPr>
        <w:spacing w:after="200" w:line="28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19"/>
          <w:szCs w:val="19"/>
        </w:rPr>
        <w:t>Supplementary Fig. 5 | Initial pooled-nuclei network-diffusion virtual knockout.</w:t>
      </w:r>
      <w:r>
        <w:rPr>
          <w:rFonts w:ascii="Arial" w:hAnsi="Arial" w:cs="Arial"/>
          <w:sz w:val="19"/>
          <w:szCs w:val="19"/>
        </w:rPr>
        <w:t xml:space="preserve"> Initial network-diffusion perturbation analysis, retained for transparency and superseded for inference by the donor-replicated ensemble analysis in Fig. 4.</w:t>
      </w:r>
    </w:p>
    <w:p w14:paraId="334BC870" w14:textId="77777777" w:rsidR="00C32372" w:rsidRDefault="00C32372" w:rsidP="00C32372">
      <w:pPr>
        <w:spacing w:before="120" w:after="8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45DDA7D" wp14:editId="6F93BCD5">
            <wp:extent cx="5715000" cy="45434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551CB" w14:textId="77777777" w:rsidR="00C32372" w:rsidRDefault="00C32372" w:rsidP="00C32372">
      <w:pPr>
        <w:spacing w:after="200" w:line="28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19"/>
          <w:szCs w:val="19"/>
        </w:rPr>
        <w:t xml:space="preserve">Supplementary Fig. 6 | </w:t>
      </w:r>
      <w:proofErr w:type="spellStart"/>
      <w:r>
        <w:rPr>
          <w:rFonts w:ascii="Arial" w:hAnsi="Arial" w:cs="Arial"/>
          <w:b/>
          <w:bCs/>
          <w:sz w:val="19"/>
          <w:szCs w:val="19"/>
        </w:rPr>
        <w:t>Visium</w:t>
      </w:r>
      <w:proofErr w:type="spellEnd"/>
      <w:r>
        <w:rPr>
          <w:rFonts w:ascii="Arial" w:hAnsi="Arial" w:cs="Arial"/>
          <w:b/>
          <w:bCs/>
          <w:sz w:val="19"/>
          <w:szCs w:val="19"/>
        </w:rPr>
        <w:t xml:space="preserve"> spot-level spatial ecology.</w:t>
      </w:r>
      <w:r>
        <w:rPr>
          <w:rFonts w:ascii="Arial" w:hAnsi="Arial" w:cs="Arial"/>
          <w:sz w:val="19"/>
          <w:szCs w:val="19"/>
        </w:rPr>
        <w:t xml:space="preserve"> Detection rates, TMEM41B–TMEM173 joint-detection odds ratios, within-section pathway correlations and random-effects comparison of TMEM41B-high versus TMEM41B-low spots across 12 lung sections. This stage preceded recovery </w:t>
      </w:r>
      <w:r>
        <w:rPr>
          <w:rFonts w:ascii="Arial" w:hAnsi="Arial" w:cs="Arial"/>
          <w:sz w:val="19"/>
          <w:szCs w:val="19"/>
        </w:rPr>
        <w:lastRenderedPageBreak/>
        <w:t>of array coordinates and is superseded for inference by Supplementary Figs 7–8.</w:t>
      </w:r>
    </w:p>
    <w:p w14:paraId="4D2FC22B" w14:textId="77777777" w:rsidR="00C32372" w:rsidRDefault="00C32372" w:rsidP="00C32372">
      <w:pPr>
        <w:spacing w:before="120" w:after="8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1C025E7" wp14:editId="137ABF66">
            <wp:extent cx="5715000" cy="56292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8DB57" w14:textId="77777777" w:rsidR="00C32372" w:rsidRDefault="00C32372" w:rsidP="00C32372">
      <w:pPr>
        <w:spacing w:after="200" w:line="28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19"/>
          <w:szCs w:val="19"/>
        </w:rPr>
        <w:t xml:space="preserve">Supplementary Fig. 7 | Restored </w:t>
      </w:r>
      <w:proofErr w:type="spellStart"/>
      <w:r>
        <w:rPr>
          <w:rFonts w:ascii="Arial" w:hAnsi="Arial" w:cs="Arial"/>
          <w:b/>
          <w:bCs/>
          <w:sz w:val="19"/>
          <w:szCs w:val="19"/>
        </w:rPr>
        <w:t>Visium</w:t>
      </w:r>
      <w:proofErr w:type="spellEnd"/>
      <w:r>
        <w:rPr>
          <w:rFonts w:ascii="Arial" w:hAnsi="Arial" w:cs="Arial"/>
          <w:b/>
          <w:bCs/>
          <w:sz w:val="19"/>
          <w:szCs w:val="19"/>
        </w:rPr>
        <w:t xml:space="preserve"> array-coordinate maps.</w:t>
      </w:r>
      <w:r>
        <w:rPr>
          <w:rFonts w:ascii="Arial" w:hAnsi="Arial" w:cs="Arial"/>
          <w:sz w:val="19"/>
          <w:szCs w:val="19"/>
        </w:rPr>
        <w:t xml:space="preserve"> Representative array-coordinate maps of TMEM41B, TMEM173, STING activation and ER-to-Golgi </w:t>
      </w:r>
      <w:proofErr w:type="spellStart"/>
      <w:r>
        <w:rPr>
          <w:rFonts w:ascii="Arial" w:hAnsi="Arial" w:cs="Arial"/>
          <w:sz w:val="19"/>
          <w:szCs w:val="19"/>
        </w:rPr>
        <w:t>programmes</w:t>
      </w:r>
      <w:proofErr w:type="spellEnd"/>
      <w:r>
        <w:rPr>
          <w:rFonts w:ascii="Arial" w:hAnsi="Arial" w:cs="Arial"/>
          <w:sz w:val="19"/>
          <w:szCs w:val="19"/>
        </w:rPr>
        <w:t xml:space="preserve"> after restoration of official </w:t>
      </w:r>
      <w:proofErr w:type="spellStart"/>
      <w:r>
        <w:rPr>
          <w:rFonts w:ascii="Arial" w:hAnsi="Arial" w:cs="Arial"/>
          <w:sz w:val="19"/>
          <w:szCs w:val="19"/>
        </w:rPr>
        <w:t>Visium</w:t>
      </w:r>
      <w:proofErr w:type="spellEnd"/>
      <w:r>
        <w:rPr>
          <w:rFonts w:ascii="Arial" w:hAnsi="Arial" w:cs="Arial"/>
          <w:sz w:val="19"/>
          <w:szCs w:val="19"/>
        </w:rPr>
        <w:t xml:space="preserve"> V1 barcode coordinates. Coordinates are array-relative and are not pixel-registered to the immunofluorescence images.</w:t>
      </w:r>
    </w:p>
    <w:p w14:paraId="6C436BC6" w14:textId="77777777" w:rsidR="00C32372" w:rsidRDefault="00C32372" w:rsidP="00C32372">
      <w:pPr>
        <w:spacing w:before="120" w:after="8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70D7389" wp14:editId="0A16338D">
            <wp:extent cx="5715000" cy="4924425"/>
            <wp:effectExtent l="0" t="0" r="0" b="0"/>
            <wp:docPr id="803400898" name="图片 803400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400898" name="图片 80340089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A7C98" w14:textId="77777777" w:rsidR="00C32372" w:rsidRDefault="00C32372" w:rsidP="00C32372">
      <w:pPr>
        <w:spacing w:after="200" w:line="28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19"/>
          <w:szCs w:val="19"/>
        </w:rPr>
        <w:t xml:space="preserve">Supplementary Fig. 8 | Spatial autocorrelation and adjusted </w:t>
      </w:r>
      <w:proofErr w:type="spellStart"/>
      <w:r>
        <w:rPr>
          <w:rFonts w:ascii="Arial" w:hAnsi="Arial" w:cs="Arial"/>
          <w:b/>
          <w:bCs/>
          <w:sz w:val="19"/>
          <w:szCs w:val="19"/>
        </w:rPr>
        <w:t>neighbourhood</w:t>
      </w:r>
      <w:proofErr w:type="spellEnd"/>
      <w:r>
        <w:rPr>
          <w:rFonts w:ascii="Arial" w:hAnsi="Arial" w:cs="Arial"/>
          <w:b/>
          <w:bCs/>
          <w:sz w:val="19"/>
          <w:szCs w:val="19"/>
        </w:rPr>
        <w:t xml:space="preserve"> statistics.</w:t>
      </w:r>
      <w:r>
        <w:rPr>
          <w:rFonts w:ascii="Arial" w:hAnsi="Arial" w:cs="Arial"/>
          <w:sz w:val="19"/>
          <w:szCs w:val="19"/>
        </w:rPr>
        <w:t xml:space="preserve"> Moran's I and composition-adjusted spatial-lag correlations. Initially positive associations were largely removed after adjustment for sequencing depth and local cell composition; TMEM173 retained only a weak, non-significant trend (median ρ = 0.026; 8 of 12 sections positive; P = 0.388).</w:t>
      </w:r>
    </w:p>
    <w:p w14:paraId="68DAC22F" w14:textId="77777777" w:rsidR="00C32372" w:rsidRDefault="00C32372" w:rsidP="00C32372">
      <w:pPr>
        <w:spacing w:before="120" w:after="8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0C46777" wp14:editId="59C1FF65">
            <wp:extent cx="5715000" cy="395287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885BA" w14:textId="77777777" w:rsidR="00C32372" w:rsidRDefault="00C32372" w:rsidP="00C32372">
      <w:pPr>
        <w:spacing w:after="200" w:line="28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19"/>
          <w:szCs w:val="19"/>
        </w:rPr>
        <w:t>Supplementary Fig. 9 | Registered imaging–spatial niches.</w:t>
      </w:r>
      <w:r>
        <w:rPr>
          <w:rFonts w:ascii="Arial" w:hAnsi="Arial" w:cs="Arial"/>
          <w:sz w:val="19"/>
          <w:szCs w:val="19"/>
        </w:rPr>
        <w:t xml:space="preserve"> Fiducial-based registration quality control and adjusted CD45-, CD31- and PanCK-niche associations; no stable positive TMEM41B–STING enrichment was detected in any tissue niche.</w:t>
      </w:r>
    </w:p>
    <w:p w14:paraId="7E0F05AF" w14:textId="77777777" w:rsidR="00C32372" w:rsidRDefault="00C32372" w:rsidP="00C32372">
      <w:pPr>
        <w:spacing w:before="120" w:after="8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26FA441" wp14:editId="0FFD0DEF">
            <wp:extent cx="5314950" cy="6286500"/>
            <wp:effectExtent l="0" t="0" r="0" b="0"/>
            <wp:docPr id="1713115329" name="图片 1713115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115329" name="图片 17131153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A17F7" w14:textId="77777777" w:rsidR="00C32372" w:rsidRDefault="00C32372" w:rsidP="00C32372">
      <w:pPr>
        <w:spacing w:after="200" w:line="28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19"/>
          <w:szCs w:val="19"/>
        </w:rPr>
        <w:t>Supplementary Fig. 10 | AT2 deconvolution spatial maps.</w:t>
      </w:r>
      <w:r>
        <w:rPr>
          <w:rFonts w:ascii="Arial" w:hAnsi="Arial" w:cs="Arial"/>
          <w:sz w:val="19"/>
          <w:szCs w:val="19"/>
        </w:rPr>
        <w:t xml:space="preserve"> Section-level spatial maps of inferred AT2 abundance derived from the matched GSE198864 single-nucleus reference.</w:t>
      </w:r>
    </w:p>
    <w:p w14:paraId="18562F48" w14:textId="77777777" w:rsidR="00C32372" w:rsidRDefault="00C32372" w:rsidP="00C32372">
      <w:pPr>
        <w:spacing w:before="120" w:after="8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A0C45C4" wp14:editId="43DD6D09">
            <wp:extent cx="5715000" cy="42100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09ABF" w14:textId="77777777" w:rsidR="00C32372" w:rsidRDefault="00C32372" w:rsidP="00C32372">
      <w:pPr>
        <w:spacing w:after="200" w:line="28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19"/>
          <w:szCs w:val="19"/>
        </w:rPr>
        <w:t>Supplementary Fig. 11 | Matched-reference deconvolution and AT2-niche specificity.</w:t>
      </w:r>
      <w:r>
        <w:rPr>
          <w:rFonts w:ascii="Arial" w:hAnsi="Arial" w:cs="Arial"/>
          <w:sz w:val="19"/>
          <w:szCs w:val="19"/>
        </w:rPr>
        <w:t xml:space="preserve"> Matched single-nucleus reference validation, </w:t>
      </w:r>
      <w:proofErr w:type="spellStart"/>
      <w:r>
        <w:rPr>
          <w:rFonts w:ascii="Arial" w:hAnsi="Arial" w:cs="Arial"/>
          <w:sz w:val="19"/>
          <w:szCs w:val="19"/>
        </w:rPr>
        <w:t>Visium</w:t>
      </w:r>
      <w:proofErr w:type="spellEnd"/>
      <w:r>
        <w:rPr>
          <w:rFonts w:ascii="Arial" w:hAnsi="Arial" w:cs="Arial"/>
          <w:sz w:val="19"/>
          <w:szCs w:val="19"/>
        </w:rPr>
        <w:t xml:space="preserve"> deconvolution and adjusted analysis of TMEM41B–TMEM173 relationships in AT2-high niches, with 25 ER/ERGIC/COPII genes as a specificity control (P = 0.259).</w:t>
      </w:r>
    </w:p>
    <w:p w14:paraId="3E1D7711" w14:textId="77777777" w:rsidR="00C32372" w:rsidRDefault="00C32372" w:rsidP="00C32372">
      <w:pPr>
        <w:spacing w:before="120" w:after="8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0ACBD46" wp14:editId="1DE5F974">
            <wp:extent cx="5715000" cy="233362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F30B4" w14:textId="524E1FDB" w:rsidR="00B83B66" w:rsidRPr="00C32372" w:rsidRDefault="00C32372" w:rsidP="00C32372">
      <w:pPr>
        <w:spacing w:after="200" w:line="280" w:lineRule="auto"/>
        <w:rPr>
          <w:rFonts w:ascii="Arial" w:hAnsi="Arial" w:cs="Arial" w:hint="eastAsia"/>
        </w:rPr>
      </w:pPr>
      <w:r>
        <w:rPr>
          <w:rFonts w:ascii="Arial" w:hAnsi="Arial" w:cs="Arial"/>
          <w:b/>
          <w:bCs/>
          <w:sz w:val="19"/>
          <w:szCs w:val="19"/>
        </w:rPr>
        <w:t>Supplementary Fig. 12 | Evidence-constrained working model.</w:t>
      </w:r>
      <w:r>
        <w:rPr>
          <w:rFonts w:ascii="Arial" w:hAnsi="Arial" w:cs="Arial"/>
          <w:sz w:val="19"/>
          <w:szCs w:val="19"/>
        </w:rPr>
        <w:t xml:space="preserve"> Data-driven working model separating the supported ER/early-secretory-pathway context from STING-specific causal claims that remain unverified by the computational analyses.</w:t>
      </w:r>
    </w:p>
    <w:sectPr w:rsidR="00B83B66" w:rsidRPr="00C32372" w:rsidSect="00C32372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72"/>
    <w:rsid w:val="00030AA8"/>
    <w:rsid w:val="000F3679"/>
    <w:rsid w:val="001052A2"/>
    <w:rsid w:val="00193092"/>
    <w:rsid w:val="001A02F7"/>
    <w:rsid w:val="001E648F"/>
    <w:rsid w:val="002D239E"/>
    <w:rsid w:val="00314951"/>
    <w:rsid w:val="00373611"/>
    <w:rsid w:val="003C377E"/>
    <w:rsid w:val="004F29DC"/>
    <w:rsid w:val="005E24D8"/>
    <w:rsid w:val="005E2D40"/>
    <w:rsid w:val="0063498D"/>
    <w:rsid w:val="00653D55"/>
    <w:rsid w:val="006E6BA9"/>
    <w:rsid w:val="007A49A3"/>
    <w:rsid w:val="007F2E01"/>
    <w:rsid w:val="00876E4C"/>
    <w:rsid w:val="00881BC2"/>
    <w:rsid w:val="008C7603"/>
    <w:rsid w:val="008D4662"/>
    <w:rsid w:val="0092275E"/>
    <w:rsid w:val="00974246"/>
    <w:rsid w:val="00A9185C"/>
    <w:rsid w:val="00B83B66"/>
    <w:rsid w:val="00BE22B2"/>
    <w:rsid w:val="00C0045E"/>
    <w:rsid w:val="00C32372"/>
    <w:rsid w:val="00C347C6"/>
    <w:rsid w:val="00CF5AD9"/>
    <w:rsid w:val="00D450A2"/>
    <w:rsid w:val="00D84483"/>
    <w:rsid w:val="00DB3991"/>
    <w:rsid w:val="00E31709"/>
    <w:rsid w:val="00E42F15"/>
    <w:rsid w:val="00E95B95"/>
    <w:rsid w:val="00FF3E12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965FB1"/>
  <w15:chartTrackingRefBased/>
  <w15:docId w15:val="{3D3270E7-9A67-0243-ACEB-56D5467A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37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3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3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37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37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37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37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37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37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3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32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32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3237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3237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3237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323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323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323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323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32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3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323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23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323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23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23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2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323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32372"/>
    <w:rPr>
      <w:b/>
      <w:bCs/>
      <w:smallCaps/>
      <w:color w:val="0F4761" w:themeColor="accent1" w:themeShade="BF"/>
      <w:spacing w:val="5"/>
    </w:rPr>
  </w:style>
  <w:style w:type="character" w:styleId="ae">
    <w:name w:val="line number"/>
    <w:basedOn w:val="a0"/>
    <w:uiPriority w:val="99"/>
    <w:semiHidden/>
    <w:unhideWhenUsed/>
    <w:rsid w:val="00C32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395</Words>
  <Characters>2823</Characters>
  <Application>Microsoft Office Word</Application>
  <DocSecurity>0</DocSecurity>
  <Lines>40</Lines>
  <Paragraphs>10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Jingjing Pu</dc:creator>
  <cp:keywords/>
  <dc:description/>
  <cp:lastModifiedBy>Jingjing Pu</cp:lastModifiedBy>
  <cp:revision>1</cp:revision>
  <dcterms:created xsi:type="dcterms:W3CDTF">2026-08-05T04:35:00Z</dcterms:created>
  <dcterms:modified xsi:type="dcterms:W3CDTF">2026-08-05T04:36:00Z</dcterms:modified>
</cp:coreProperties>
</file>