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02C0" w14:textId="77777777" w:rsidR="00161CEF" w:rsidRDefault="00161CEF" w:rsidP="00161CEF">
      <w:pPr>
        <w:pStyle w:val="NormalWeb"/>
        <w:widowControl/>
        <w:spacing w:beforeAutospacing="0" w:after="10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E718218" wp14:editId="1398BED8">
            <wp:extent cx="5274310" cy="3282950"/>
            <wp:effectExtent l="0" t="0" r="2540" b="0"/>
            <wp:docPr id="18736602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60227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B5CBD" w14:textId="77777777" w:rsidR="00161CEF" w:rsidRDefault="00161CEF" w:rsidP="00161CEF">
      <w:pPr>
        <w:pStyle w:val="NormalWeb"/>
        <w:widowControl/>
        <w:spacing w:beforeAutospacing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Supplementary Fig. S1 Effects of LMNB2 overexpression on clonogenicity and motility in gastric cancer cells. </w:t>
      </w:r>
      <w:r>
        <w:rPr>
          <w:rFonts w:ascii="Times New Roman" w:hAnsi="Times New Roman"/>
        </w:rPr>
        <w:t xml:space="preserve">(A) Colony formation assays were performed to evaluate clonogenic capacity in BGC-823 cells following LMNB2 overexpression (LMNB2-OE). (B) Transwell assays were conducted to assess cell migration and invasion upon LMNB2 overexpression. </w:t>
      </w:r>
    </w:p>
    <w:p w14:paraId="14EA6959" w14:textId="77777777" w:rsidR="00161CEF" w:rsidRDefault="00161CEF" w:rsidP="00161CEF">
      <w:pPr>
        <w:pStyle w:val="NormalWeb"/>
        <w:widowControl/>
        <w:spacing w:beforeAutospacing="0" w:after="100"/>
        <w:jc w:val="both"/>
        <w:rPr>
          <w:rFonts w:ascii="Times New Roman" w:hAnsi="Times New Roman"/>
        </w:rPr>
      </w:pPr>
    </w:p>
    <w:p w14:paraId="23604EAF" w14:textId="77777777" w:rsidR="00161CEF" w:rsidRDefault="00161CEF" w:rsidP="00161CEF">
      <w:pPr>
        <w:pStyle w:val="NormalWeb"/>
        <w:widowControl/>
        <w:spacing w:beforeAutospacing="0" w:after="100"/>
        <w:jc w:val="both"/>
        <w:rPr>
          <w:rFonts w:ascii="Times New Roman" w:hAnsi="Times New Roman"/>
        </w:rPr>
      </w:pPr>
    </w:p>
    <w:p w14:paraId="3E614B70" w14:textId="77777777" w:rsidR="00161CEF" w:rsidRDefault="00161CEF" w:rsidP="00161CEF">
      <w:pPr>
        <w:spacing w:afterLines="5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D6281F" wp14:editId="75CDDE09">
            <wp:extent cx="3455670" cy="8863330"/>
            <wp:effectExtent l="0" t="0" r="0" b="0"/>
            <wp:docPr id="4729973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97363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E919" w14:textId="77777777" w:rsidR="00161CEF" w:rsidRDefault="00161CEF" w:rsidP="00161CEF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lastRenderedPageBreak/>
        <w:t xml:space="preserve">Supplementary Fig. S2 LMNB2 regulates MYC degradation and ubiquitination in gastric cancer cells. </w:t>
      </w:r>
      <w:r>
        <w:rPr>
          <w:rFonts w:ascii="Times New Roman" w:hAnsi="Times New Roman"/>
        </w:rPr>
        <w:t xml:space="preserve">(A) Quantification of MYC protein expression in SGC-7901 and AGS cells following LMNB2 knockdown with or without MG132 treatment. (B) Quantification of MYC protein expression in SGC-7901 and AGS cells following LMNB2 knockdown with or without chloroquine (CQ) treatment. (C) Ubiquitination assays showing MYC ubiquitination levels in SGC-7901 and AGS cells following LMNB2 knockdown, and in BGC-823 cells following LMNB2 overexpression. Cells were treated with MG132 prior to harvesting. </w:t>
      </w:r>
      <w:r>
        <w:rPr>
          <w:rFonts w:ascii="Times New Roman" w:hAnsi="Times New Roman" w:cs="Times New Roman"/>
        </w:rPr>
        <w:t>LMNB2 recruits USP37 to stabilize MYC by removing K48-linked ubiquitination</w:t>
      </w:r>
      <w:r>
        <w:rPr>
          <w:rFonts w:ascii="Times New Roman" w:hAnsi="Times New Roman" w:cs="Times New Roman" w:hint="eastAsia"/>
        </w:rPr>
        <w:t>.</w:t>
      </w:r>
    </w:p>
    <w:p w14:paraId="1E30D3A8" w14:textId="77777777" w:rsidR="00161CEF" w:rsidRDefault="00161CEF" w:rsidP="00161CEF">
      <w:pPr>
        <w:spacing w:afterLines="5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69E6043" wp14:editId="14DFD5A4">
            <wp:extent cx="5274310" cy="3839210"/>
            <wp:effectExtent l="0" t="0" r="2540" b="8890"/>
            <wp:docPr id="20790474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47495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494FE" w14:textId="77777777" w:rsidR="00161CEF" w:rsidRDefault="00161CEF" w:rsidP="00161CEF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t>Supplementary</w:t>
      </w:r>
      <w:r>
        <w:rPr>
          <w:rFonts w:ascii="Times New Roman" w:hAnsi="Times New Roman" w:cs="Times New Roman" w:hint="eastAsia"/>
          <w:b/>
          <w:bCs/>
        </w:rPr>
        <w:t xml:space="preserve"> Figure S3. </w:t>
      </w:r>
      <w:r>
        <w:rPr>
          <w:rFonts w:ascii="Times New Roman" w:hAnsi="Times New Roman" w:cs="Times New Roman"/>
          <w:b/>
          <w:bCs/>
        </w:rPr>
        <w:t>MYC overexpression rescues proliferation, migration, invasion, and EMT marker expression suppressed by LMNB2 knockdown</w:t>
      </w:r>
      <w:r>
        <w:rPr>
          <w:rFonts w:ascii="Times New Roman" w:hAnsi="Times New Roman" w:cs="Times New Roman" w:hint="eastAsia"/>
          <w:b/>
          <w:bCs/>
        </w:rPr>
        <w:t>.</w:t>
      </w:r>
    </w:p>
    <w:p w14:paraId="4644C09F" w14:textId="77777777" w:rsidR="00161CEF" w:rsidRDefault="00161CEF" w:rsidP="00161CEF">
      <w:pPr>
        <w:widowControl w:val="0"/>
        <w:numPr>
          <w:ilvl w:val="0"/>
          <w:numId w:val="1"/>
        </w:numPr>
        <w:spacing w:afterLines="5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Western blot analysis of LMNB2 and MYC expression following MYC overexpression in LMNB2-knockdown AGS and SGC-7901 cells.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(B) CCK-8 assays evaluating cell viability over 3 days.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(C) Colony formation assays.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(D) Transwell migration and invasion assays.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(E) Western blot analysis of PCNA and EMT-related markers (E-cadherin, N-cadherin, Snail). *p &lt; 0.05; **p &lt; 0.01; ***p &lt; 0.001.</w:t>
      </w:r>
      <w:r>
        <w:rPr>
          <w:rFonts w:ascii="Times New Roman" w:hAnsi="Times New Roman" w:cs="Times New Roman" w:hint="eastAsia"/>
        </w:rPr>
        <w:t xml:space="preserve"> n=3.</w:t>
      </w:r>
    </w:p>
    <w:p w14:paraId="54687ACE" w14:textId="77777777" w:rsidR="00161CEF" w:rsidRDefault="00161CEF" w:rsidP="00161CEF">
      <w:pPr>
        <w:pStyle w:val="NormalWeb"/>
        <w:widowControl/>
        <w:spacing w:beforeAutospacing="0" w:after="100"/>
        <w:jc w:val="both"/>
        <w:rPr>
          <w:rFonts w:ascii="Times New Roman" w:hAnsi="Times New Roman"/>
        </w:rPr>
      </w:pPr>
    </w:p>
    <w:p w14:paraId="443B9AA2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BD0C0"/>
    <w:multiLevelType w:val="singleLevel"/>
    <w:tmpl w:val="79DBD0C0"/>
    <w:lvl w:ilvl="0">
      <w:start w:val="1"/>
      <w:numFmt w:val="upperLetter"/>
      <w:suff w:val="space"/>
      <w:lvlText w:val="(%1)"/>
      <w:lvlJc w:val="left"/>
    </w:lvl>
  </w:abstractNum>
  <w:num w:numId="1" w16cid:durableId="49992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EF"/>
    <w:rsid w:val="00161CEF"/>
    <w:rsid w:val="005B6877"/>
    <w:rsid w:val="00AA0C39"/>
    <w:rsid w:val="00C31340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A6213"/>
  <w15:chartTrackingRefBased/>
  <w15:docId w15:val="{86F40E58-ED5F-42ED-BCA9-F87EB253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C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161CEF"/>
    <w:pPr>
      <w:widowControl w:val="0"/>
      <w:spacing w:beforeAutospacing="1" w:after="0" w:afterAutospacing="1" w:line="240" w:lineRule="auto"/>
    </w:pPr>
    <w:rPr>
      <w:rFonts w:eastAsiaTheme="minorEastAsia" w:cs="Times New Roman"/>
      <w:kern w:val="0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2026-09-01T17:46:00Z</dcterms:created>
  <dcterms:modified xsi:type="dcterms:W3CDTF">2026-09-01T17:47:00Z</dcterms:modified>
</cp:coreProperties>
</file>