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rPr>
          <w:b/>
          <w:bCs/>
        </w:rPr>
        <w:t xml:space="preserve">Tables</w:t>
      </w:r>
    </w:p>
    <w:p>
      <w:pPr>
        <w:spacing w:after="120" w:before="0" w:line="240"/>
      </w:pPr>
      <w:r>
        <w:rPr>
          <w:b/>
          <w:bCs/>
          <w:sz w:val="20"/>
          <w:szCs w:val="20"/>
        </w:rPr>
        <w:t xml:space="preserve">Table 1. Baseline characteristics by cardiometabolic-renal burden change pattern</w:t>
      </w:r>
    </w:p>
    <w:tbl>
      <w:tblPr>
        <w:tblW w:type="dxa" w:w="1395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1500"/>
        <w:gridCol w:w="1400"/>
        <w:gridCol w:w="1400"/>
        <w:gridCol w:w="1700"/>
        <w:gridCol w:w="1400"/>
        <w:gridCol w:w="1400"/>
        <w:gridCol w:w="2100"/>
        <w:gridCol w:w="1158"/>
      </w:tblGrid>
      <w:tr>
        <w:trPr>
          <w:cantSplit/>
          <w:tblHeader/>
        </w:trPr>
        <w:tc>
          <w:tcPr>
            <w:tcW w:type="dxa" w:w="1900"/>
            <w:tcBorders>
              <w:top w:val="single" w:color="000000" w:sz="8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13"/>
                <w:szCs w:val="13"/>
              </w:rPr>
              <w:t xml:space="preserve">Variable</w:t>
            </w:r>
          </w:p>
        </w:tc>
        <w:tc>
          <w:tcPr>
            <w:tcW w:type="dxa" w:w="1500"/>
            <w:tcBorders>
              <w:top w:val="single" w:color="000000" w:sz="8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13"/>
                <w:szCs w:val="13"/>
              </w:rPr>
              <w:t xml:space="preserve">Level</w:t>
            </w:r>
          </w:p>
        </w:tc>
        <w:tc>
          <w:tcPr>
            <w:tcW w:type="dxa" w:w="1400"/>
            <w:tcBorders>
              <w:top w:val="single" w:color="000000" w:sz="8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3"/>
                <w:szCs w:val="13"/>
              </w:rPr>
              <w:t xml:space="preserve">Overall</w:t>
            </w:r>
          </w:p>
        </w:tc>
        <w:tc>
          <w:tcPr>
            <w:tcW w:type="dxa" w:w="1400"/>
            <w:tcBorders>
              <w:top w:val="single" w:color="000000" w:sz="8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3"/>
                <w:szCs w:val="13"/>
              </w:rPr>
              <w:t xml:space="preserve">Low-stable</w:t>
            </w:r>
          </w:p>
        </w:tc>
        <w:tc>
          <w:tcPr>
            <w:tcW w:type="dxa" w:w="1700"/>
            <w:tcBorders>
              <w:top w:val="single" w:color="000000" w:sz="8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3"/>
                <w:szCs w:val="13"/>
              </w:rPr>
              <w:t xml:space="preserve">Intermediate-stable</w:t>
            </w:r>
          </w:p>
        </w:tc>
        <w:tc>
          <w:tcPr>
            <w:tcW w:type="dxa" w:w="1400"/>
            <w:tcBorders>
              <w:top w:val="single" w:color="000000" w:sz="8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3"/>
                <w:szCs w:val="13"/>
              </w:rPr>
              <w:t xml:space="preserve">Increasing</w:t>
            </w:r>
          </w:p>
        </w:tc>
        <w:tc>
          <w:tcPr>
            <w:tcW w:type="dxa" w:w="1400"/>
            <w:tcBorders>
              <w:top w:val="single" w:color="000000" w:sz="8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3"/>
                <w:szCs w:val="13"/>
              </w:rPr>
              <w:t xml:space="preserve">Decreasing</w:t>
            </w:r>
          </w:p>
        </w:tc>
        <w:tc>
          <w:tcPr>
            <w:tcW w:type="dxa" w:w="2100"/>
            <w:tcBorders>
              <w:top w:val="single" w:color="000000" w:sz="8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3"/>
                <w:szCs w:val="13"/>
              </w:rPr>
              <w:t xml:space="preserve">Persistent/fluctuating moderate-high</w:t>
            </w:r>
          </w:p>
        </w:tc>
        <w:tc>
          <w:tcPr>
            <w:tcW w:type="dxa" w:w="1158"/>
            <w:tcBorders>
              <w:top w:val="single" w:color="000000" w:sz="8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3"/>
                <w:szCs w:val="13"/>
              </w:rPr>
              <w:t xml:space="preserve">P</w:t>
            </w:r>
          </w:p>
        </w:tc>
      </w:tr>
      <w:tr>
        <w:trPr>
          <w:cantSplit/>
          <w:tblHeader w:val="false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Age, years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Mean (SD)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57.62 (8.93)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56.37 (8.86)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59.85 (9.26)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58.19 (8.39)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60.08 (8.97)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59.13 (8.40)</w:t>
            </w:r>
          </w:p>
        </w:tc>
        <w:tc>
          <w:tcPr>
            <w:tcW w:type="dxa" w:w="115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&lt;0.001</w:t>
            </w:r>
          </w:p>
        </w:tc>
      </w:tr>
      <w:tr>
        <w:trPr>
          <w:cantSplit/>
          <w:tblHeader w:val="false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Sex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Female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5732 (54.30)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3067 (53.40)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914 (55.90)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1061 (56.30)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271 (52.20)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419 (54.20)</w:t>
            </w:r>
          </w:p>
        </w:tc>
        <w:tc>
          <w:tcPr>
            <w:tcW w:type="dxa" w:w="115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0.11</w:t>
            </w:r>
          </w:p>
        </w:tc>
      </w:tr>
      <w:tr>
        <w:trPr>
          <w:cantSplit/>
          <w:tblHeader w:val="false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/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Male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4824 (45.70)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2678 (46.60)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721 (44.10)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823 (43.70)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248 (47.80)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354 (45.80)</w:t>
            </w:r>
          </w:p>
        </w:tc>
        <w:tc>
          <w:tcPr>
            <w:tcW w:type="dxa" w:w="115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Residence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Rural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6981 (66.10)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3932 (68.40)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1104 (67.50)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1176 (62.40)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324 (62.40)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445 (57.60)</w:t>
            </w:r>
          </w:p>
        </w:tc>
        <w:tc>
          <w:tcPr>
            <w:tcW w:type="dxa" w:w="115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&lt;0.001</w:t>
            </w:r>
          </w:p>
        </w:tc>
      </w:tr>
      <w:tr>
        <w:trPr>
          <w:cantSplit/>
          <w:tblHeader w:val="false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/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Urban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3575 (33.90)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1813 (31.60)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531 (32.50)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708 (37.60)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195 (37.60)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328 (42.40)</w:t>
            </w:r>
          </w:p>
        </w:tc>
        <w:tc>
          <w:tcPr>
            <w:tcW w:type="dxa" w:w="115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Education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No formal or below primary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4834 (45.80)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2604 (45.40)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810 (49.60)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836 (44.40)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253 (48.80)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331 (42.80)</w:t>
            </w:r>
          </w:p>
        </w:tc>
        <w:tc>
          <w:tcPr>
            <w:tcW w:type="dxa" w:w="115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&lt;0.001</w:t>
            </w:r>
          </w:p>
        </w:tc>
      </w:tr>
      <w:tr>
        <w:trPr>
          <w:cantSplit/>
          <w:tblHeader w:val="false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/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Primary school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2302 (21.80)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1257 (21.90)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352 (21.50)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397 (21.10)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126 (24.30)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170 (22.00)</w:t>
            </w:r>
          </w:p>
        </w:tc>
        <w:tc>
          <w:tcPr>
            <w:tcW w:type="dxa" w:w="115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/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Middle school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2243 (21.30)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1273 (22.20)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317 (19.40)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408 (21.70)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86 (16.60)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159 (20.60)</w:t>
            </w:r>
          </w:p>
        </w:tc>
        <w:tc>
          <w:tcPr>
            <w:tcW w:type="dxa" w:w="115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/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High school or above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1167 (11.10)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605 (10.50)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155 (9.50)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241 (12.80)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53 (10.20)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113 (14.60)</w:t>
            </w:r>
          </w:p>
        </w:tc>
        <w:tc>
          <w:tcPr>
            <w:tcW w:type="dxa" w:w="115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Marital status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Married/partnered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9552 (90.50)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5261 (91.60)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1428 (87.30)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1699 (90.20)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465 (89.60)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699 (90.40)</w:t>
            </w:r>
          </w:p>
        </w:tc>
        <w:tc>
          <w:tcPr>
            <w:tcW w:type="dxa" w:w="115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&lt;0.001</w:t>
            </w:r>
          </w:p>
        </w:tc>
      </w:tr>
      <w:tr>
        <w:trPr>
          <w:cantSplit/>
          <w:tblHeader w:val="false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/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Other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1004 (9.50)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484 (8.40)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207 (12.70)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185 (9.80)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54 (10.40)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74 (9.60)</w:t>
            </w:r>
          </w:p>
        </w:tc>
        <w:tc>
          <w:tcPr>
            <w:tcW w:type="dxa" w:w="115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Log household consumption per capita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Mean (SD)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8.47 (0.85)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8.44 (0.85)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8.41 (0.84)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8.54 (0.85)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8.46 (0.87)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8.64 (0.85)</w:t>
            </w:r>
          </w:p>
        </w:tc>
        <w:tc>
          <w:tcPr>
            <w:tcW w:type="dxa" w:w="115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&lt;0.001</w:t>
            </w:r>
          </w:p>
        </w:tc>
      </w:tr>
      <w:tr>
        <w:trPr>
          <w:cantSplit/>
          <w:tblHeader w:val="false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Current smoking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No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7319 (71.20)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3854 (69.30)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1167 (72.90)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1381 (74.90)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348 (67.60)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569 (75.30)</w:t>
            </w:r>
          </w:p>
        </w:tc>
        <w:tc>
          <w:tcPr>
            <w:tcW w:type="dxa" w:w="115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&lt;0.001</w:t>
            </w:r>
          </w:p>
        </w:tc>
      </w:tr>
      <w:tr>
        <w:trPr>
          <w:cantSplit/>
          <w:tblHeader w:val="false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/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Yes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2957 (28.80)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1707 (30.70)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433 (27.10)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463 (25.10)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167 (32.40)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187 (24.70)</w:t>
            </w:r>
          </w:p>
        </w:tc>
        <w:tc>
          <w:tcPr>
            <w:tcW w:type="dxa" w:w="115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Current drinking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No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7081 (67.10)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3751 (65.30)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1130 (69.20)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1315 (69.80)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330 (63.60)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555 (71.80)</w:t>
            </w:r>
          </w:p>
        </w:tc>
        <w:tc>
          <w:tcPr>
            <w:tcW w:type="dxa" w:w="115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&lt;0.001</w:t>
            </w:r>
          </w:p>
        </w:tc>
      </w:tr>
      <w:tr>
        <w:trPr>
          <w:cantSplit/>
          <w:tblHeader w:val="false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/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Yes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3468 (32.90)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1989 (34.70)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504 (30.80)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568 (30.20)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189 (36.40)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218 (28.20)</w:t>
            </w:r>
          </w:p>
        </w:tc>
        <w:tc>
          <w:tcPr>
            <w:tcW w:type="dxa" w:w="115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Sleep duration, hours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Mean (SD)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6.39 (1.87)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6.47 (1.83)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6.38 (1.96)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6.17 (1.91)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6.36 (1.91)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6.36 (1.78)</w:t>
            </w:r>
          </w:p>
        </w:tc>
        <w:tc>
          <w:tcPr>
            <w:tcW w:type="dxa" w:w="115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&lt;0.001</w:t>
            </w:r>
          </w:p>
        </w:tc>
      </w:tr>
      <w:tr>
        <w:trPr>
          <w:cantSplit/>
          <w:tblHeader w:val="false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Social participation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No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4959 (49.60)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2762 (51.20)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774 (49.30)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853 (47.70)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238 (47.30)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332 (45.20)</w:t>
            </w:r>
          </w:p>
        </w:tc>
        <w:tc>
          <w:tcPr>
            <w:tcW w:type="dxa" w:w="115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0.006</w:t>
            </w:r>
          </w:p>
        </w:tc>
      </w:tr>
      <w:tr>
        <w:trPr>
          <w:cantSplit/>
          <w:tblHeader w:val="false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/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Yes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5036 (50.40)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2637 (48.80)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797 (50.70)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934 (52.30)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265 (52.70)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403 (54.80)</w:t>
            </w:r>
          </w:p>
        </w:tc>
        <w:tc>
          <w:tcPr>
            <w:tcW w:type="dxa" w:w="115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Depressive symptoms, CES-D-10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Mean (SD)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8.32 (6.27)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7.91 (6.09)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8.26 (6.05)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9.58 (6.70)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8.16 (6.44)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8.56 (6.35)</w:t>
            </w:r>
          </w:p>
        </w:tc>
        <w:tc>
          <w:tcPr>
            <w:tcW w:type="dxa" w:w="115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&lt;0.001</w:t>
            </w:r>
          </w:p>
        </w:tc>
      </w:tr>
      <w:tr>
        <w:trPr>
          <w:cantSplit/>
          <w:tblHeader w:val="false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Self-rated health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Excellent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425 (4.00)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179 (3.10)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61 (3.70)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123 (6.50)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19 (3.70)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43 (5.60)</w:t>
            </w:r>
          </w:p>
        </w:tc>
        <w:tc>
          <w:tcPr>
            <w:tcW w:type="dxa" w:w="115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&lt;0.001</w:t>
            </w:r>
          </w:p>
        </w:tc>
      </w:tr>
      <w:tr>
        <w:trPr>
          <w:cantSplit/>
          <w:tblHeader w:val="false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/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Very good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2357 (22.30)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1020 (17.80)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403 (24.70)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541 (28.70)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130 (25.00)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263 (34.10)</w:t>
            </w:r>
          </w:p>
        </w:tc>
        <w:tc>
          <w:tcPr>
            <w:tcW w:type="dxa" w:w="115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/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Good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5240 (49.70)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2923 (50.90)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832 (50.90)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891 (47.30)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250 (48.20)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344 (44.60)</w:t>
            </w:r>
          </w:p>
        </w:tc>
        <w:tc>
          <w:tcPr>
            <w:tcW w:type="dxa" w:w="115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/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Fair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1841 (17.50)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1170 (20.40)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249 (15.20)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240 (12.70)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84 (16.20)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98 (12.70)</w:t>
            </w:r>
          </w:p>
        </w:tc>
        <w:tc>
          <w:tcPr>
            <w:tcW w:type="dxa" w:w="115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/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Poor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684 (6.50)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449 (7.80)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88 (5.40)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88 (4.70)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36 (6.90)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23 (3.00)</w:t>
            </w:r>
          </w:p>
        </w:tc>
        <w:tc>
          <w:tcPr>
            <w:tcW w:type="dxa" w:w="115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Total chronic disease count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Mean (SD)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1.31 (1.34)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0.73 (0.89)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1.68 (1.12)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1.89 (1.48)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2.07 (1.51)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2.90 (1.55)</w:t>
            </w:r>
          </w:p>
        </w:tc>
        <w:tc>
          <w:tcPr>
            <w:tcW w:type="dxa" w:w="115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&lt;0.001</w:t>
            </w:r>
          </w:p>
        </w:tc>
      </w:tr>
      <w:tr>
        <w:trPr>
          <w:cantSplit/>
          <w:tblHeader w:val="false"/>
        </w:trPr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Non-CMR chronic disease count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Mean (SD)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0.87 (1.00)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0.71 (0.88)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0.92 (0.99)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1.17 (1.17)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1.02 (1.08)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1.14 (1.16)</w:t>
            </w:r>
          </w:p>
        </w:tc>
        <w:tc>
          <w:tcPr>
            <w:tcW w:type="dxa" w:w="1158"/>
            <w:tcBorders>
              <w:top w:val="none" w:color="FFFFFF" w:sz="0"/>
              <w:left w:val="none" w:color="FFFFFF" w:sz="0"/>
              <w:bottom w:val="single" w:color="000000" w:sz="8"/>
              <w:right w:val="none" w:color="FFFFFF" w:sz="0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3"/>
                <w:szCs w:val="13"/>
              </w:rPr>
              <w:t xml:space="preserve">&lt;0.001</w:t>
            </w:r>
          </w:p>
        </w:tc>
      </w:tr>
    </w:tbl>
    <w:p>
      <w:pPr>
        <w:spacing w:after="0" w:before="100" w:line="240"/>
      </w:pPr>
      <w:r>
        <w:rPr>
          <w:sz w:val="16"/>
          <w:szCs w:val="16"/>
        </w:rPr>
        <w:t xml:space="preserve">Values are mean (SD) or n (%). The displayed P values are descriptive between-group comparisons and should not be interpreted as adjusted effects. CES-D-10, 10-item Center for Epidemiologic Studies Depression Scale; CMR, cardiometabolic-renal; SD, standard deviation.</w:t>
      </w:r>
    </w:p>
    <w:sectPr>
      <w:footerReference w:type="default" r:id="rId7"/>
      <w:pgSz w:w="16838" w:h="11906" w:orient="landscape"/>
      <w:pgMar w:top="720" w:right="1080" w:bottom="720" w:left="1080" w:header="708" w:footer="36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t xml:space="preserve">Page </w:t>
    </w:r>
    <w: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color w:val="000000"/>
        <w:sz w:val="24"/>
        <w:szCs w:val="24"/>
      </w:rPr>
    </w:rPrDefault>
    <w:pPrDefault>
      <w:pPr>
        <w:spacing w:after="0" w:before="0" w:line="48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240" w:before="0" w:line="360"/>
      <w:jc w:val="center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1">
    <w:name w:val="Heading 1"/>
    <w:basedOn w:val="Normal"/>
    <w:next w:val="Normal"/>
    <w:qFormat/>
    <w:pPr>
      <w:spacing w:after="0" w:before="240" w:line="480"/>
      <w:outlineLvl w:val="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0" w:before="180" w:line="480"/>
      <w:outlineLvl w:val="1"/>
    </w:pPr>
    <w:rPr>
      <w:rFonts w:ascii="Times New Roman" w:cs="Times New Roman" w:eastAsia="Times New Roman" w:hAnsi="Times New Roman"/>
      <w:b/>
      <w:bCs/>
      <w:sz w:val="24"/>
      <w:szCs w:val="24"/>
    </w:rPr>
  </w:style>
  <w:style w:type="paragraph" w:styleId="Reference">
    <w:name w:val="Reference"/>
    <w:basedOn w:val="Normal"/>
    <w:next w:val="Reference"/>
    <w:pPr>
      <w:spacing w:after="80" w:before="0" w:line="360"/>
      <w:ind w:left="360" w:hanging="360"/>
    </w:pPr>
    <w:rPr>
      <w:rFonts w:ascii="Times New Roman" w:cs="Times New Roman" w:eastAsia="Times New Roman" w:hAnsi="Times New Roman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2026-08-04T11:15:20.354Z</dcterms:created>
  <dcterms:modified xsi:type="dcterms:W3CDTF">2026-08-04T11:15:20.354Z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