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footer12.xml" ContentType="application/vnd.openxmlformats-officedocument.wordprocessingml.foot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footer15.xml" ContentType="application/vnd.openxmlformats-officedocument.wordprocessingml.footer+xml"/>
  <Override PartName="/word/footer16.xml" ContentType="application/vnd.openxmlformats-officedocument.wordprocessingml.footer+xml"/>
  <Override PartName="/word/footer17.xml" ContentType="application/vnd.openxmlformats-officedocument.wordprocessingml.footer+xml"/>
  <Override PartName="/word/footer18.xml" ContentType="application/vnd.openxmlformats-officedocument.wordprocessingml.footer+xml"/>
  <Override PartName="/word/footer19.xml" ContentType="application/vnd.openxmlformats-officedocument.wordprocessingml.footer+xml"/>
  <Override PartName="/word/footer2.xml" ContentType="application/vnd.openxmlformats-officedocument.wordprocessingml.footer+xml"/>
  <Override PartName="/word/footer20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spacing w:after="320"/>
        <w:jc w:val="center"/>
      </w:pPr>
      <w:r>
        <w:t>Supplementary Material</w:t>
      </w:r>
    </w:p>
    <w:p>
      <w:r>
        <w:t>This file contains supplementary methods, 11 supplementary tables, and 8 supplementary figures for the manuscript. Individual figure files are also supplied separately when required by the submission system.</w:t>
      </w:r>
    </w:p>
    <w:p>
      <w:pPr>
        <w:pStyle w:val="Heading1"/>
      </w:pPr>
      <w:r>
        <w:t>Supplementary Methods</w:t>
      </w:r>
    </w:p>
    <w:p>
      <w:r>
        <w:t>Supplementary analyses included lagged generalised estimating equation (GEE) models, generalised additive model (GAM) nonlinearity checks, latent growth curve models, carry-forward definitions, subgroup and interaction analyses, and latent class growth analysis/group-based trajectory modelling (LCGA/GBTM). Primary models were unweighted complete-case models. Longitudinal inverse-probability weights were not applied because validated attrition weights for the outcome-specific risk sets were not available in the released analytic files.</w:t>
      </w:r>
    </w:p>
    <w:p>
      <w:r>
        <w:t>Abbreviations: ADL, activities of daily living; APP, average posterior probability; CMR, cardiometabolic-renal; GAM, generalised additive model; GBTM, group-based trajectory modelling; GEE, generalised estimating equation; IADL, instrumental activities of daily living; LCGA, latent class growth analysis.</w:t>
      </w:r>
    </w:p>
    <w:p>
      <w:pPr>
        <w:sectPr>
          <w:footerReference w:type="default" r:id="rId9"/>
          <w:pgSz w:w="12240" w:h="15840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S1. Operational definitions of rule-based CMR burden change patterns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cantSplit/>
          <w:tblHeader w:val="true"/>
        </w:trPr>
        <w:tc>
          <w:tcPr>
            <w:tcW w:type="dxa" w:w="3761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Pattern</w:t>
            </w:r>
          </w:p>
        </w:tc>
        <w:tc>
          <w:tcPr>
            <w:tcW w:type="dxa" w:w="6405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Operational definition</w:t>
            </w:r>
          </w:p>
        </w:tc>
      </w:tr>
      <w:tr>
        <w:trPr>
          <w:cantSplit/>
        </w:trPr>
        <w:tc>
          <w:tcPr>
            <w:tcW w:type="dxa" w:w="376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Low-stable burden</w:t>
            </w:r>
          </w:p>
        </w:tc>
        <w:tc>
          <w:tcPr>
            <w:tcW w:type="dxa" w:w="640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Maximum score ≤1 and mean score &lt;1</w:t>
            </w:r>
          </w:p>
        </w:tc>
      </w:tr>
      <w:tr>
        <w:trPr>
          <w:cantSplit/>
        </w:trPr>
        <w:tc>
          <w:tcPr>
            <w:tcW w:type="dxa" w:w="376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Increasing burden</w:t>
            </w:r>
          </w:p>
        </w:tc>
        <w:tc>
          <w:tcPr>
            <w:tcW w:type="dxa" w:w="640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2018 score minus 2011 score ≥1 and individual slope &gt;0</w:t>
            </w:r>
          </w:p>
        </w:tc>
      </w:tr>
      <w:tr>
        <w:trPr>
          <w:cantSplit/>
        </w:trPr>
        <w:tc>
          <w:tcPr>
            <w:tcW w:type="dxa" w:w="376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Decreasing burden</w:t>
            </w:r>
          </w:p>
        </w:tc>
        <w:tc>
          <w:tcPr>
            <w:tcW w:type="dxa" w:w="640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2018 score minus 2011 score ≤-1 and individual slope &lt;0</w:t>
            </w:r>
          </w:p>
        </w:tc>
      </w:tr>
      <w:tr>
        <w:trPr>
          <w:cantSplit/>
        </w:trPr>
        <w:tc>
          <w:tcPr>
            <w:tcW w:type="dxa" w:w="376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Persistent/fluctuating moderate-high burden</w:t>
            </w:r>
          </w:p>
        </w:tc>
        <w:tc>
          <w:tcPr>
            <w:tcW w:type="dxa" w:w="640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Mean score ≥2 or high-burden waves ≥50%</w:t>
            </w:r>
          </w:p>
        </w:tc>
      </w:tr>
      <w:tr>
        <w:trPr>
          <w:cantSplit/>
        </w:trPr>
        <w:tc>
          <w:tcPr>
            <w:tcW w:type="dxa" w:w="3761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Intermediate-stable burden</w:t>
            </w:r>
          </w:p>
        </w:tc>
        <w:tc>
          <w:tcPr>
            <w:tcW w:type="dxa" w:w="6405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Remaining classifiable participants</w:t>
            </w:r>
          </w:p>
        </w:tc>
      </w:tr>
    </w:tbl>
    <w:p>
      <w:pPr>
        <w:spacing w:before="80"/>
      </w:pPr>
      <w:r>
        <w:rPr>
          <w:i/>
          <w:sz w:val="18"/>
        </w:rPr>
        <w:t>Note: High burden was defined as a CMR burden score ≥2.</w:t>
      </w:r>
    </w:p>
    <w:p>
      <w:pPr>
        <w:sectPr>
          <w:footerReference w:type="default" r:id="rId10"/>
          <w:pgSz w:w="12240" w:h="15840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S2. Main analysis sample flow and event counts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cantSplit/>
          <w:tblHeader w:val="true"/>
        </w:trPr>
        <w:tc>
          <w:tcPr>
            <w:tcW w:type="dxa" w:w="7726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Item</w:t>
            </w:r>
          </w:p>
        </w:tc>
        <w:tc>
          <w:tcPr>
            <w:tcW w:type="dxa" w:w="2440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N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Five-wave complete participants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10927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Participants with valid 2011-2018 burden pattern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10556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Eligible for incident functional impairment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7296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Incident functional impairment events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1601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Eligible for incident ADL impairment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8588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Incident ADL impairment events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1481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Eligible for incident IADL impairment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8010</w:t>
            </w:r>
          </w:p>
        </w:tc>
      </w:tr>
      <w:tr>
        <w:trPr>
          <w:cantSplit/>
        </w:trPr>
        <w:tc>
          <w:tcPr>
            <w:tcW w:type="dxa" w:w="7726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Incident IADL impairment events</w:t>
            </w:r>
          </w:p>
        </w:tc>
        <w:tc>
          <w:tcPr>
            <w:tcW w:type="dxa" w:w="2440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1233</w:t>
            </w:r>
          </w:p>
        </w:tc>
      </w:tr>
    </w:tbl>
    <w:p>
      <w:pPr>
        <w:sectPr>
          <w:footerReference w:type="default" r:id="rId11"/>
          <w:pgSz w:w="12240" w:h="15840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S3. Distribution of five-wave CMR burden classifications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541"/>
        <w:gridCol w:w="2541"/>
        <w:gridCol w:w="2541"/>
        <w:gridCol w:w="2541"/>
      </w:tblGrid>
      <w:tr>
        <w:trPr>
          <w:cantSplit/>
          <w:tblHeader w:val="true"/>
        </w:trPr>
        <w:tc>
          <w:tcPr>
            <w:tcW w:type="dxa" w:w="5286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Classification</w:t>
            </w:r>
          </w:p>
        </w:tc>
        <w:tc>
          <w:tcPr>
            <w:tcW w:type="dxa" w:w="16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N</w:t>
            </w:r>
          </w:p>
        </w:tc>
        <w:tc>
          <w:tcPr>
            <w:tcW w:type="dxa" w:w="16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Proportion</w:t>
            </w:r>
          </w:p>
        </w:tc>
        <w:tc>
          <w:tcPr>
            <w:tcW w:type="dxa" w:w="16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Percent (%)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Low-stable burden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5745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0.53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52.60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Intermediate-stable burden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1635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0.15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15.00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Increasing burden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1884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0.17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17.20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Decreasing burden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519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0.05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4.70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Persistent/fluctuating moderate-high burden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773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0.07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7.10</w:t>
            </w:r>
          </w:p>
        </w:tc>
      </w:tr>
      <w:tr>
        <w:trPr>
          <w:cantSplit/>
        </w:trPr>
        <w:tc>
          <w:tcPr>
            <w:tcW w:type="dxa" w:w="5286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Not classified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371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0.03</w:t>
            </w:r>
          </w:p>
        </w:tc>
        <w:tc>
          <w:tcPr>
            <w:tcW w:type="dxa" w:w="16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3.40</w:t>
            </w:r>
          </w:p>
        </w:tc>
      </w:tr>
    </w:tbl>
    <w:p>
      <w:pPr>
        <w:sectPr>
          <w:footerReference w:type="default" r:id="rId12"/>
          <w:pgSz w:w="12240" w:h="15840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S4. Latent growth curve model fit indices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5083"/>
        <w:gridCol w:w="5083"/>
      </w:tblGrid>
      <w:tr>
        <w:trPr>
          <w:cantSplit/>
          <w:tblHeader w:val="true"/>
        </w:trPr>
        <w:tc>
          <w:tcPr>
            <w:tcW w:type="dxa" w:w="63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8"/>
              </w:rPr>
              <w:t>Measure</w:t>
            </w:r>
          </w:p>
        </w:tc>
        <w:tc>
          <w:tcPr>
            <w:tcW w:type="dxa" w:w="386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8"/>
              </w:rPr>
              <w:t>Value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CFI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0.96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TLI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0.95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RMSEA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0.14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SRMR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0.05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AIC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84677.08</w:t>
            </w:r>
          </w:p>
        </w:tc>
      </w:tr>
      <w:tr>
        <w:trPr>
          <w:cantSplit/>
        </w:trPr>
        <w:tc>
          <w:tcPr>
            <w:tcW w:type="dxa" w:w="63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BIC</w:t>
            </w:r>
          </w:p>
        </w:tc>
        <w:tc>
          <w:tcPr>
            <w:tcW w:type="dxa" w:w="386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8"/>
              </w:rPr>
              <w:t>84742.77</w:t>
            </w:r>
          </w:p>
        </w:tc>
      </w:tr>
    </w:tbl>
    <w:p>
      <w:pPr>
        <w:sectPr>
          <w:footerReference w:type="default" r:id="rId13"/>
          <w:pgSz w:w="12240" w:h="15840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S5. Lagged GAM nonlinearity tests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  <w:gridCol w:w="1967"/>
        <w:gridCol w:w="1967"/>
      </w:tblGrid>
      <w:tr>
        <w:trPr>
          <w:cantSplit/>
          <w:tblHeader w:val="true"/>
        </w:trPr>
        <w:tc>
          <w:tcPr>
            <w:tcW w:type="dxa" w:w="275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Outcome</w:t>
            </w:r>
          </w:p>
        </w:tc>
        <w:tc>
          <w:tcPr>
            <w:tcW w:type="dxa" w:w="371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Smooth term</w:t>
            </w:r>
          </w:p>
        </w:tc>
        <w:tc>
          <w:tcPr>
            <w:tcW w:type="dxa" w:w="964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edf</w:t>
            </w:r>
          </w:p>
        </w:tc>
        <w:tc>
          <w:tcPr>
            <w:tcW w:type="dxa" w:w="1514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Statistic</w:t>
            </w:r>
          </w:p>
        </w:tc>
        <w:tc>
          <w:tcPr>
            <w:tcW w:type="dxa" w:w="1101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</w:t>
            </w:r>
          </w:p>
        </w:tc>
        <w:tc>
          <w:tcPr>
            <w:tcW w:type="dxa" w:w="19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1790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Events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Functional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s(Prior-wave CMR burden)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1.00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539.76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34578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10843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Functional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s(survey year)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2.91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230.80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34578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10843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ADL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s(Prior-wave CMR burden)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1.29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465.78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34483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7308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ADL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s(survey year)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2.96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289.02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34483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7308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IADL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s(Prior-wave CMR burden)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1.02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394.65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34577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8089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IADL impairment</w:t>
            </w:r>
          </w:p>
        </w:tc>
        <w:tc>
          <w:tcPr>
            <w:tcW w:type="dxa" w:w="371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s(survey year)</w:t>
            </w:r>
          </w:p>
        </w:tc>
        <w:tc>
          <w:tcPr>
            <w:tcW w:type="dxa" w:w="964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2.58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172.17</w:t>
            </w:r>
          </w:p>
        </w:tc>
        <w:tc>
          <w:tcPr>
            <w:tcW w:type="dxa" w:w="1101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&lt;0.001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34577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8089</w:t>
            </w:r>
          </w:p>
        </w:tc>
      </w:tr>
    </w:tbl>
    <w:p>
      <w:pPr>
        <w:sectPr>
          <w:footerReference w:type="default" r:id="rId14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S6. Interaction tests for mean CMR burden score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  <w:gridCol w:w="1967"/>
        <w:gridCol w:w="1967"/>
      </w:tblGrid>
      <w:tr>
        <w:trPr>
          <w:cantSplit/>
          <w:tblHeader w:val="true"/>
        </w:trPr>
        <w:tc>
          <w:tcPr>
            <w:tcW w:type="dxa" w:w="302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Outcome</w:t>
            </w:r>
          </w:p>
        </w:tc>
        <w:tc>
          <w:tcPr>
            <w:tcW w:type="dxa" w:w="2478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Exposure</w:t>
            </w:r>
          </w:p>
        </w:tc>
        <w:tc>
          <w:tcPr>
            <w:tcW w:type="dxa" w:w="22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Modifier</w:t>
            </w:r>
          </w:p>
        </w:tc>
        <w:tc>
          <w:tcPr>
            <w:tcW w:type="dxa" w:w="1514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137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Events</w:t>
            </w:r>
          </w:p>
        </w:tc>
        <w:tc>
          <w:tcPr>
            <w:tcW w:type="dxa" w:w="19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 for interaction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Mean CMR burden score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Sex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5808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1289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0.45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Mean CMR burden score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Age group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5808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1289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0.46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Mean CMR burden score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Depressive symptoms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5808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1289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0.91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Mean CMR burden score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Non-CMR disease burden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5808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1289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0.60</w:t>
            </w:r>
          </w:p>
        </w:tc>
      </w:tr>
    </w:tbl>
    <w:p>
      <w:pPr>
        <w:sectPr>
          <w:footerReference w:type="default" r:id="rId15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S7. Global interaction tests for CMR burden patterns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  <w:gridCol w:w="1967"/>
        <w:gridCol w:w="1967"/>
      </w:tblGrid>
      <w:tr>
        <w:trPr>
          <w:cantSplit/>
          <w:tblHeader w:val="true"/>
        </w:trPr>
        <w:tc>
          <w:tcPr>
            <w:tcW w:type="dxa" w:w="302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Outcome</w:t>
            </w:r>
          </w:p>
        </w:tc>
        <w:tc>
          <w:tcPr>
            <w:tcW w:type="dxa" w:w="2478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Exposure</w:t>
            </w:r>
          </w:p>
        </w:tc>
        <w:tc>
          <w:tcPr>
            <w:tcW w:type="dxa" w:w="22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Modifier</w:t>
            </w:r>
          </w:p>
        </w:tc>
        <w:tc>
          <w:tcPr>
            <w:tcW w:type="dxa" w:w="1514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Model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137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Events</w:t>
            </w:r>
          </w:p>
        </w:tc>
        <w:tc>
          <w:tcPr>
            <w:tcW w:type="dxa" w:w="19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 for interaction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CMR burden pattern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Sex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5657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1252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0.28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CMR burden pattern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Age group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5657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1252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0.85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CMR burden pattern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Depressive symptoms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5657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1252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0.52</w:t>
            </w:r>
          </w:p>
        </w:tc>
      </w:tr>
      <w:tr>
        <w:trPr>
          <w:cantSplit/>
        </w:trPr>
        <w:tc>
          <w:tcPr>
            <w:tcW w:type="dxa" w:w="302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Incident functional impairment</w:t>
            </w:r>
          </w:p>
        </w:tc>
        <w:tc>
          <w:tcPr>
            <w:tcW w:type="dxa" w:w="2478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CMR burden pattern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Non-CMR disease burden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Model 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5657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1252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0.02</w:t>
            </w:r>
          </w:p>
        </w:tc>
      </w:tr>
    </w:tbl>
    <w:p>
      <w:pPr>
        <w:sectPr>
          <w:footerReference w:type="default" r:id="rId16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S8. LCGA/GBTM candidate model fit indices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rPr>
          <w:cantSplit/>
          <w:tblHeader w:val="true"/>
        </w:trPr>
        <w:tc>
          <w:tcPr>
            <w:tcW w:type="dxa" w:w="1101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4"/>
              </w:rPr>
              <w:t>Number of classes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Convergence code</w:t>
            </w:r>
          </w:p>
        </w:tc>
        <w:tc>
          <w:tcPr>
            <w:tcW w:type="dxa" w:w="2065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Log likelihood</w:t>
            </w:r>
          </w:p>
        </w:tc>
        <w:tc>
          <w:tcPr>
            <w:tcW w:type="dxa" w:w="137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AIC</w:t>
            </w:r>
          </w:p>
        </w:tc>
        <w:tc>
          <w:tcPr>
            <w:tcW w:type="dxa" w:w="137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BIC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Entropy</w:t>
            </w:r>
          </w:p>
        </w:tc>
        <w:tc>
          <w:tcPr>
            <w:tcW w:type="dxa" w:w="1790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Minimum class N</w:t>
            </w:r>
          </w:p>
        </w:tc>
        <w:tc>
          <w:tcPr>
            <w:tcW w:type="dxa" w:w="19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Minimum class proportion</w:t>
            </w:r>
          </w:p>
        </w:tc>
        <w:tc>
          <w:tcPr>
            <w:tcW w:type="dxa" w:w="1652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4"/>
              </w:rPr>
              <w:t>Mean APP</w:t>
            </w:r>
          </w:p>
        </w:tc>
      </w:tr>
      <w:tr>
        <w:trPr>
          <w:cantSplit/>
        </w:trPr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−42648.96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85305.92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85334.98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10556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1.00</w:t>
            </w:r>
          </w:p>
        </w:tc>
        <w:tc>
          <w:tcPr>
            <w:tcW w:type="dxa" w:w="16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</w:r>
          </w:p>
        </w:tc>
      </w:tr>
      <w:tr>
        <w:trPr>
          <w:cantSplit/>
        </w:trPr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−41038.78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82091.56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82142.41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0.78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1533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0.15</w:t>
            </w:r>
          </w:p>
        </w:tc>
        <w:tc>
          <w:tcPr>
            <w:tcW w:type="dxa" w:w="16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0.94</w:t>
            </w:r>
          </w:p>
        </w:tc>
      </w:tr>
      <w:tr>
        <w:trPr>
          <w:cantSplit/>
        </w:trPr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3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−41038.78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82097.56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82170.20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0.39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1536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0.15</w:t>
            </w:r>
          </w:p>
        </w:tc>
        <w:tc>
          <w:tcPr>
            <w:tcW w:type="dxa" w:w="16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0.69</w:t>
            </w:r>
          </w:p>
        </w:tc>
      </w:tr>
      <w:tr>
        <w:trPr>
          <w:cantSplit/>
        </w:trPr>
        <w:tc>
          <w:tcPr>
            <w:tcW w:type="dxa" w:w="1101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4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−41038.78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82103.56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82198.00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0.25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1861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0.18</w:t>
            </w:r>
          </w:p>
        </w:tc>
        <w:tc>
          <w:tcPr>
            <w:tcW w:type="dxa" w:w="1652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0.52</w:t>
            </w:r>
          </w:p>
        </w:tc>
      </w:tr>
      <w:tr>
        <w:trPr>
          <w:cantSplit/>
        </w:trPr>
        <w:tc>
          <w:tcPr>
            <w:tcW w:type="dxa" w:w="1101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5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2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−41038.78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82109.56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82225.79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0.19</w:t>
            </w:r>
          </w:p>
        </w:tc>
        <w:tc>
          <w:tcPr>
            <w:tcW w:type="dxa" w:w="1790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2001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0.19</w:t>
            </w:r>
          </w:p>
        </w:tc>
        <w:tc>
          <w:tcPr>
            <w:tcW w:type="dxa" w:w="1652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4"/>
              </w:rPr>
              <w:t>0.40</w:t>
            </w:r>
          </w:p>
        </w:tc>
      </w:tr>
    </w:tbl>
    <w:p>
      <w:pPr>
        <w:sectPr>
          <w:footerReference w:type="default" r:id="rId17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S9. Selected LCGA/GBTM class distribution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  <w:gridCol w:w="1967"/>
        <w:gridCol w:w="1967"/>
      </w:tblGrid>
      <w:tr>
        <w:trPr>
          <w:cantSplit/>
          <w:tblHeader w:val="true"/>
        </w:trPr>
        <w:tc>
          <w:tcPr>
            <w:tcW w:type="dxa" w:w="2478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Trajectory class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1514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Percent (%)</w:t>
            </w:r>
          </w:p>
        </w:tc>
        <w:tc>
          <w:tcPr>
            <w:tcW w:type="dxa" w:w="22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burden overall</w:t>
            </w:r>
          </w:p>
        </w:tc>
        <w:tc>
          <w:tcPr>
            <w:tcW w:type="dxa" w:w="22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burden in 2011</w:t>
            </w:r>
          </w:p>
        </w:tc>
        <w:tc>
          <w:tcPr>
            <w:tcW w:type="dxa" w:w="220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burden in 2018</w:t>
            </w:r>
          </w:p>
        </w:tc>
        <w:tc>
          <w:tcPr>
            <w:tcW w:type="dxa" w:w="192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Change, 2011–2018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Class 1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9023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85.48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0.66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0.62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0.62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-0.002</w:t>
            </w:r>
          </w:p>
        </w:tc>
      </w:tr>
      <w:tr>
        <w:trPr>
          <w:cantSplit/>
        </w:trPr>
        <w:tc>
          <w:tcPr>
            <w:tcW w:type="dxa" w:w="2478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Class 2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1533</w:t>
            </w:r>
          </w:p>
        </w:tc>
        <w:tc>
          <w:tcPr>
            <w:tcW w:type="dxa" w:w="1514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14.52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1.65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1.01</w:t>
            </w:r>
          </w:p>
        </w:tc>
        <w:tc>
          <w:tcPr>
            <w:tcW w:type="dxa" w:w="220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2.51</w:t>
            </w:r>
          </w:p>
        </w:tc>
        <w:tc>
          <w:tcPr>
            <w:tcW w:type="dxa" w:w="192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1.51</w:t>
            </w:r>
          </w:p>
        </w:tc>
      </w:tr>
    </w:tbl>
    <w:p>
      <w:pPr>
        <w:sectPr>
          <w:footerReference w:type="default" r:id="rId18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S10. Selected LCGA/GBTM posterior probability summary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1967"/>
        <w:gridCol w:w="1967"/>
        <w:gridCol w:w="1967"/>
        <w:gridCol w:w="1967"/>
        <w:gridCol w:w="1967"/>
        <w:gridCol w:w="1967"/>
        <w:gridCol w:w="1967"/>
      </w:tblGrid>
      <w:tr>
        <w:trPr>
          <w:cantSplit/>
          <w:tblHeader w:val="true"/>
        </w:trPr>
        <w:tc>
          <w:tcPr>
            <w:tcW w:type="dxa" w:w="1790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Trajectory class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Raw class</w:t>
            </w:r>
          </w:p>
        </w:tc>
        <w:tc>
          <w:tcPr>
            <w:tcW w:type="dxa" w:w="1377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Class order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275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assigned posterior probability</w:t>
            </w:r>
          </w:p>
        </w:tc>
        <w:tc>
          <w:tcPr>
            <w:tcW w:type="dxa" w:w="275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Median assigned posterior probability</w:t>
            </w:r>
          </w:p>
        </w:tc>
        <w:tc>
          <w:tcPr>
            <w:tcW w:type="dxa" w:w="2616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Minimum assigned posterior probability</w:t>
            </w:r>
          </w:p>
        </w:tc>
      </w:tr>
      <w:tr>
        <w:trPr>
          <w:cantSplit/>
        </w:trPr>
        <w:tc>
          <w:tcPr>
            <w:tcW w:type="dxa" w:w="179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Class 1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9023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0.96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1.00</w:t>
            </w:r>
          </w:p>
        </w:tc>
        <w:tc>
          <w:tcPr>
            <w:tcW w:type="dxa" w:w="261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0.55</w:t>
            </w:r>
          </w:p>
        </w:tc>
      </w:tr>
      <w:tr>
        <w:trPr>
          <w:cantSplit/>
        </w:trPr>
        <w:tc>
          <w:tcPr>
            <w:tcW w:type="dxa" w:w="1790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Class 2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</w:t>
            </w:r>
          </w:p>
        </w:tc>
        <w:tc>
          <w:tcPr>
            <w:tcW w:type="dxa" w:w="1377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2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1533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0.84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0.91</w:t>
            </w:r>
          </w:p>
        </w:tc>
        <w:tc>
          <w:tcPr>
            <w:tcW w:type="dxa" w:w="2616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0.50</w:t>
            </w:r>
          </w:p>
        </w:tc>
      </w:tr>
    </w:tbl>
    <w:p>
      <w:pPr>
        <w:sectPr>
          <w:footerReference w:type="default" r:id="rId19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Table S11. Attrition diagnostics by five-wave completion status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</w:tblPr>
      <w:tblGrid>
        <w:gridCol w:w="2294"/>
        <w:gridCol w:w="2294"/>
        <w:gridCol w:w="2294"/>
        <w:gridCol w:w="2294"/>
        <w:gridCol w:w="2294"/>
        <w:gridCol w:w="2294"/>
      </w:tblGrid>
      <w:tr>
        <w:trPr>
          <w:cantSplit/>
          <w:tblHeader w:val="true"/>
        </w:trPr>
        <w:tc>
          <w:tcPr>
            <w:tcW w:type="dxa" w:w="275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/>
                <w:sz w:val="16"/>
              </w:rPr>
              <w:t>Five-wave completion status</w:t>
            </w:r>
          </w:p>
        </w:tc>
        <w:tc>
          <w:tcPr>
            <w:tcW w:type="dxa" w:w="1239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N</w:t>
            </w:r>
          </w:p>
        </w:tc>
        <w:tc>
          <w:tcPr>
            <w:tcW w:type="dxa" w:w="2340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Mean baseline age, years</w:t>
            </w:r>
          </w:p>
        </w:tc>
        <w:tc>
          <w:tcPr>
            <w:tcW w:type="dxa" w:w="2065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SD of baseline age</w:t>
            </w:r>
          </w:p>
        </w:tc>
        <w:tc>
          <w:tcPr>
            <w:tcW w:type="dxa" w:w="2753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Baseline ADL impairment, proportion</w:t>
            </w:r>
          </w:p>
        </w:tc>
        <w:tc>
          <w:tcPr>
            <w:tcW w:type="dxa" w:w="2616"/>
            <w:vAlign w:val="center"/>
            <w:tcBorders>
              <w:top w:val="single" w:sz="10" w:color="000000"/>
              <w:left w:val="nil"/>
              <w:bottom w:val="single" w:sz="6" w:color="80808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/>
                <w:sz w:val="16"/>
              </w:rPr>
              <w:t>Baseline IADL impairment, proportion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No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6781</w:t>
            </w:r>
          </w:p>
        </w:tc>
        <w:tc>
          <w:tcPr>
            <w:tcW w:type="dxa" w:w="2340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60.96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11.62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0.20</w:t>
            </w:r>
          </w:p>
        </w:tc>
        <w:tc>
          <w:tcPr>
            <w:tcW w:type="dxa" w:w="2616"/>
            <w:vAlign w:val="center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0.25</w:t>
            </w:r>
          </w:p>
        </w:tc>
      </w:tr>
      <w:tr>
        <w:trPr>
          <w:cantSplit/>
        </w:trPr>
        <w:tc>
          <w:tcPr>
            <w:tcW w:type="dxa" w:w="275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left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Yes</w:t>
            </w:r>
          </w:p>
        </w:tc>
        <w:tc>
          <w:tcPr>
            <w:tcW w:type="dxa" w:w="1239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10927</w:t>
            </w:r>
          </w:p>
        </w:tc>
        <w:tc>
          <w:tcPr>
            <w:tcW w:type="dxa" w:w="2340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57.61</w:t>
            </w:r>
          </w:p>
        </w:tc>
        <w:tc>
          <w:tcPr>
            <w:tcW w:type="dxa" w:w="2065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8.95</w:t>
            </w:r>
          </w:p>
        </w:tc>
        <w:tc>
          <w:tcPr>
            <w:tcW w:type="dxa" w:w="2753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0.15</w:t>
            </w:r>
          </w:p>
        </w:tc>
        <w:tc>
          <w:tcPr>
            <w:tcW w:type="dxa" w:w="2616"/>
            <w:vAlign w:val="center"/>
            <w:tcBorders>
              <w:top w:val="nil"/>
              <w:left w:val="nil"/>
              <w:bottom w:val="single" w:sz="10" w:color="000000"/>
              <w:right w:val="nil"/>
              <w:insideH w:val="nil"/>
              <w:insideV w:val="nil"/>
            </w:tcBorders>
          </w:tcPr>
          <w:p>
            <w:pPr>
              <w:spacing w:before="0" w:after="0" w:line="240" w:lineRule="auto"/>
              <w:jc w:val="center"/>
            </w:pPr>
            <w:r>
              <w:rPr>
                <w:rFonts w:ascii="Times New Roman" w:hAnsi="Times New Roman" w:eastAsia="Times New Roman"/>
                <w:b w:val="0"/>
                <w:sz w:val="16"/>
              </w:rPr>
              <w:t>0.19</w:t>
            </w:r>
          </w:p>
        </w:tc>
      </w:tr>
    </w:tbl>
    <w:p>
      <w:pPr>
        <w:sectPr>
          <w:footerReference w:type="default" r:id="rId20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S1. Mean CMR burden across five CHARLS waves by the rule-based 2011–2018 change pattern.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5486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2_CMR_burden_change_patterns_v01.png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4864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1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S2. Lagged GEE associations of prior-wave CMR burden with next-wave functional impairment.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3866606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2_lagged_GEE_forest_v01.png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3866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3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S3. Associations of latent growth factors with incident functional impairment.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3866606"/>
            <wp:docPr id="3" name="Picture 3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3_LGCM_forest_v01.png"/>
                    <pic:cNvPicPr/>
                  </pic:nvPicPr>
                  <pic:blipFill>
                    <a:blip r:embed="rId2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3866606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5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S4. Carry-forward sensitivity analysis of CMR burden change patterns.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4792980"/>
            <wp:docPr id="4" name="Picture 4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4_carry_forward_patterns_forest_v01.png"/>
                    <pic:cNvPicPr/>
                  </pic:nvPicPr>
                  <pic:blipFill>
                    <a:blip r:embed="rId28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7929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7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S5. Carry-forward sensitivity analysis of cumulative CMR burden.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4792980"/>
            <wp:docPr id="5" name="Picture 5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5_carry_forward_cumulative_forest_v01.png"/>
                    <pic:cNvPicPr/>
                  </pic:nvPicPr>
                  <pic:blipFill>
                    <a:blip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7929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29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S6. Subgroup associations of mean CMR burden with incident functional impairment.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4390209"/>
            <wp:docPr id="6" name="Picture 6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6_subgroup_mean_burden_forest_v01.png"/>
                    <pic:cNvPicPr/>
                  </pic:nvPicPr>
                  <pic:blipFill>
                    <a:blip r:embed="rId32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4390209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31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S7. LCGA/GBTM CMR burden trajectories from 2011 to 2018.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5453313"/>
            <wp:docPr id="7" name="Picture 7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7_LCGA_GBTM_trajectories_v01.png"/>
                    <pic:cNvPicPr/>
                  </pic:nvPicPr>
                  <pic:blipFill>
                    <a:blip r:embed="rId34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5453313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ectPr>
          <w:footerReference w:type="default" r:id="rId33"/>
          <w:pgSz w:w="15840" w:h="12240" w:orient="landscape"/>
          <w:pgMar w:top="1037" w:right="1037" w:bottom="979" w:left="1037" w:header="360" w:footer="403" w:gutter="0"/>
          <w:cols w:space="720"/>
          <w:docGrid w:linePitch="360"/>
        </w:sectPr>
      </w:pPr>
    </w:p>
    <w:p>
      <w:pPr>
        <w:pStyle w:val="Heading2"/>
        <w:keepNext/>
      </w:pPr>
      <w:r>
        <w:t>Figure S8. Associations of LCGA/GBTM trajectory class with incident functional impairment.</w:t>
      </w:r>
    </w:p>
    <w:p>
      <w:pPr>
        <w:spacing w:before="80"/>
        <w:jc w:val="center"/>
      </w:pPr>
      <w:r>
        <w:drawing>
          <wp:inline xmlns:a="http://schemas.openxmlformats.org/drawingml/2006/main" xmlns:pic="http://schemas.openxmlformats.org/drawingml/2006/picture">
            <wp:extent cx="8458200" cy="3866606"/>
            <wp:docPr id="8" name="Picture 8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igureS8_LCGA_GBTM_RR_forest_v01.png"/>
                    <pic:cNvPicPr/>
                  </pic:nvPicPr>
                  <pic:blipFill>
                    <a:blip r:embed="rId36"/>
                    <a:stretch>
                      <a:fillRect/>
                    </a:stretch>
                  </pic:blipFill>
                  <pic:spPr>
                    <a:xfrm>
                      <a:off x="0" y="0"/>
                      <a:ext cx="8458200" cy="3866606"/>
                    </a:xfrm>
                    <a:prstGeom prst="rect"/>
                  </pic:spPr>
                </pic:pic>
              </a:graphicData>
            </a:graphic>
          </wp:inline>
        </w:drawing>
      </w:r>
    </w:p>
    <w:sectPr w:rsidR="00FC693F" w:rsidRPr="0006063C" w:rsidSect="00034616">
      <w:footerReference w:type="default" r:id="rId35"/>
      <w:pgSz w:w="15840" w:h="12240" w:orient="landscape"/>
      <w:pgMar w:top="1037" w:right="1037" w:bottom="979" w:left="1037" w:header="360" w:footer="403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0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19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20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4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5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6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7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8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footer9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fldChar w:fldCharType="begin"/>
      <w:instrText xml:space="preserve"> PAGE 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20" w:line="276" w:lineRule="auto"/>
    </w:pPr>
    <w:rPr>
      <w:rFonts w:ascii="Times New Roman" w:hAnsi="Times New Roman" w:eastAsia="Times New Roman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120" w:after="160"/>
      <w:outlineLvl w:val="0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120" w:after="160"/>
      <w:outlineLvl w:val="1"/>
    </w:pPr>
    <w:rPr>
      <w:rFonts w:asciiTheme="majorHAnsi" w:eastAsiaTheme="majorEastAsia" w:hAnsiTheme="majorHAnsi" w:cstheme="majorBidi" w:ascii="Times New Roman" w:hAnsi="Times New Roman" w:eastAsia="Times New Roman"/>
      <w:b/>
      <w:bCs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keepNext/>
      <w:pBdr>
        <w:bottom w:val="single" w:sz="8" w:space="4" w:color="4F81BD" w:themeColor="accent1"/>
      </w:pBdr>
      <w:spacing w:after="160" w:line="240" w:lineRule="auto" w:before="120"/>
      <w:contextualSpacing/>
    </w:pPr>
    <w:rPr>
      <w:rFonts w:asciiTheme="majorHAnsi" w:eastAsiaTheme="majorEastAsia" w:hAnsiTheme="majorHAnsi" w:cstheme="majorBidi" w:ascii="Times New Roman" w:hAnsi="Times New Roman" w:eastAsia="Times New Roman"/>
      <w:b/>
      <w:spacing w:val="5"/>
      <w:kern w:val="28"/>
      <w:sz w:val="36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footer" Target="footer4.xml"/><Relationship Id="rId13" Type="http://schemas.openxmlformats.org/officeDocument/2006/relationships/footer" Target="footer5.xml"/><Relationship Id="rId14" Type="http://schemas.openxmlformats.org/officeDocument/2006/relationships/footer" Target="footer6.xml"/><Relationship Id="rId15" Type="http://schemas.openxmlformats.org/officeDocument/2006/relationships/footer" Target="footer7.xml"/><Relationship Id="rId16" Type="http://schemas.openxmlformats.org/officeDocument/2006/relationships/footer" Target="footer8.xml"/><Relationship Id="rId17" Type="http://schemas.openxmlformats.org/officeDocument/2006/relationships/footer" Target="footer9.xml"/><Relationship Id="rId18" Type="http://schemas.openxmlformats.org/officeDocument/2006/relationships/footer" Target="footer10.xml"/><Relationship Id="rId19" Type="http://schemas.openxmlformats.org/officeDocument/2006/relationships/footer" Target="footer11.xml"/><Relationship Id="rId20" Type="http://schemas.openxmlformats.org/officeDocument/2006/relationships/footer" Target="footer12.xml"/><Relationship Id="rId21" Type="http://schemas.openxmlformats.org/officeDocument/2006/relationships/footer" Target="footer13.xml"/><Relationship Id="rId22" Type="http://schemas.openxmlformats.org/officeDocument/2006/relationships/image" Target="media/image1.png"/><Relationship Id="rId23" Type="http://schemas.openxmlformats.org/officeDocument/2006/relationships/footer" Target="footer14.xml"/><Relationship Id="rId24" Type="http://schemas.openxmlformats.org/officeDocument/2006/relationships/image" Target="media/image2.png"/><Relationship Id="rId25" Type="http://schemas.openxmlformats.org/officeDocument/2006/relationships/footer" Target="footer15.xml"/><Relationship Id="rId26" Type="http://schemas.openxmlformats.org/officeDocument/2006/relationships/image" Target="media/image3.png"/><Relationship Id="rId27" Type="http://schemas.openxmlformats.org/officeDocument/2006/relationships/footer" Target="footer16.xml"/><Relationship Id="rId28" Type="http://schemas.openxmlformats.org/officeDocument/2006/relationships/image" Target="media/image4.png"/><Relationship Id="rId29" Type="http://schemas.openxmlformats.org/officeDocument/2006/relationships/footer" Target="footer17.xml"/><Relationship Id="rId30" Type="http://schemas.openxmlformats.org/officeDocument/2006/relationships/image" Target="media/image5.png"/><Relationship Id="rId31" Type="http://schemas.openxmlformats.org/officeDocument/2006/relationships/footer" Target="footer18.xml"/><Relationship Id="rId32" Type="http://schemas.openxmlformats.org/officeDocument/2006/relationships/image" Target="media/image6.png"/><Relationship Id="rId33" Type="http://schemas.openxmlformats.org/officeDocument/2006/relationships/footer" Target="footer19.xml"/><Relationship Id="rId34" Type="http://schemas.openxmlformats.org/officeDocument/2006/relationships/image" Target="media/image7.png"/><Relationship Id="rId35" Type="http://schemas.openxmlformats.org/officeDocument/2006/relationships/footer" Target="footer20.xml"/><Relationship Id="rId36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Supplementary Material</dc:title>
  <dc:subject>BMC Public Health submission</dc:subject>
  <dc:creator>Yan-Feng Zhu and co-authors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