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Times New Roman" w:hAnsi="Times New Roman"/>
          <w:b/>
          <w:bCs/>
          <w:color w:val="000000"/>
          <w:sz w:val="32"/>
          <w:szCs w:val="32"/>
        </w:rPr>
        <w:t xml:space="preserve">Additional file 1</w:t>
      </w:r>
    </w:p>
    <w:p>
      <w:pPr>
        <w:spacing w:after="120" w:line="276"/>
      </w:pPr>
      <w:r>
        <w:rPr>
          <w:rFonts w:ascii="Times New Roman" w:hAnsi="Times New Roman"/>
          <w:i/>
          <w:iCs/>
          <w:sz w:val="22"/>
          <w:szCs w:val="22"/>
        </w:rPr>
        <w:t xml:space="preserve">Supplementary tables accompanying: Formal retirement and multidimensional health among middle-aged and older adults in China: a five-wave within-person analysis of the China Health and Retirement Longitudinal Study.</w:t>
      </w:r>
    </w:p>
    <w:p>
      <w:pPr>
        <w:spacing w:after="240" w:line="276"/>
      </w:pPr>
      <w:r>
        <w:rPr>
          <w:rFonts w:ascii="Times New Roman" w:hAnsi="Times New Roman"/>
          <w:sz w:val="22"/>
          <w:szCs w:val="22"/>
        </w:rPr>
        <w:t xml:space="preserve">Gaofei Zhang and Deqin Wang</w:t>
      </w:r>
    </w:p>
    <w:p>
      <w:pPr>
        <w:spacing w:after="240" w:line="276"/>
      </w:pPr>
      <w:r>
        <w:rPr>
          <w:rFonts w:ascii="Times New Roman" w:hAnsi="Times New Roman"/>
          <w:b/>
          <w:bCs/>
          <w:sz w:val="22"/>
          <w:szCs w:val="22"/>
        </w:rPr>
        <w:t xml:space="preserve">Contents. </w:t>
      </w:r>
      <w:r>
        <w:rPr>
          <w:rFonts w:ascii="Times New Roman" w:hAnsi="Times New Roman"/>
          <w:sz w:val="22"/>
          <w:szCs w:val="22"/>
        </w:rPr>
        <w:t xml:space="preserve">Supplementary Table S1, wave-specific harmonisation of formal retirement status. Supplementary Table S2, missingness in the constructed panel. Supplementary Table S3, model-specific analytic sample sizes. Supplementary Table S4, sensitivity analyses.</w:t>
      </w:r>
    </w:p>
    <w:p>
      <w:pPr>
        <w:spacing w:after="120" w:before="280" w:line="276"/>
      </w:pPr>
      <w:r>
        <w:rPr>
          <w:rFonts w:ascii="Times New Roman" w:hAnsi="Times New Roman"/>
          <w:b/>
          <w:bCs/>
          <w:sz w:val="22"/>
          <w:szCs w:val="22"/>
        </w:rPr>
        <w:t xml:space="preserve">Supplementary Table S1. </w:t>
      </w:r>
      <w:r>
        <w:rPr>
          <w:rFonts w:ascii="Times New Roman" w:hAnsi="Times New Roman"/>
          <w:b/>
          <w:bCs/>
          <w:sz w:val="22"/>
          <w:szCs w:val="22"/>
        </w:rPr>
        <w:t xml:space="preserve">Wave-specific harmonisation of formal retirement status</w:t>
      </w:r>
    </w:p>
    <w:tbl>
      <w:tblPr>
        <w:tblW w:type="dxa" w:w="13000"/>
        <w:tblBorders>
          <w:top w:val="single" w:color="auto" w:sz="4"/>
          <w:left w:val="single" w:color="auto" w:sz="4"/>
          <w:bottom w:val="single" w:color="auto" w:sz="4"/>
          <w:right w:val="single" w:color="auto" w:sz="4"/>
          <w:insideH w:val="single" w:color="auto" w:sz="4"/>
          <w:insideV w:val="single" w:color="auto" w:sz="4"/>
        </w:tblBorders>
      </w:tblPr>
      <w:tblGrid>
        <w:gridCol w:w="1300"/>
        <w:gridCol w:w="3100"/>
        <w:gridCol w:w="2900"/>
        <w:gridCol w:w="2400"/>
        <w:gridCol w:w="3300"/>
      </w:tblGrid>
      <w:tr>
        <w:tc>
          <w:tcPr>
            <w:tcW w:type="dxa" w:w="13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Wave</w:t>
            </w:r>
          </w:p>
        </w:tc>
        <w:tc>
          <w:tcPr>
            <w:tcW w:type="dxa" w:w="31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Source construct</w:t>
            </w:r>
          </w:p>
        </w:tc>
        <w:tc>
          <w:tcPr>
            <w:tcW w:type="dxa" w:w="29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Retirement evidence</w:t>
            </w:r>
          </w:p>
        </w:tc>
        <w:tc>
          <w:tcPr>
            <w:tcW w:type="dxa" w:w="24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Non-retirement evidence</w:t>
            </w:r>
          </w:p>
        </w:tc>
        <w:tc>
          <w:tcPr>
            <w:tcW w:type="dxa" w:w="33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Interpretive boundary</w:t>
            </w:r>
          </w:p>
        </w:tc>
      </w:tr>
      <w:tr>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2011</w:t>
            </w:r>
          </w:p>
        </w:tc>
        <w:tc>
          <w:tcPr>
            <w:tcW w:type="dxa" w:w="31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Formal retirement procedure item</w:t>
            </w:r>
          </w:p>
        </w:tc>
        <w:tc>
          <w:tcPr>
            <w:tcW w:type="dxa" w:w="29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Completed formal retirement procedure</w:t>
            </w:r>
          </w:p>
        </w:tc>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Question-specific non-retirement response</w:t>
            </w:r>
          </w:p>
        </w:tc>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Institutional status; does not establish complete work cessation</w:t>
            </w:r>
          </w:p>
        </w:tc>
      </w:tr>
      <w:tr>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2013</w:t>
            </w:r>
          </w:p>
        </w:tc>
        <w:tc>
          <w:tcPr>
            <w:tcW w:type="dxa" w:w="31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Formal retirement procedure item</w:t>
            </w:r>
          </w:p>
        </w:tc>
        <w:tc>
          <w:tcPr>
            <w:tcW w:type="dxa" w:w="29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Completed formal retirement procedure</w:t>
            </w:r>
          </w:p>
        </w:tc>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Question-specific non-retirement response</w:t>
            </w:r>
          </w:p>
        </w:tc>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As above</w:t>
            </w:r>
          </w:p>
        </w:tc>
      </w:tr>
      <w:tr>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2015</w:t>
            </w:r>
          </w:p>
        </w:tc>
        <w:tc>
          <w:tcPr>
            <w:tcW w:type="dxa" w:w="31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Formal retirement procedure item</w:t>
            </w:r>
          </w:p>
        </w:tc>
        <w:tc>
          <w:tcPr>
            <w:tcW w:type="dxa" w:w="29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Completed formal retirement procedure</w:t>
            </w:r>
          </w:p>
        </w:tc>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Question-specific non-retirement response</w:t>
            </w:r>
          </w:p>
        </w:tc>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As above</w:t>
            </w:r>
          </w:p>
        </w:tc>
      </w:tr>
      <w:tr>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2018</w:t>
            </w:r>
          </w:p>
        </w:tc>
        <w:tc>
          <w:tcPr>
            <w:tcW w:type="dxa" w:w="31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Retirement or internal-retirement item</w:t>
            </w:r>
          </w:p>
        </w:tc>
        <w:tc>
          <w:tcPr>
            <w:tcW w:type="dxa" w:w="29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Completed retirement or internal-retirement procedure</w:t>
            </w:r>
          </w:p>
        </w:tc>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Question-specific non-retirement response</w:t>
            </w:r>
          </w:p>
        </w:tc>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Broad definition additionally includes internal retirement</w:t>
            </w:r>
          </w:p>
        </w:tc>
      </w:tr>
      <w:tr>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2020</w:t>
            </w:r>
          </w:p>
        </w:tc>
        <w:tc>
          <w:tcPr>
            <w:tcW w:type="dxa" w:w="31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Retirement procedure item</w:t>
            </w:r>
          </w:p>
        </w:tc>
        <w:tc>
          <w:tcPr>
            <w:tcW w:type="dxa" w:w="29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Completed retirement procedure</w:t>
            </w:r>
          </w:p>
        </w:tc>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Question-specific non-retirement response</w:t>
            </w:r>
          </w:p>
        </w:tc>
        <w:tc>
          <w:tcPr>
            <w:tcW w:type="dxa" w:w="3300"/>
            <w:tcBorders>
              <w:top w:val="none" w:color="FFFFFF" w:sz="0"/>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Institutional status; does not establish complete work cessation</w:t>
            </w:r>
          </w:p>
        </w:tc>
      </w:tr>
    </w:tbl>
    <w:p>
      <w:pPr>
        <w:spacing w:after="200" w:before="120" w:line="240"/>
      </w:pPr>
      <w:r>
        <w:rPr>
          <w:rFonts w:ascii="Times New Roman" w:hAnsi="Times New Roman"/>
          <w:sz w:val="19"/>
          <w:szCs w:val="19"/>
        </w:rPr>
        <w:t xml:space="preserve">Source variable names and response codes are documented in the analysis codebook deposited with the study code. Retirement status was never inferred from age or employment alone; where a wave provided no usable response, status was coded as missing.</w:t>
      </w:r>
    </w:p>
    <w:p>
      <w:pPr>
        <w:spacing w:after="120" w:before="280" w:line="276"/>
      </w:pPr>
      <w:r>
        <w:rPr>
          <w:rFonts w:ascii="Times New Roman" w:hAnsi="Times New Roman"/>
          <w:b/>
          <w:bCs/>
          <w:sz w:val="22"/>
          <w:szCs w:val="22"/>
        </w:rPr>
        <w:t xml:space="preserve">Supplementary Table S2. </w:t>
      </w:r>
      <w:r>
        <w:rPr>
          <w:rFonts w:ascii="Times New Roman" w:hAnsi="Times New Roman"/>
          <w:b/>
          <w:bCs/>
          <w:sz w:val="22"/>
          <w:szCs w:val="22"/>
        </w:rPr>
        <w:t xml:space="preserve">Missingness in the constructed panel</w:t>
      </w:r>
    </w:p>
    <w:tbl>
      <w:tblPr>
        <w:tblW w:type="dxa" w:w="13000"/>
        <w:tblBorders>
          <w:top w:val="single" w:color="auto" w:sz="4"/>
          <w:left w:val="single" w:color="auto" w:sz="4"/>
          <w:bottom w:val="single" w:color="auto" w:sz="4"/>
          <w:right w:val="single" w:color="auto" w:sz="4"/>
          <w:insideH w:val="single" w:color="auto" w:sz="4"/>
          <w:insideV w:val="single" w:color="auto" w:sz="4"/>
        </w:tblBorders>
      </w:tblPr>
      <w:tblGrid>
        <w:gridCol w:w="4600"/>
        <w:gridCol w:w="4200"/>
        <w:gridCol w:w="4200"/>
      </w:tblGrid>
      <w:tr>
        <w:tc>
          <w:tcPr>
            <w:tcW w:type="dxa" w:w="46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Variable</w:t>
            </w:r>
          </w:p>
        </w:tc>
        <w:tc>
          <w:tcPr>
            <w:tcW w:type="dxa" w:w="42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Missing person-wave observations</w:t>
            </w:r>
          </w:p>
        </w:tc>
        <w:tc>
          <w:tcPr>
            <w:tcW w:type="dxa" w:w="42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Non-missing person-wave observations</w:t>
            </w:r>
          </w:p>
        </w:tc>
      </w:tr>
      <w:t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Formal retirement status</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8,826 (9.2%)</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87,059</w:t>
            </w:r>
          </w:p>
        </w:tc>
      </w:tr>
      <w:t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Education group</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2,052 (2.1%)</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93,833</w:t>
            </w:r>
          </w:p>
        </w:tc>
      </w:tr>
      <w:t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ADL limitations</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25,104 (26.2%)</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70,781</w:t>
            </w:r>
          </w:p>
        </w:tc>
      </w:tr>
      <w:t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Any physical activity</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34,056 (35.5%)</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61,829</w:t>
            </w:r>
          </w:p>
        </w:tc>
      </w:tr>
      <w:t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Serial-seven score</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17,729 (18.5%)</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78,156</w:t>
            </w:r>
          </w:p>
        </w:tc>
      </w:tr>
      <w:t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Three-item depressive-symptom index</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8,448 (8.8%)</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87,437</w:t>
            </w:r>
          </w:p>
        </w:tc>
      </w:tr>
      <w:t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Night-time sleep duration</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5,502 (5.7%)</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90,383</w:t>
            </w:r>
          </w:p>
        </w:tc>
      </w:tr>
      <w:t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Immediate word recall</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22,696 (23.7%)</w:t>
            </w:r>
          </w:p>
        </w:tc>
        <w:tc>
          <w:tcPr>
            <w:tcW w:type="dxa" w:w="4200"/>
            <w:tcBorders>
              <w:top w:val="none" w:color="FFFFFF" w:sz="0"/>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73,189</w:t>
            </w:r>
          </w:p>
        </w:tc>
      </w:tr>
    </w:tbl>
    <w:p>
      <w:pPr>
        <w:spacing w:after="200" w:before="120" w:line="240"/>
      </w:pPr>
      <w:r>
        <w:rPr>
          <w:rFonts w:ascii="Times New Roman" w:hAnsi="Times New Roman"/>
          <w:sz w:val="19"/>
          <w:szCs w:val="19"/>
        </w:rPr>
        <w:t xml:space="preserve">The constructed panel contained 95,885 person-wave observations. Percentages are of that total. Analyses used complete cases for the variables entering each model. Missingness was substantial for any physical activity, ADL limitations and immediate word recall, so selection related to missing data cannot be excluded. ADL, activities of daily living.</w:t>
      </w:r>
    </w:p>
    <w:p>
      <w:pPr>
        <w:spacing w:after="120" w:before="280" w:line="276"/>
      </w:pPr>
      <w:r>
        <w:rPr>
          <w:rFonts w:ascii="Times New Roman" w:hAnsi="Times New Roman"/>
          <w:b/>
          <w:bCs/>
          <w:sz w:val="22"/>
          <w:szCs w:val="22"/>
        </w:rPr>
        <w:t xml:space="preserve">Supplementary Table S3. </w:t>
      </w:r>
      <w:r>
        <w:rPr>
          <w:rFonts w:ascii="Times New Roman" w:hAnsi="Times New Roman"/>
          <w:b/>
          <w:bCs/>
          <w:sz w:val="22"/>
          <w:szCs w:val="22"/>
        </w:rPr>
        <w:t xml:space="preserve">Model-specific analytic sample sizes</w:t>
      </w:r>
    </w:p>
    <w:tbl>
      <w:tblPr>
        <w:tblW w:type="dxa" w:w="13000"/>
        <w:tblBorders>
          <w:top w:val="single" w:color="auto" w:sz="4"/>
          <w:left w:val="single" w:color="auto" w:sz="4"/>
          <w:bottom w:val="single" w:color="auto" w:sz="4"/>
          <w:right w:val="single" w:color="auto" w:sz="4"/>
          <w:insideH w:val="single" w:color="auto" w:sz="4"/>
          <w:insideV w:val="single" w:color="auto" w:sz="4"/>
        </w:tblBorders>
      </w:tblPr>
      <w:tblGrid>
        <w:gridCol w:w="2600"/>
        <w:gridCol w:w="4400"/>
        <w:gridCol w:w="3000"/>
        <w:gridCol w:w="3000"/>
      </w:tblGrid>
      <w:tr>
        <w:tc>
          <w:tcPr>
            <w:tcW w:type="dxa" w:w="26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Group</w:t>
            </w:r>
          </w:p>
        </w:tc>
        <w:tc>
          <w:tcPr>
            <w:tcW w:type="dxa" w:w="44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Outcome</w:t>
            </w:r>
          </w:p>
        </w:tc>
        <w:tc>
          <w:tcPr>
            <w:tcW w:type="dxa" w:w="30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Person-wave observations</w:t>
            </w:r>
          </w:p>
        </w:tc>
        <w:tc>
          <w:tcPr>
            <w:tcW w:type="dxa" w:w="30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Respondents</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All</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ADL limitations</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61,264</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22,799</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All</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Any physical activity</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53,608</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21,558</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All</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Serial-seven score</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70,482</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23,955</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All</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Three-item depressive-symptom index</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76,347</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23,642</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All</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Night-time sleep duration</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78,649</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24,065</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All</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Immediate word recall</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63,758</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22,802</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Women</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ADL limitations</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35,399</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12,121</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Women</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Any physical activity</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28,789</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11,360</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Women</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Serial-seven score</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35,803</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12,371</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Men</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ADL limitations</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25,859</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10,820</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Men</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Any physical activity</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24,818</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10,286</w:t>
            </w:r>
          </w:p>
        </w:tc>
      </w:tr>
      <w:tr>
        <w:tc>
          <w:tcPr>
            <w:tcW w:type="dxa" w:w="26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Men</w:t>
            </w:r>
          </w:p>
        </w:tc>
        <w:tc>
          <w:tcPr>
            <w:tcW w:type="dxa" w:w="4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Serial-seven score</w:t>
            </w:r>
          </w:p>
        </w:tc>
        <w:tc>
          <w:tcPr>
            <w:tcW w:type="dxa" w:w="30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34,679</w:t>
            </w:r>
          </w:p>
        </w:tc>
        <w:tc>
          <w:tcPr>
            <w:tcW w:type="dxa" w:w="3000"/>
            <w:tcBorders>
              <w:top w:val="none" w:color="FFFFFF" w:sz="0"/>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11,584</w:t>
            </w:r>
          </w:p>
        </w:tc>
      </w:tr>
    </w:tbl>
    <w:p>
      <w:pPr>
        <w:spacing w:after="200" w:before="120" w:line="240"/>
      </w:pPr>
      <w:r>
        <w:rPr>
          <w:rFonts w:ascii="Times New Roman" w:hAnsi="Times New Roman"/>
          <w:sz w:val="19"/>
          <w:szCs w:val="19"/>
        </w:rPr>
        <w:t xml:space="preserve">Sample sizes correspond to the final model outputs reported in Table 2 of the main text. Serial-seven samples are from the five-wave specification with stable demographic controls. ADL, activities of daily living.</w:t>
      </w:r>
    </w:p>
    <w:p>
      <w:pPr>
        <w:spacing w:after="120" w:before="280" w:line="276"/>
      </w:pPr>
      <w:r>
        <w:rPr>
          <w:rFonts w:ascii="Times New Roman" w:hAnsi="Times New Roman"/>
          <w:b/>
          <w:bCs/>
          <w:sz w:val="22"/>
          <w:szCs w:val="22"/>
        </w:rPr>
        <w:t xml:space="preserve">Supplementary Table S4. </w:t>
      </w:r>
      <w:r>
        <w:rPr>
          <w:rFonts w:ascii="Times New Roman" w:hAnsi="Times New Roman"/>
          <w:b/>
          <w:bCs/>
          <w:sz w:val="22"/>
          <w:szCs w:val="22"/>
        </w:rPr>
        <w:t xml:space="preserve">Sensitivity analyses</w:t>
      </w:r>
    </w:p>
    <w:tbl>
      <w:tblPr>
        <w:tblW w:type="dxa" w:w="13000"/>
        <w:tblBorders>
          <w:top w:val="single" w:color="auto" w:sz="4"/>
          <w:left w:val="single" w:color="auto" w:sz="4"/>
          <w:bottom w:val="single" w:color="auto" w:sz="4"/>
          <w:right w:val="single" w:color="auto" w:sz="4"/>
          <w:insideH w:val="single" w:color="auto" w:sz="4"/>
          <w:insideV w:val="single" w:color="auto" w:sz="4"/>
        </w:tblBorders>
      </w:tblPr>
      <w:tblGrid>
        <w:gridCol w:w="3400"/>
        <w:gridCol w:w="5400"/>
        <w:gridCol w:w="4200"/>
      </w:tblGrid>
      <w:tr>
        <w:tc>
          <w:tcPr>
            <w:tcW w:type="dxa" w:w="34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Group and outcome</w:t>
            </w:r>
          </w:p>
        </w:tc>
        <w:tc>
          <w:tcPr>
            <w:tcW w:type="dxa" w:w="54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Specification</w:t>
            </w:r>
          </w:p>
        </w:tc>
        <w:tc>
          <w:tcPr>
            <w:tcW w:type="dxa" w:w="4200"/>
            <w:tcBorders>
              <w:top w:val="single" w:color="000000" w:sz="4"/>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bCs/>
                <w:sz w:val="19"/>
                <w:szCs w:val="19"/>
              </w:rPr>
              <w:t xml:space="preserve">Estimate (SE); p value</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Women, ADL limitations</w:t>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Main specification</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−0.098 (0.040); p = 0.015</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Lagged outcome added</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−0.134 (0.061); p = 0.028</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Early or internal retirement excluded</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−0.141 (0.042); p &lt; 0.001</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Directly observed transition sample</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−0.006 (0.060); p = 0.925</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Future-retirement placebo</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−0.202 (0.108); p = 0.060</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Per calendar year since first observed retirement</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−0.018 (0.005); p &lt; 0.001</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Women, any physical activity</w:t>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Main specification</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0.045 (0.015); p = 0.002</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Lagged outcome added</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0.037 (0.023); p = 0.118</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Early or internal retirement excluded</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0.046 (0.016); p = 0.003</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Directly observed transition sample</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0.034 (0.024); p = 0.153</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Future-retirement placebo</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0.024 (0.041); p = 0.552</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Per calendar year since first observed retirement</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0.003 (0.002); p = 0.087</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Women, serial-seven score</w:t>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Years since retirement, quadratic age</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−0.0057 (0.0081); p = 0.481</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Years since retirement, single-year age fixed effects</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−0.0063 (0.0081); p = 0.439</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Years since retirement, two-year age-bin fixed effects</w:t>
            </w:r>
          </w:p>
        </w:tc>
        <w:tc>
          <w:tcPr>
            <w:tcW w:type="dxa" w:w="42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−0.0064 (0.0081); p = 0.433</w:t>
            </w:r>
          </w:p>
        </w:tc>
      </w:tr>
      <w:tr>
        <w:tc>
          <w:tcPr>
            <w:tcW w:type="dxa" w:w="3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
            </w:r>
          </w:p>
        </w:tc>
        <w:tc>
          <w:tcPr>
            <w:tcW w:type="dxa" w:w="5400"/>
            <w:tcBorders>
              <w:top w:val="none" w:color="FFFFFF" w:sz="0"/>
              <w:left w:val="none" w:color="FFFFFF" w:sz="0"/>
              <w:bottom w:val="none" w:color="FFFFFF" w:sz="0"/>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Years since retirement, wave-by-age-bin fixed effects</w:t>
            </w:r>
          </w:p>
        </w:tc>
        <w:tc>
          <w:tcPr>
            <w:tcW w:type="dxa" w:w="4200"/>
            <w:tcBorders>
              <w:top w:val="none" w:color="FFFFFF" w:sz="0"/>
              <w:left w:val="none" w:color="FFFFFF" w:sz="0"/>
              <w:bottom w:val="single" w:color="000000" w:sz="4"/>
              <w:right w:val="none" w:color="FFFFFF" w:sz="0"/>
            </w:tcBorders>
            <w:tcMar>
              <w:top w:type="dxa" w:w="50"/>
              <w:left w:type="dxa" w:w="90"/>
              <w:bottom w:type="dxa" w:w="50"/>
              <w:right w:type="dxa" w:w="90"/>
            </w:tcMar>
          </w:tcPr>
          <w:p>
            <w:pPr>
              <w:spacing w:after="0" w:line="240"/>
            </w:pPr>
            <w:r>
              <w:rPr>
                <w:rFonts w:ascii="Times New Roman" w:hAnsi="Times New Roman"/>
                <w:b w:val="false"/>
                <w:bCs w:val="false"/>
                <w:sz w:val="19"/>
                <w:szCs w:val="19"/>
              </w:rPr>
              <w:t xml:space="preserve">−0.0057 (0.0082); p = 0.483</w:t>
            </w:r>
          </w:p>
        </w:tc>
      </w:tr>
    </w:tbl>
    <w:p>
      <w:pPr>
        <w:spacing w:after="200" w:before="120" w:line="240"/>
      </w:pPr>
      <w:r>
        <w:rPr>
          <w:rFonts w:ascii="Times New Roman" w:hAnsi="Times New Roman"/>
          <w:sz w:val="19"/>
          <w:szCs w:val="19"/>
        </w:rPr>
        <w:t xml:space="preserve">All estimates are from women-only respondent and survey-wave fixed-effects models with standard errors clustered by respondent. The ADL and physical-activity estimates are attenuated to near zero in the directly observed transition sample, and the ADL future-retirement placebo estimate is marginally negative, indicating that health selection preceding retirement cannot be excluded. Serial-seven duration estimates are close to zero and non-significant under all four age specifications, giving no support for cumulative decline with years since first observed retirement. ADL, activities of daily living; SE, standard error.</w:t>
      </w:r>
    </w:p>
    <w:sectPr>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00000"/>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2026-08-05T02:26:13.327Z</dcterms:created>
  <dcterms:modified xsi:type="dcterms:W3CDTF">2026-08-05T02:26:13.327Z</dcterms:modified>
</cp:coreProperties>
</file>

<file path=docProps/custom.xml><?xml version="1.0" encoding="utf-8"?>
<Properties xmlns="http://schemas.openxmlformats.org/officeDocument/2006/custom-properties" xmlns:vt="http://schemas.openxmlformats.org/officeDocument/2006/docPropsVTypes"/>
</file>