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FC14F">
      <w:pPr>
        <w:spacing w:after="240"/>
        <w:jc w:val="center"/>
      </w:pPr>
      <w:r>
        <w:rPr>
          <w:rFonts w:ascii="Times New Roman" w:hAnsi="Times New Roman"/>
          <w:b/>
          <w:sz w:val="32"/>
        </w:rPr>
        <w:t>Supplementary information</w:t>
      </w:r>
    </w:p>
    <w:p w14:paraId="1419141E">
      <w:pPr>
        <w:spacing w:after="160"/>
        <w:jc w:val="center"/>
      </w:pPr>
      <w:r>
        <w:rPr>
          <w:rFonts w:ascii="Times New Roman" w:hAnsi="Times New Roman"/>
          <w:b/>
          <w:sz w:val="28"/>
        </w:rPr>
        <w:t>Biodegradable microplastic type and maize-straw addition shape soil CO₂ emissions: links to dissolved organic matter turnover and microbial carbon allocation</w:t>
      </w:r>
    </w:p>
    <w:p w14:paraId="377D3C96">
      <w:pPr>
        <w:spacing w:after="280"/>
        <w:jc w:val="center"/>
        <w:rPr>
          <w:rFonts w:hint="eastAsia" w:eastAsia="宋体"/>
          <w:vertAlign w:val="superscript"/>
          <w:lang w:val="en-US" w:eastAsia="zh-CN"/>
        </w:rPr>
      </w:pPr>
      <w:r>
        <w:t>Hongcheng Bai</w:t>
      </w:r>
      <w:r>
        <w:rPr>
          <w:rFonts w:hint="eastAsia" w:eastAsia="宋体"/>
          <w:vertAlign w:val="superscript"/>
          <w:lang w:val="en-US" w:eastAsia="zh-CN"/>
        </w:rPr>
        <w:t>1</w:t>
      </w:r>
      <w:r>
        <w:t>, Yan Li</w:t>
      </w:r>
      <w:r>
        <w:rPr>
          <w:rFonts w:hint="eastAsia" w:eastAsia="宋体"/>
          <w:vertAlign w:val="superscript"/>
          <w:lang w:val="en-US" w:eastAsia="zh-CN"/>
        </w:rPr>
        <w:t>2</w:t>
      </w:r>
      <w:r>
        <w:t>, Peili Lu</w:t>
      </w:r>
      <w:r>
        <w:rPr>
          <w:rFonts w:hint="eastAsia" w:eastAsia="宋体"/>
          <w:vertAlign w:val="superscript"/>
          <w:lang w:val="en-US" w:eastAsia="zh-CN"/>
        </w:rPr>
        <w:t>3</w:t>
      </w:r>
    </w:p>
    <w:p w14:paraId="1FDE0BE8">
      <w:pPr>
        <w:spacing w:after="280"/>
        <w:jc w:val="center"/>
        <w:rPr>
          <w:rFonts w:hint="eastAsia" w:eastAsia="宋体"/>
          <w:vertAlign w:val="baseline"/>
          <w:lang w:val="en-US" w:eastAsia="zh-CN"/>
        </w:rPr>
      </w:pPr>
      <w:r>
        <w:rPr>
          <w:rFonts w:hint="eastAsia" w:eastAsia="宋体"/>
          <w:vertAlign w:val="superscript"/>
          <w:lang w:val="en-US" w:eastAsia="zh-CN"/>
        </w:rPr>
        <w:t>1</w:t>
      </w:r>
      <w:r>
        <w:rPr>
          <w:rFonts w:hint="eastAsia" w:eastAsia="宋体"/>
          <w:vertAlign w:val="baseline"/>
          <w:lang w:val="en-US" w:eastAsia="zh-CN"/>
        </w:rPr>
        <w:t>School of Architecture and Civil Engineering, Chengdu University, Chengdu, Sichuan, 610106, China</w:t>
      </w:r>
    </w:p>
    <w:p w14:paraId="29BE1EB5">
      <w:pPr>
        <w:spacing w:after="280"/>
        <w:jc w:val="center"/>
        <w:rPr>
          <w:rFonts w:hint="eastAsia" w:eastAsia="宋体"/>
          <w:vertAlign w:val="baseline"/>
          <w:lang w:val="en-US" w:eastAsia="zh-CN"/>
        </w:rPr>
      </w:pPr>
      <w:r>
        <w:rPr>
          <w:rFonts w:hint="eastAsia" w:eastAsia="宋体"/>
          <w:vertAlign w:val="superscript"/>
          <w:lang w:val="en-US" w:eastAsia="zh-CN"/>
        </w:rPr>
        <w:t>2</w:t>
      </w:r>
      <w:r>
        <w:rPr>
          <w:rFonts w:hint="eastAsia" w:eastAsia="宋体"/>
          <w:vertAlign w:val="baseline"/>
          <w:lang w:val="en-US" w:eastAsia="zh-CN"/>
        </w:rPr>
        <w:t>State Key Laboratory of Soil and Sustainable Agriculture, Institute of Soil Science, Chinese Academy of Sciences, Nanjing 211135, China</w:t>
      </w:r>
    </w:p>
    <w:p w14:paraId="317D96DF">
      <w:pPr>
        <w:spacing w:after="280"/>
        <w:jc w:val="center"/>
        <w:rPr>
          <w:rFonts w:hint="default" w:eastAsia="宋体"/>
          <w:vertAlign w:val="baseline"/>
          <w:lang w:val="en-US" w:eastAsia="zh-CN"/>
        </w:rPr>
      </w:pPr>
      <w:r>
        <w:rPr>
          <w:rFonts w:hint="eastAsia" w:eastAsia="宋体"/>
          <w:vertAlign w:val="superscript"/>
          <w:lang w:val="en-US" w:eastAsia="zh-CN"/>
        </w:rPr>
        <w:t>3</w:t>
      </w:r>
      <w:r>
        <w:rPr>
          <w:rFonts w:hint="default" w:eastAsia="宋体"/>
          <w:vertAlign w:val="baseline"/>
          <w:lang w:val="en-US" w:eastAsia="zh-CN"/>
        </w:rPr>
        <w:t>Department of Environmental Science, Chongqing University, China, 400045</w:t>
      </w:r>
    </w:p>
    <w:p w14:paraId="19FE2579">
      <w:pPr>
        <w:ind w:firstLine="0"/>
      </w:pPr>
      <w:r>
        <w:rPr>
          <w:b/>
        </w:rPr>
        <w:t>Contents</w:t>
      </w:r>
    </w:p>
    <w:p w14:paraId="65B5C471">
      <w:pPr>
        <w:ind w:left="340" w:firstLine="0"/>
      </w:pPr>
      <w:r>
        <w:t>Figures S1–S8</w:t>
      </w:r>
    </w:p>
    <w:p w14:paraId="53BE8310">
      <w:pPr>
        <w:ind w:left="340" w:firstLine="0"/>
      </w:pPr>
      <w:r>
        <w:t>Tables S1–S4</w:t>
      </w:r>
    </w:p>
    <w:p w14:paraId="1B9C59FB">
      <w:pPr>
        <w:keepNext/>
        <w:pageBreakBefore/>
        <w:ind w:firstLine="0"/>
        <w:jc w:val="center"/>
      </w:pPr>
      <w:r>
        <w:rPr>
          <w:rFonts w:hint="eastAsia" w:ascii="Times New Roman" w:hAnsi="Times New Roman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25720" cy="4235450"/>
            <wp:effectExtent l="0" t="0" r="17780" b="12700"/>
            <wp:docPr id="9" name="图片 9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572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FC8A">
      <w:pPr>
        <w:pStyle w:val="15"/>
        <w:keepNext w:val="0"/>
        <w:spacing w:before="80" w:after="160"/>
        <w:ind w:firstLine="0"/>
        <w:jc w:val="left"/>
        <w:rPr>
          <w:rFonts w:hint="eastAsia" w:eastAsia="宋体"/>
          <w:lang w:eastAsia="zh-CN"/>
        </w:rPr>
      </w:pPr>
      <w:r>
        <w:rPr>
          <w:b/>
          <w:color w:val="000000"/>
        </w:rPr>
        <w:t>Fig. S1.</w:t>
      </w:r>
      <w:r>
        <w:rPr>
          <w:color w:val="000000"/>
        </w:rPr>
        <w:t xml:space="preserve"> Initial characterization of maize straw and PBAT. (a) Microscopic images of maize straw and PBAT; (b) FTIR spectrum of PBAT; and (c) PBAT particle-size distribution</w:t>
      </w:r>
    </w:p>
    <w:p w14:paraId="4B5C8173">
      <w:pPr>
        <w:keepNext/>
        <w:pageBreakBefore/>
        <w:ind w:firstLine="0"/>
        <w:jc w:val="center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4832985" cy="3810000"/>
            <wp:effectExtent l="0" t="0" r="5715" b="0"/>
            <wp:docPr id="13" name="图片 13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S2"/>
                    <pic:cNvPicPr>
                      <a:picLocks noChangeAspect="1"/>
                    </pic:cNvPicPr>
                  </pic:nvPicPr>
                  <pic:blipFill>
                    <a:blip r:embed="rId7"/>
                    <a:srcRect l="31644" t="22396" r="39605" b="47994"/>
                    <a:stretch>
                      <a:fillRect/>
                    </a:stretch>
                  </pic:blipFill>
                  <pic:spPr>
                    <a:xfrm>
                      <a:off x="0" y="0"/>
                      <a:ext cx="483298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1AE93D7">
      <w:pPr>
        <w:pStyle w:val="15"/>
        <w:keepNext w:val="0"/>
        <w:spacing w:before="80" w:after="160"/>
        <w:ind w:firstLine="0"/>
        <w:jc w:val="left"/>
      </w:pPr>
      <w:r>
        <w:rPr>
          <w:b/>
          <w:color w:val="000000"/>
        </w:rPr>
        <w:t>Fig. S2.</w:t>
      </w:r>
      <w:r>
        <w:rPr>
          <w:color w:val="000000"/>
        </w:rPr>
        <w:t xml:space="preserve"> Power-function relationship between soil dissolved organic carbon (DOC) and CO₂ emission rate across treatments and sampling dates. The fitted relationship, coefficient of determination and significance level are shown in the artwork.</w:t>
      </w:r>
    </w:p>
    <w:p w14:paraId="489AADF7">
      <w:pPr>
        <w:keepNext/>
        <w:pageBreakBefore/>
        <w:ind w:firstLine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27675" cy="2124710"/>
            <wp:effectExtent l="0" t="0" r="15875" b="8890"/>
            <wp:docPr id="15" name="图片 15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7675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CC043">
      <w:pPr>
        <w:pStyle w:val="15"/>
        <w:keepNext w:val="0"/>
        <w:spacing w:before="80" w:after="160"/>
        <w:ind w:firstLine="0"/>
        <w:jc w:val="left"/>
      </w:pPr>
      <w:r>
        <w:rPr>
          <w:b/>
          <w:color w:val="000000"/>
        </w:rPr>
        <w:t>Fig. S3.</w:t>
      </w:r>
      <w:r>
        <w:rPr>
          <w:color w:val="000000"/>
        </w:rPr>
        <w:t xml:space="preserve"> Temporal changes in DOM optical indices: (a) SUVA₂₅₄, (b) SUVA₂₈₀ and (c) A₂₅₀/A₃₆₅. Control, P, S and SP correspond to CK, P, M and P+M, respectively. Values are means ± SD (n = 3); different lowercase letters at the same sampling time denote </w:t>
      </w:r>
      <w:r>
        <w:rPr>
          <w:b/>
          <w:bCs/>
          <w:i/>
          <w:iCs/>
          <w:color w:val="000000"/>
        </w:rPr>
        <w:t xml:space="preserve">p </w:t>
      </w:r>
      <w:r>
        <w:rPr>
          <w:color w:val="000000"/>
        </w:rPr>
        <w:t>&lt; 0.05.</w:t>
      </w:r>
    </w:p>
    <w:p w14:paraId="2B76932E">
      <w:pPr>
        <w:keepNext/>
        <w:pageBreakBefore/>
        <w:ind w:firstLine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28895" cy="3849370"/>
            <wp:effectExtent l="0" t="0" r="14605" b="17780"/>
            <wp:docPr id="16" name="图片 16" descr="Fig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2C18D">
      <w:pPr>
        <w:pStyle w:val="15"/>
        <w:keepNext w:val="0"/>
        <w:spacing w:before="80" w:after="160"/>
        <w:ind w:firstLine="0"/>
        <w:jc w:val="left"/>
      </w:pPr>
      <w:r>
        <w:rPr>
          <w:b/>
          <w:color w:val="000000"/>
        </w:rPr>
        <w:t>Fig. S4.</w:t>
      </w:r>
      <w:r>
        <w:rPr>
          <w:color w:val="000000"/>
        </w:rPr>
        <w:t xml:space="preserve"> FTIR spectra of soil DOM after 10, 30, 60, 90 and 120 d of incubation.</w:t>
      </w:r>
      <w:r>
        <w:rPr>
          <w:rFonts w:hint="default" w:ascii="Times New Roman" w:hAnsi="Times New Roman" w:cs="Times New Roman"/>
        </w:rPr>
        <w:t>CK, unamended soil; P, soil amended with 1% PBAT; M, soil amended with 1% maize straw; and P+M,</w:t>
      </w:r>
      <w:r>
        <w:rPr>
          <w:color w:val="000000"/>
        </w:rPr>
        <w:t xml:space="preserve"> Annotated bands are centered at 3412, 1635, 1381, 1139 and 661 cm⁻¹.</w:t>
      </w:r>
    </w:p>
    <w:p w14:paraId="62836343">
      <w:pPr>
        <w:keepNext/>
        <w:pageBreakBefore/>
        <w:ind w:firstLine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221355" cy="2665730"/>
            <wp:effectExtent l="0" t="0" r="17145" b="1270"/>
            <wp:docPr id="17" name="图片 17" descr="Fig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S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79E34">
      <w:pPr>
        <w:pStyle w:val="15"/>
        <w:keepNext w:val="0"/>
        <w:spacing w:before="80" w:after="160"/>
        <w:ind w:firstLine="0"/>
        <w:jc w:val="left"/>
      </w:pPr>
      <w:r>
        <w:rPr>
          <w:b/>
          <w:color w:val="000000"/>
        </w:rPr>
        <w:t>Fig. S5.</w:t>
      </w:r>
      <w:r>
        <w:rPr>
          <w:color w:val="000000"/>
        </w:rPr>
        <w:t xml:space="preserve"> Venn diagrams showing the numbers of assigned DOM molecular formulae shared within and between treatments at day 10.</w:t>
      </w:r>
    </w:p>
    <w:p w14:paraId="1223270A">
      <w:pPr>
        <w:keepNext/>
        <w:pageBreakBefore/>
        <w:ind w:firstLine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74005" cy="1791335"/>
            <wp:effectExtent l="0" t="0" r="17145" b="18415"/>
            <wp:docPr id="18" name="图片 18" descr="Fig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S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B7548">
      <w:pPr>
        <w:pStyle w:val="15"/>
        <w:keepNext w:val="0"/>
        <w:spacing w:before="80" w:after="160"/>
        <w:ind w:firstLine="0"/>
        <w:jc w:val="left"/>
      </w:pPr>
      <w:r>
        <w:rPr>
          <w:b/>
          <w:color w:val="000000"/>
        </w:rPr>
        <w:t>Fig. S6.</w:t>
      </w:r>
      <w:r>
        <w:rPr>
          <w:color w:val="000000"/>
        </w:rPr>
        <w:t xml:space="preserve"> (a) Absolute abundance of the bacterial 16S rRNA gene, (b) microbial biomass carbon (MBC) on days 10 and 30, and (c) association between MBC and CO₂ emission rate. Values are means ± SD (n = 3); different lowercase letters at the same sampling time denote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0.05.</w:t>
      </w:r>
    </w:p>
    <w:p w14:paraId="56E14041">
      <w:pPr>
        <w:keepNext/>
        <w:pageBreakBefore/>
        <w:ind w:firstLine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26685" cy="5226685"/>
            <wp:effectExtent l="0" t="0" r="12065" b="12065"/>
            <wp:docPr id="20" name="图片 20" descr="Fig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S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6E64A">
      <w:pPr>
        <w:pStyle w:val="15"/>
        <w:keepNext w:val="0"/>
        <w:spacing w:before="80" w:after="160"/>
        <w:ind w:firstLine="0"/>
        <w:jc w:val="left"/>
      </w:pPr>
      <w:r>
        <w:rPr>
          <w:b/>
          <w:color w:val="000000"/>
        </w:rPr>
        <w:t>Fig. S7.</w:t>
      </w:r>
      <w:r>
        <w:rPr>
          <w:color w:val="000000"/>
        </w:rPr>
        <w:t xml:space="preserve"> Abundances of selected C-degradation genes normalized to bacterial 16S rRNA gene abundance on days 10 and 120.  Values are means ± SD (n = 3); different lowercase letters within a sampling time or gene category denote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0.05.</w:t>
      </w:r>
    </w:p>
    <w:p w14:paraId="70CBC75A">
      <w:pPr>
        <w:keepNext/>
        <w:pageBreakBefore/>
        <w:ind w:firstLine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769360" cy="2870200"/>
            <wp:effectExtent l="0" t="0" r="2540" b="6350"/>
            <wp:docPr id="21" name="图片 21" descr="Fig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igS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6936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BAB32">
      <w:pPr>
        <w:pStyle w:val="15"/>
        <w:keepNext w:val="0"/>
        <w:spacing w:before="80" w:after="160"/>
        <w:ind w:firstLine="0"/>
        <w:jc w:val="left"/>
      </w:pPr>
      <w:r>
        <w:rPr>
          <w:b/>
          <w:color w:val="000000"/>
        </w:rPr>
        <w:t>Fig. S8.</w:t>
      </w:r>
      <w:r>
        <w:rPr>
          <w:color w:val="000000"/>
        </w:rPr>
        <w:t xml:space="preserve"> Soil NO₃⁻–N and NH₄⁺–N concentrations on day 10. Control, P, S and SP correspond to CK, P, M and P+M, respectively. Values are means ± SD (n = 3); different lowercase letters denote p &lt; 0.05.</w:t>
      </w:r>
    </w:p>
    <w:p w14:paraId="2AC9BE15">
      <w:pPr>
        <w:sectPr>
          <w:pgSz w:w="11906" w:h="16838"/>
          <w:pgMar w:top="1134" w:right="1191" w:bottom="1134" w:left="1191" w:header="720" w:footer="720" w:gutter="0"/>
          <w:cols w:space="720" w:num="1"/>
          <w:docGrid w:linePitch="360" w:charSpace="0"/>
        </w:sectPr>
      </w:pPr>
    </w:p>
    <w:p w14:paraId="055E0DA2">
      <w:pPr>
        <w:pStyle w:val="15"/>
        <w:keepNext/>
        <w:pageBreakBefore/>
        <w:spacing w:before="80" w:after="160"/>
        <w:ind w:firstLine="0"/>
        <w:jc w:val="left"/>
      </w:pPr>
      <w:r>
        <w:rPr>
          <w:b/>
          <w:color w:val="000000"/>
        </w:rPr>
        <w:t>Table S1.</w:t>
      </w:r>
      <w:r>
        <w:rPr>
          <w:color w:val="000000"/>
        </w:rPr>
        <w:t xml:space="preserve"> Factorial effects of PBAT, maize straw and their interaction on cumulative soil CO₂ emission during the 120-d incubation.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6"/>
        <w:gridCol w:w="5046"/>
        <w:gridCol w:w="5046"/>
      </w:tblGrid>
      <w:tr w14:paraId="56FD494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046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CDE2D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Impact factors</w:t>
            </w:r>
          </w:p>
        </w:tc>
        <w:tc>
          <w:tcPr>
            <w:tcW w:w="5046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9493A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F</w:t>
            </w:r>
          </w:p>
        </w:tc>
        <w:tc>
          <w:tcPr>
            <w:tcW w:w="5046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7363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P</w:t>
            </w:r>
          </w:p>
        </w:tc>
      </w:tr>
      <w:tr w14:paraId="1EDEC17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612A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PBAT</w:t>
            </w:r>
          </w:p>
        </w:tc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C7F9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4570.900</w:t>
            </w:r>
          </w:p>
        </w:tc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D8BB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&lt;0.001***</w:t>
            </w:r>
          </w:p>
        </w:tc>
      </w:tr>
      <w:tr w14:paraId="4BBE43F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0BD14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Straw</w:t>
            </w:r>
          </w:p>
        </w:tc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9B38E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359.288</w:t>
            </w:r>
          </w:p>
        </w:tc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1AF5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&lt;0.001***</w:t>
            </w:r>
          </w:p>
        </w:tc>
      </w:tr>
      <w:tr w14:paraId="1696FD0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DF05B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PBAT×Straw</w:t>
            </w:r>
          </w:p>
        </w:tc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5822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22.332</w:t>
            </w:r>
          </w:p>
        </w:tc>
        <w:tc>
          <w:tcPr>
            <w:tcW w:w="504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53D5B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&lt;0.01**</w:t>
            </w:r>
          </w:p>
        </w:tc>
      </w:tr>
    </w:tbl>
    <w:p w14:paraId="01EAB675">
      <w:pPr>
        <w:pStyle w:val="15"/>
        <w:keepNext/>
        <w:pageBreakBefore/>
        <w:spacing w:before="80" w:after="160"/>
        <w:ind w:firstLine="0"/>
        <w:jc w:val="left"/>
      </w:pPr>
      <w:r>
        <w:rPr>
          <w:b/>
          <w:color w:val="000000"/>
        </w:rPr>
        <w:t>Table S2.</w:t>
      </w:r>
      <w:r>
        <w:rPr>
          <w:color w:val="000000"/>
        </w:rPr>
        <w:t xml:space="preserve"> Descriptive molecular properties of day-10 soil DOM obtained by FT-ICR-MS.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682"/>
        <w:gridCol w:w="1682"/>
        <w:gridCol w:w="1682"/>
        <w:gridCol w:w="1682"/>
        <w:gridCol w:w="1682"/>
        <w:gridCol w:w="1682"/>
        <w:gridCol w:w="1682"/>
        <w:gridCol w:w="1682"/>
      </w:tblGrid>
      <w:tr w14:paraId="0D1FC37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3B191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Sample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F0314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Formula number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B78C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m/z₍w₎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5E019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O/C₍w₎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E479D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H/C₍w₎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D195C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DBE₍w₎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CCE1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AI₍w₎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A6F5B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NOSC₍w₎</w:t>
            </w:r>
          </w:p>
        </w:tc>
        <w:tc>
          <w:tcPr>
            <w:tcW w:w="1682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095F6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MLB</w:t>
            </w:r>
          </w:p>
        </w:tc>
      </w:tr>
      <w:tr w14:paraId="227B1DC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13BBC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Control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62D06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7800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6359E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375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F0111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0.419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3222F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1.196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01742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8.491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D4E30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0.313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0988D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−0.269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745E8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0.127</w:t>
            </w:r>
          </w:p>
        </w:tc>
      </w:tr>
      <w:tr w14:paraId="0F6790B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783D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32311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8598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33DFC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392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B4ACB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0.430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4FBF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1.178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B94C3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8.963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7FB8D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0.317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4882A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−0.219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8F23B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0.101</w:t>
            </w:r>
          </w:p>
        </w:tc>
      </w:tr>
      <w:tr w14:paraId="01B9945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31915F">
            <w:pPr>
              <w:spacing w:before="0"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M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3E387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7974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5C965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378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D323F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0.423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CFB87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1.218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F1CA0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8.278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79CF5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0.295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B6351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−0.286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AA103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0.147</w:t>
            </w:r>
          </w:p>
        </w:tc>
      </w:tr>
      <w:tr w14:paraId="5B2035D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0B1A0A">
            <w:pPr>
              <w:spacing w:before="0"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P+M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6D6F3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8520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4F77C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380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B4757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0.437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0F2EC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1.177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C5950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8.706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AB7D1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0.314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FB7B0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−0.207</w:t>
            </w:r>
          </w:p>
        </w:tc>
        <w:tc>
          <w:tcPr>
            <w:tcW w:w="168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F11AD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0.116</w:t>
            </w:r>
          </w:p>
        </w:tc>
      </w:tr>
    </w:tbl>
    <w:p w14:paraId="0E37B525">
      <w:pPr>
        <w:spacing w:after="100"/>
        <w:ind w:firstLine="0"/>
      </w:pPr>
      <w:r>
        <w:t>Subscript w denotes peak-intensity-weighted values. MLB is the fraction of assigned formulae with H/C ≥ 1.5. Control, P, S and SP correspond to CK, P, M and P+M, respectively. One extract per treatment was analyzed; values are therefore descriptive.</w:t>
      </w:r>
    </w:p>
    <w:p w14:paraId="4F5369FD">
      <w:pPr>
        <w:pStyle w:val="15"/>
        <w:keepNext/>
        <w:pageBreakBefore/>
        <w:spacing w:before="80" w:after="160"/>
        <w:ind w:firstLine="0"/>
        <w:jc w:val="left"/>
      </w:pPr>
      <w:r>
        <w:rPr>
          <w:b/>
          <w:color w:val="000000"/>
        </w:rPr>
        <w:t>Table S3.</w:t>
      </w:r>
      <w:r>
        <w:rPr>
          <w:color w:val="000000"/>
        </w:rPr>
        <w:t xml:space="preserve"> qPCR primer pairs for the bacterial 16S rRNA reference and genes involved in organic-carbon and organic-nitrogen degradation.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523"/>
        <w:gridCol w:w="2523"/>
        <w:gridCol w:w="2523"/>
        <w:gridCol w:w="2523"/>
        <w:gridCol w:w="2523"/>
      </w:tblGrid>
      <w:tr w14:paraId="481D909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23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B1A5D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Gene name</w:t>
            </w:r>
          </w:p>
        </w:tc>
        <w:tc>
          <w:tcPr>
            <w:tcW w:w="2523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19372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Gene function</w:t>
            </w:r>
          </w:p>
        </w:tc>
        <w:tc>
          <w:tcPr>
            <w:tcW w:w="2523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EE443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Encoded protein</w:t>
            </w:r>
          </w:p>
        </w:tc>
        <w:tc>
          <w:tcPr>
            <w:tcW w:w="2523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7534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Predicted</w:t>
            </w:r>
            <w:r>
              <w:rPr>
                <w:rFonts w:ascii="Times New Roman" w:hAnsi="Times New Roman" w:eastAsia="Times New Roman"/>
                <w:b/>
                <w:sz w:val="14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sz w:val="14"/>
              </w:rPr>
              <w:t>length (bp)</w:t>
            </w:r>
          </w:p>
        </w:tc>
        <w:tc>
          <w:tcPr>
            <w:tcW w:w="2523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00C4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Forward sequence</w:t>
            </w:r>
            <w:r>
              <w:rPr>
                <w:rFonts w:ascii="Times New Roman" w:hAnsi="Times New Roman" w:eastAsia="Times New Roman"/>
                <w:b/>
                <w:sz w:val="14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sz w:val="14"/>
              </w:rPr>
              <w:t>(5′ → 3′)</w:t>
            </w:r>
          </w:p>
        </w:tc>
        <w:tc>
          <w:tcPr>
            <w:tcW w:w="2523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8AF50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Reverse sequence</w:t>
            </w:r>
            <w:r>
              <w:rPr>
                <w:rFonts w:ascii="Times New Roman" w:hAnsi="Times New Roman" w:eastAsia="Times New Roman"/>
                <w:b/>
                <w:sz w:val="14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sz w:val="14"/>
              </w:rPr>
              <w:t>(5′ → 3′)</w:t>
            </w:r>
          </w:p>
        </w:tc>
      </w:tr>
      <w:tr w14:paraId="1D73604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BF096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16S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970A8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Reference gene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D286F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bacterial ribosomal RNA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0BBD0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393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13260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GTGCCAGCMGCCGCGG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6214C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CCGTCAATTCMTTTRAGTTT</w:t>
            </w:r>
          </w:p>
        </w:tc>
      </w:tr>
      <w:tr w14:paraId="3A1CA39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0547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amyA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1725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Starch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078B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α-amylase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73EA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316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BF8B7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YGGTTTTCGTCTTGACGCSG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7D8D5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MGGCTGMGTRTCATGRTTK</w:t>
            </w:r>
          </w:p>
        </w:tc>
      </w:tr>
      <w:tr w14:paraId="7BCD9A6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897E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amyX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56FE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Starch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8680F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pullulanase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4E78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365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D1918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TATAAYTGGGGMTATGAYCC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0A5D0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CCCATYAAATCAAAWCGRAA</w:t>
            </w:r>
          </w:p>
        </w:tc>
      </w:tr>
      <w:tr w14:paraId="7E0F901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594F4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apu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1FB1B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Starch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3520F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amylopullulanase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4D3C7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287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2C01E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ACVTGGATAGGYGAGCCYCA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AD447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CCRTCSGGGAAGTAGTTKCC</w:t>
            </w:r>
          </w:p>
        </w:tc>
      </w:tr>
      <w:tr w14:paraId="6531272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FC69B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sga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C5867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Starch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FAB4A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glucoamylase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E6B47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375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B24D5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CGSAACTGGGAYTACCGS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12168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TCCCACAGSCCSKCGTC</w:t>
            </w:r>
          </w:p>
        </w:tc>
      </w:tr>
      <w:tr w14:paraId="0F13E75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1BD20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ipu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FBE5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Starch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A7DC0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isopullulanase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D2560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540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DA228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GTCATYTACTTYGGNCC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B9322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CGNGCSACATCNGCCCA</w:t>
            </w:r>
          </w:p>
        </w:tc>
      </w:tr>
      <w:tr w14:paraId="1DD7FCE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DB109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abfA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AE41A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Hemicellulose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B2A76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α-L-arabinofuranosidase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2C6FB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349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FAE58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CGSTAYCCSGGCGGCAAYTT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633CA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TGCCASGGNCCGTCCATYTC</w:t>
            </w:r>
          </w:p>
        </w:tc>
      </w:tr>
      <w:tr w14:paraId="0E73B7E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30E76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manB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370D0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Hemicellulose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A5089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β-mannanase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8555B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323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AE165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ATGCGCGGBGTCAACCA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0040F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TCGTTGSCGATGTTGABGA</w:t>
            </w:r>
          </w:p>
        </w:tc>
      </w:tr>
      <w:tr w14:paraId="2AF0870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6ED4A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xylA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976B7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Hemicellulose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6608E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xylose isomerase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21A60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464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C44D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TGGGGBGGTCGYGAAGG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6338A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ACTTTGGCRTCRAAGTT</w:t>
            </w:r>
          </w:p>
        </w:tc>
      </w:tr>
      <w:tr w14:paraId="6BA9A86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112D2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cdh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D7DEB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Cellulose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CF5F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cellobiose dehydrogenase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7F5CC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130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7369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ATWRYCTWCCGMRTHGCCMT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72E81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GTKAGSGGRTTBYKGRYCAT</w:t>
            </w:r>
          </w:p>
        </w:tc>
      </w:tr>
      <w:tr w14:paraId="2755359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7D80E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cex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2000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Cellulose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A0699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exoglucanase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BDF7B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380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54CDE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YSTACGGSATGCACTGGMT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3A5A6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TANCGCAGRTAGTCVCCCAT</w:t>
            </w:r>
          </w:p>
        </w:tc>
      </w:tr>
      <w:tr w14:paraId="711848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12B82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glx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883AC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Lignin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6B573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glyoxal oxidase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CE812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312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63C5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AACCAGTCGATCATCTACGA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7465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RTGSACGAGCTCDGGCATGG</w:t>
            </w:r>
          </w:p>
        </w:tc>
      </w:tr>
      <w:tr w14:paraId="6573E12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80DF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lig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9E666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Lignin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3DF7B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lignin peroxidase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946FB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243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CD0E6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CCGCACACACTGTTGCTGC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9BCF0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CGAAGGATTGCCACTCGCA</w:t>
            </w:r>
          </w:p>
        </w:tc>
      </w:tr>
      <w:tr w14:paraId="7D92624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62E3C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mnp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C9819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Lignin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BC3A2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manganese peroxidase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BA0A9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294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F78A6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MACRCCSTTCGACTCSACC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CA68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ACGTCSGAGCAGTCRAYGA</w:t>
            </w:r>
          </w:p>
        </w:tc>
      </w:tr>
      <w:tr w14:paraId="0C8020F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157D6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pox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8BE10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Lignin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A303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phenol oxidase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619B4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155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FEF9C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ACYAGTATCCATTGGCACGGT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898EE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AGATGVGARTGATACCARAA</w:t>
            </w:r>
          </w:p>
        </w:tc>
      </w:tr>
      <w:tr w14:paraId="7B7EBB2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F3B2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chiA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2B151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Chitin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0BA3F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endochitinase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5146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300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EA165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TSAAGAARTACGCSGACAACG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B262B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ASGTCATCAGRCCCTTSAG</w:t>
            </w:r>
          </w:p>
        </w:tc>
      </w:tr>
      <w:tr w14:paraId="237C4B5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263B5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exo-chi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6A07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Chitin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CD6D9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exochitinase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E542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400-430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FFAC2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GATTGGTSVCAATATGAYRG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6D862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STCCARCCACCRAYRCTRAA</w:t>
            </w:r>
          </w:p>
        </w:tc>
      </w:tr>
      <w:tr w14:paraId="11ABF5F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54D6E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pgu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3C327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Pectin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1B85D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pectinase/polygalacturonase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E2560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380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E1A1E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ANCATTGGTGGCCSTGGAA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AD322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TTRAYGGCRATRCARTCRTC</w:t>
            </w:r>
          </w:p>
        </w:tc>
      </w:tr>
      <w:tr w14:paraId="045D00D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EA97F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ureC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17F0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Urea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9256B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urease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F9830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340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DDCB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AAGMTSCACGAGGACTGGGG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72BA3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AGRTGGTGGCASACCATSAGCAT</w:t>
            </w:r>
          </w:p>
        </w:tc>
      </w:tr>
      <w:tr w14:paraId="4A16C02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6B647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naglu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BD6FD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Heparan sulfate hydrolysis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9BBD6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α-N-acetylglucosaminidase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D9563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217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E54D9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TVAAYTGGTAYCTGAAATAY</w:t>
            </w:r>
          </w:p>
        </w:tc>
        <w:tc>
          <w:tcPr>
            <w:tcW w:w="25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ECAFF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4"/>
              </w:rPr>
              <w:t>CCRTGYAGVGCCATCCAGTC</w:t>
            </w:r>
          </w:p>
        </w:tc>
      </w:tr>
    </w:tbl>
    <w:p w14:paraId="288D2BF0">
      <w:pPr>
        <w:pStyle w:val="15"/>
        <w:keepNext/>
        <w:pageBreakBefore/>
        <w:spacing w:before="80" w:after="160"/>
        <w:ind w:firstLine="0"/>
        <w:jc w:val="left"/>
      </w:pPr>
      <w:r>
        <w:rPr>
          <w:b/>
          <w:color w:val="000000"/>
        </w:rPr>
        <w:t>Table S4.</w:t>
      </w:r>
      <w:r>
        <w:rPr>
          <w:color w:val="000000"/>
        </w:rPr>
        <w:t xml:space="preserve"> Soil hemicellulose concentration, degradation amount and degradation percentage during the PBAT–maize-straw incubation.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8"/>
        <w:gridCol w:w="3028"/>
        <w:gridCol w:w="3028"/>
        <w:gridCol w:w="3028"/>
        <w:gridCol w:w="3028"/>
      </w:tblGrid>
      <w:tr w14:paraId="6BDF1F8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028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5911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Incubation time</w:t>
            </w:r>
          </w:p>
        </w:tc>
        <w:tc>
          <w:tcPr>
            <w:tcW w:w="3028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9AF0E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Sample</w:t>
            </w:r>
          </w:p>
        </w:tc>
        <w:tc>
          <w:tcPr>
            <w:tcW w:w="3028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14DE2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Content (g kg-1)</w:t>
            </w:r>
          </w:p>
        </w:tc>
        <w:tc>
          <w:tcPr>
            <w:tcW w:w="3028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7F92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Degradation amount (g kg-1)</w:t>
            </w:r>
          </w:p>
        </w:tc>
        <w:tc>
          <w:tcPr>
            <w:tcW w:w="3028" w:type="dxa"/>
            <w:tcBorders>
              <w:bottom w:val="single" w:color="000000" w:sz="8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D428D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Degradation (%)</w:t>
            </w:r>
          </w:p>
        </w:tc>
      </w:tr>
      <w:tr w14:paraId="6A0691F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D5219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42EE2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Control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09979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2.375±0.120 b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5F64F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2C8F1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</w:tr>
      <w:tr w14:paraId="336A156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FFBA3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20E5E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CD950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2.580±0.065 b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97C38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9EA30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</w:tr>
      <w:tr w14:paraId="69AAE3B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03619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B60905">
            <w:pPr>
              <w:spacing w:before="0"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M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ECDE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3.808±0.319 a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D945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6B9A3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</w:tr>
      <w:tr w14:paraId="1FB4827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81BAD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CED479">
            <w:pPr>
              <w:spacing w:before="0"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P+M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BCDA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4.021±0.308 a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E39F4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E8BE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-</w:t>
            </w:r>
          </w:p>
        </w:tc>
      </w:tr>
      <w:tr w14:paraId="24C22E5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60560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60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47CB3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Control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11724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1.891±0.079 c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D0D13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0.484±0.079 c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F63BE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20.39%</w:t>
            </w:r>
          </w:p>
        </w:tc>
      </w:tr>
      <w:tr w14:paraId="265D088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B5B5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60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9A01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98CB6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1.634±0.056 c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F429E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0.945±0.056 b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21F38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36.65%</w:t>
            </w:r>
          </w:p>
        </w:tc>
      </w:tr>
      <w:tr w14:paraId="7D13891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BEDFF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60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5AD986">
            <w:pPr>
              <w:spacing w:before="0"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M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F9EA7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2.812±0.145 a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86113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0.996±0.145 b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457F7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26.17%</w:t>
            </w:r>
          </w:p>
        </w:tc>
      </w:tr>
      <w:tr w14:paraId="26872B9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5848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60 d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D24B20">
            <w:pPr>
              <w:spacing w:before="0"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P+M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92874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2.534±0.018 b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7468F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1.488±0.018 a</w:t>
            </w:r>
          </w:p>
        </w:tc>
        <w:tc>
          <w:tcPr>
            <w:tcW w:w="30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DA0F2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36.99%</w:t>
            </w:r>
          </w:p>
        </w:tc>
      </w:tr>
    </w:tbl>
    <w:p w14:paraId="07B1F59D">
      <w:pPr>
        <w:ind w:firstLine="0"/>
      </w:pPr>
      <w:r>
        <w:t>Values are means ± SD (n = 3). Different lowercase letters within an incubation time and column denote p &lt; 0.05. Control, P, S and SP correspond to CK, P, M and P+M, respectively. Preliminary measurements indicated that the low hemicellulose concentration at day 120 could compromise quantitative accuracy; day-60 samples were therefore used for the endpoint analysis.</w:t>
      </w:r>
    </w:p>
    <w:sectPr>
      <w:pgSz w:w="16838" w:h="11906" w:orient="landscape"/>
      <w:pgMar w:top="850" w:right="850" w:bottom="850" w:left="85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渔阳体 W03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仓耳渔阳体 W03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3222741"/>
    <w:rsid w:val="1ECB1121"/>
    <w:rsid w:val="311539D9"/>
    <w:rsid w:val="48F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 w:line="300" w:lineRule="auto"/>
    </w:pPr>
    <w:rPr>
      <w:rFonts w:ascii="Times New Roman" w:hAnsi="Times New Roman" w:eastAsia="Times New Roman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rFonts w:ascii="Times New Roman" w:hAnsi="Times New Roman" w:eastAsia="Times New Roman"/>
      <w:b/>
      <w:bCs/>
      <w:color w:val="000000"/>
      <w:sz w:val="20"/>
      <w:szCs w:val="18"/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236</Words>
  <Characters>1223</Characters>
  <Lines>0</Lines>
  <Paragraphs>0</Paragraphs>
  <TotalTime>0</TotalTime>
  <ScaleCrop>false</ScaleCrop>
  <LinksUpToDate>false</LinksUpToDate>
  <CharactersWithSpaces>1447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卿晨</cp:lastModifiedBy>
  <dcterms:modified xsi:type="dcterms:W3CDTF">2026-07-26T14:06:33Z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eyJoZGlkIjoiN2Y1ODJkMGFhOGM2NmZlNGMyOGY4MzVjNDg2YzlmYzAiLCJ1c2VySWQiOiIzNjc0NDc3NjAifQ==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421487DD0CF84F1A9A6BF57C8BE36273_13</vt:lpwstr>
  </property>
</Properties>
</file>