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63CF" w14:textId="77777777" w:rsidR="00AD5B70" w:rsidRDefault="00193954">
      <w:pPr>
        <w:spacing w:after="40"/>
        <w:rPr>
          <w:b/>
          <w:sz w:val="26"/>
        </w:rPr>
      </w:pPr>
      <w:r>
        <w:rPr>
          <w:b/>
          <w:sz w:val="26"/>
        </w:rPr>
        <w:t>Electronic Supplementary Material</w:t>
      </w:r>
    </w:p>
    <w:p w14:paraId="64FEC59E" w14:textId="77777777" w:rsidR="00457970" w:rsidRDefault="00457970">
      <w:pPr>
        <w:spacing w:after="40"/>
      </w:pPr>
    </w:p>
    <w:p w14:paraId="3F03F554" w14:textId="77777777" w:rsidR="00AD5B70" w:rsidRDefault="00193954">
      <w:pPr>
        <w:spacing w:after="80"/>
      </w:pPr>
      <w:r>
        <w:rPr>
          <w:b/>
          <w:sz w:val="22"/>
        </w:rPr>
        <w:t>Table S1. Model parameters, sources and uncertainty distributions.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3312"/>
        <w:gridCol w:w="3312"/>
        <w:gridCol w:w="3600"/>
        <w:gridCol w:w="3600"/>
      </w:tblGrid>
      <w:tr w:rsidR="00AD5B70" w14:paraId="426CA818" w14:textId="77777777">
        <w:tc>
          <w:tcPr>
            <w:tcW w:w="3312" w:type="dxa"/>
          </w:tcPr>
          <w:p w14:paraId="15E777E0" w14:textId="77777777" w:rsidR="00AD5B70" w:rsidRDefault="00193954">
            <w:pPr>
              <w:spacing w:before="30" w:after="30"/>
            </w:pPr>
            <w:r>
              <w:rPr>
                <w:b/>
                <w:sz w:val="16"/>
              </w:rPr>
              <w:t>Parameter</w:t>
            </w:r>
          </w:p>
        </w:tc>
        <w:tc>
          <w:tcPr>
            <w:tcW w:w="3312" w:type="dxa"/>
          </w:tcPr>
          <w:p w14:paraId="6BEE967A" w14:textId="77777777" w:rsidR="00AD5B70" w:rsidRDefault="00193954">
            <w:pPr>
              <w:spacing w:before="30" w:after="30"/>
            </w:pPr>
            <w:r>
              <w:rPr>
                <w:b/>
                <w:sz w:val="16"/>
              </w:rPr>
              <w:t>Base case (range / distribution)</w:t>
            </w:r>
          </w:p>
        </w:tc>
        <w:tc>
          <w:tcPr>
            <w:tcW w:w="3600" w:type="dxa"/>
          </w:tcPr>
          <w:p w14:paraId="3B0FB8D0" w14:textId="77777777" w:rsidR="00AD5B70" w:rsidRDefault="00193954">
            <w:pPr>
              <w:spacing w:before="30" w:after="30"/>
            </w:pPr>
            <w:r>
              <w:rPr>
                <w:b/>
                <w:sz w:val="16"/>
              </w:rPr>
              <w:t>Source</w:t>
            </w:r>
          </w:p>
        </w:tc>
        <w:tc>
          <w:tcPr>
            <w:tcW w:w="3600" w:type="dxa"/>
          </w:tcPr>
          <w:p w14:paraId="6531CC04" w14:textId="77777777" w:rsidR="00AD5B70" w:rsidRDefault="00193954">
            <w:pPr>
              <w:spacing w:before="30" w:after="30"/>
            </w:pPr>
            <w:r>
              <w:rPr>
                <w:b/>
                <w:sz w:val="16"/>
              </w:rPr>
              <w:t>Endpoint / definition</w:t>
            </w:r>
          </w:p>
        </w:tc>
      </w:tr>
      <w:tr w:rsidR="00AD5B70" w14:paraId="214A3379" w14:textId="77777777">
        <w:tc>
          <w:tcPr>
            <w:tcW w:w="3312" w:type="dxa"/>
          </w:tcPr>
          <w:p w14:paraId="5D79771C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Endocrine-therapy HR (IBTR)</w:t>
            </w:r>
          </w:p>
        </w:tc>
        <w:tc>
          <w:tcPr>
            <w:tcW w:w="3312" w:type="dxa"/>
          </w:tcPr>
          <w:p w14:paraId="17DB5793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0.55 (0.45–0.67); lognormal</w:t>
            </w:r>
          </w:p>
        </w:tc>
        <w:tc>
          <w:tcPr>
            <w:tcW w:w="3600" w:type="dxa"/>
          </w:tcPr>
          <w:p w14:paraId="54BB532E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EBCTCG meta-analyses [11, 12]</w:t>
            </w:r>
          </w:p>
        </w:tc>
        <w:tc>
          <w:tcPr>
            <w:tcW w:w="3600" w:type="dxa"/>
          </w:tcPr>
          <w:p w14:paraId="3172EF11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Ipsilateral breast tumour recurrence (any ipsilateral in-breast event)</w:t>
            </w:r>
          </w:p>
        </w:tc>
      </w:tr>
      <w:tr w:rsidR="00AD5B70" w14:paraId="081A6DA3" w14:textId="77777777">
        <w:tc>
          <w:tcPr>
            <w:tcW w:w="3312" w:type="dxa"/>
          </w:tcPr>
          <w:p w14:paraId="36A569B2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Endocrine-therapy HR (distant recurrence)</w:t>
            </w:r>
          </w:p>
        </w:tc>
        <w:tc>
          <w:tcPr>
            <w:tcW w:w="3312" w:type="dxa"/>
          </w:tcPr>
          <w:p w14:paraId="02D4A91C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0.66 (0.55–0.78); lognormal</w:t>
            </w:r>
          </w:p>
        </w:tc>
        <w:tc>
          <w:tcPr>
            <w:tcW w:w="3600" w:type="dxa"/>
          </w:tcPr>
          <w:p w14:paraId="336849AD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EBCTCG [11, 12]</w:t>
            </w:r>
          </w:p>
        </w:tc>
        <w:tc>
          <w:tcPr>
            <w:tcW w:w="3600" w:type="dxa"/>
          </w:tcPr>
          <w:p w14:paraId="42DF35A9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First distant recurrence</w:t>
            </w:r>
          </w:p>
        </w:tc>
      </w:tr>
      <w:tr w:rsidR="00AD5B70" w14:paraId="1AA46531" w14:textId="77777777">
        <w:tc>
          <w:tcPr>
            <w:tcW w:w="3312" w:type="dxa"/>
          </w:tcPr>
          <w:p w14:paraId="78ECC680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Endocrine-therapy HR (contralateral cancer)</w:t>
            </w:r>
          </w:p>
        </w:tc>
        <w:tc>
          <w:tcPr>
            <w:tcW w:w="3312" w:type="dxa"/>
          </w:tcPr>
          <w:p w14:paraId="2E8816DC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0.60 (0.48–0.75); lognormal</w:t>
            </w:r>
          </w:p>
        </w:tc>
        <w:tc>
          <w:tcPr>
            <w:tcW w:w="3600" w:type="dxa"/>
          </w:tcPr>
          <w:p w14:paraId="35E1C13A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EBCTCG [11, 12]</w:t>
            </w:r>
          </w:p>
        </w:tc>
        <w:tc>
          <w:tcPr>
            <w:tcW w:w="3600" w:type="dxa"/>
          </w:tcPr>
          <w:p w14:paraId="30BE969A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Contralateral breast cancer</w:t>
            </w:r>
          </w:p>
        </w:tc>
      </w:tr>
      <w:tr w:rsidR="00AD5B70" w14:paraId="2F325A65" w14:textId="77777777">
        <w:tc>
          <w:tcPr>
            <w:tcW w:w="3312" w:type="dxa"/>
          </w:tcPr>
          <w:p w14:paraId="2FCADB13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Baseline 10-yr cumulative incidences (IBTR, distant, contralateral, non-breast-cancer death), by stratum</w:t>
            </w:r>
          </w:p>
        </w:tc>
        <w:tc>
          <w:tcPr>
            <w:tcW w:w="3312" w:type="dxa"/>
          </w:tcPr>
          <w:p w14:paraId="14432C51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Calibration targets (see Table 1)</w:t>
            </w:r>
          </w:p>
        </w:tc>
        <w:tc>
          <w:tcPr>
            <w:tcW w:w="3600" w:type="dxa"/>
          </w:tcPr>
          <w:p w14:paraId="7007CCAE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Contemporary PBI / de-escalation trials; strata source trials [6–9]</w:t>
            </w:r>
          </w:p>
        </w:tc>
        <w:tc>
          <w:tcPr>
            <w:tcW w:w="3600" w:type="dxa"/>
          </w:tcPr>
          <w:p w14:paraId="76442452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Trial-reported 10-yr cumulative incidence</w:t>
            </w:r>
          </w:p>
        </w:tc>
      </w:tr>
      <w:tr w:rsidR="00AD5B70" w14:paraId="601EACE2" w14:textId="77777777">
        <w:tc>
          <w:tcPr>
            <w:tcW w:w="3312" w:type="dxa"/>
          </w:tcPr>
          <w:p w14:paraId="39C2B13B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Effective sample size per stratum</w:t>
            </w:r>
          </w:p>
        </w:tc>
        <w:tc>
          <w:tcPr>
            <w:tcW w:w="3312" w:type="dxa"/>
          </w:tcPr>
          <w:p w14:paraId="7D15E46B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240–300 (analyst-set)</w:t>
            </w:r>
          </w:p>
        </w:tc>
        <w:tc>
          <w:tcPr>
            <w:tcW w:w="3600" w:type="dxa"/>
          </w:tcPr>
          <w:p w14:paraId="4BE8E1B8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Analyst-set precision assumption, not an observed quantity</w:t>
            </w:r>
          </w:p>
        </w:tc>
        <w:tc>
          <w:tcPr>
            <w:tcW w:w="3600" w:type="dxa"/>
          </w:tcPr>
          <w:p w14:paraId="40282BA2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Governs width of parameter uncertainty intervals only</w:t>
            </w:r>
          </w:p>
        </w:tc>
      </w:tr>
      <w:tr w:rsidR="00AD5B70" w14:paraId="2DA3CE5A" w14:textId="77777777">
        <w:tc>
          <w:tcPr>
            <w:tcW w:w="3312" w:type="dxa"/>
          </w:tcPr>
          <w:p w14:paraId="13DB3B70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Probabilistic sensitivity analysis</w:t>
            </w:r>
          </w:p>
        </w:tc>
        <w:tc>
          <w:tcPr>
            <w:tcW w:w="3312" w:type="dxa"/>
          </w:tcPr>
          <w:p w14:paraId="5C83E94A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20,000 iterations</w:t>
            </w:r>
          </w:p>
        </w:tc>
        <w:tc>
          <w:tcPr>
            <w:tcW w:w="3600" w:type="dxa"/>
          </w:tcPr>
          <w:p w14:paraId="4B999F2A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n/a</w:t>
            </w:r>
          </w:p>
        </w:tc>
        <w:tc>
          <w:tcPr>
            <w:tcW w:w="3600" w:type="dxa"/>
          </w:tcPr>
          <w:p w14:paraId="5F7BDB95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Monte-Carlo propagation of parameter uncertainty</w:t>
            </w:r>
          </w:p>
        </w:tc>
      </w:tr>
      <w:tr w:rsidR="00AD5B70" w14:paraId="641C900F" w14:textId="77777777">
        <w:tc>
          <w:tcPr>
            <w:tcW w:w="3312" w:type="dxa"/>
          </w:tcPr>
          <w:p w14:paraId="003029C4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Time horizon / estimands</w:t>
            </w:r>
          </w:p>
        </w:tc>
        <w:tc>
          <w:tcPr>
            <w:tcW w:w="3312" w:type="dxa"/>
          </w:tcPr>
          <w:p w14:paraId="52BEFA3A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5 and 10 years</w:t>
            </w:r>
          </w:p>
        </w:tc>
        <w:tc>
          <w:tcPr>
            <w:tcW w:w="3600" w:type="dxa"/>
          </w:tcPr>
          <w:p w14:paraId="03925B7E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n/a</w:t>
            </w:r>
          </w:p>
        </w:tc>
        <w:tc>
          <w:tcPr>
            <w:tcW w:w="3600" w:type="dxa"/>
          </w:tcPr>
          <w:p w14:paraId="20CC9929" w14:textId="77777777" w:rsidR="00AD5B70" w:rsidRDefault="00193954">
            <w:pPr>
              <w:spacing w:before="30" w:after="30"/>
            </w:pPr>
            <w:r>
              <w:rPr>
                <w:sz w:val="15"/>
              </w:rPr>
              <w:t>ΔCIF, NNT, restricted mean time lost</w:t>
            </w:r>
          </w:p>
        </w:tc>
      </w:tr>
    </w:tbl>
    <w:p w14:paraId="068AE90F" w14:textId="77777777" w:rsidR="00457970" w:rsidRDefault="00457970">
      <w:pPr>
        <w:spacing w:after="280"/>
        <w:jc w:val="both"/>
        <w:rPr>
          <w:i/>
          <w:sz w:val="14"/>
        </w:rPr>
      </w:pPr>
    </w:p>
    <w:p w14:paraId="532012D7" w14:textId="58D53624" w:rsidR="00AD5B70" w:rsidRDefault="00193954">
      <w:pPr>
        <w:spacing w:after="280"/>
        <w:jc w:val="both"/>
        <w:rPr>
          <w:i/>
          <w:sz w:val="14"/>
        </w:rPr>
      </w:pPr>
      <w:r>
        <w:rPr>
          <w:i/>
          <w:sz w:val="14"/>
        </w:rPr>
        <w:t>APBI accelerated partial-breast irradiation, ΔCIF absolute difference in 10-year cumulative incidence, EBCTCG Early Breast Cancer Trialists’ Collaborative Group, ET endocrine therapy, HR hazard ratio, IBTR ipsilateral breast tumour recurrence, NNT number needed to treat, PBI partial-breast irradiation, PSA probabilistic sensitivity analysis, UI uncertainty interval.</w:t>
      </w:r>
    </w:p>
    <w:p w14:paraId="30D982AD" w14:textId="77777777" w:rsidR="00457970" w:rsidRDefault="00457970">
      <w:pPr>
        <w:spacing w:after="280"/>
        <w:jc w:val="both"/>
        <w:rPr>
          <w:i/>
          <w:sz w:val="14"/>
        </w:rPr>
      </w:pPr>
    </w:p>
    <w:p w14:paraId="233D8155" w14:textId="77777777" w:rsidR="00457970" w:rsidRDefault="00457970">
      <w:pPr>
        <w:spacing w:after="280"/>
        <w:jc w:val="both"/>
        <w:rPr>
          <w:i/>
          <w:sz w:val="14"/>
        </w:rPr>
      </w:pPr>
    </w:p>
    <w:p w14:paraId="101A2438" w14:textId="77777777" w:rsidR="00457970" w:rsidRDefault="00457970">
      <w:pPr>
        <w:spacing w:after="280"/>
        <w:jc w:val="both"/>
        <w:rPr>
          <w:i/>
          <w:sz w:val="14"/>
        </w:rPr>
      </w:pPr>
    </w:p>
    <w:p w14:paraId="63426777" w14:textId="77777777" w:rsidR="00457970" w:rsidRDefault="00457970">
      <w:pPr>
        <w:spacing w:after="280"/>
        <w:jc w:val="both"/>
        <w:rPr>
          <w:i/>
          <w:sz w:val="14"/>
        </w:rPr>
      </w:pPr>
    </w:p>
    <w:p w14:paraId="52514B38" w14:textId="77777777" w:rsidR="00457970" w:rsidRDefault="00457970">
      <w:pPr>
        <w:spacing w:after="280"/>
        <w:jc w:val="both"/>
        <w:rPr>
          <w:i/>
          <w:sz w:val="14"/>
        </w:rPr>
      </w:pPr>
    </w:p>
    <w:p w14:paraId="33606F30" w14:textId="77777777" w:rsidR="00457970" w:rsidRDefault="00457970">
      <w:pPr>
        <w:spacing w:after="280"/>
        <w:jc w:val="both"/>
        <w:rPr>
          <w:i/>
          <w:sz w:val="14"/>
        </w:rPr>
      </w:pPr>
    </w:p>
    <w:p w14:paraId="43B186B7" w14:textId="77777777" w:rsidR="00457970" w:rsidRDefault="00457970">
      <w:pPr>
        <w:spacing w:after="280"/>
        <w:jc w:val="both"/>
        <w:rPr>
          <w:i/>
          <w:sz w:val="14"/>
        </w:rPr>
      </w:pPr>
    </w:p>
    <w:p w14:paraId="255A4959" w14:textId="77777777" w:rsidR="00457970" w:rsidRDefault="00457970">
      <w:pPr>
        <w:spacing w:after="280"/>
        <w:jc w:val="both"/>
        <w:rPr>
          <w:i/>
          <w:sz w:val="14"/>
        </w:rPr>
      </w:pPr>
    </w:p>
    <w:p w14:paraId="474EA3E0" w14:textId="77777777" w:rsidR="00457970" w:rsidRDefault="00457970">
      <w:pPr>
        <w:spacing w:after="280"/>
        <w:jc w:val="both"/>
        <w:rPr>
          <w:i/>
          <w:sz w:val="14"/>
        </w:rPr>
      </w:pPr>
    </w:p>
    <w:p w14:paraId="068A0DED" w14:textId="77777777" w:rsidR="00457970" w:rsidRDefault="00457970">
      <w:pPr>
        <w:spacing w:after="280"/>
        <w:jc w:val="both"/>
        <w:rPr>
          <w:i/>
          <w:sz w:val="14"/>
        </w:rPr>
      </w:pPr>
    </w:p>
    <w:p w14:paraId="621F07FB" w14:textId="77777777" w:rsidR="00457970" w:rsidRDefault="00457970">
      <w:pPr>
        <w:spacing w:after="280"/>
        <w:jc w:val="both"/>
      </w:pPr>
    </w:p>
    <w:p w14:paraId="107FA457" w14:textId="77777777" w:rsidR="00AD5B70" w:rsidRDefault="00193954">
      <w:pPr>
        <w:spacing w:before="160" w:after="80"/>
      </w:pPr>
      <w:r>
        <w:rPr>
          <w:b/>
          <w:sz w:val="22"/>
        </w:rPr>
        <w:lastRenderedPageBreak/>
        <w:t>Table S2. Endocrine-therapy exposure and local-recurrence endpoint definitions in the source trials.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ook w:val="04A0" w:firstRow="1" w:lastRow="0" w:firstColumn="1" w:lastColumn="0" w:noHBand="0" w:noVBand="1"/>
      </w:tblPr>
      <w:tblGrid>
        <w:gridCol w:w="1382"/>
        <w:gridCol w:w="1306"/>
        <w:gridCol w:w="1857"/>
        <w:gridCol w:w="1474"/>
        <w:gridCol w:w="1111"/>
        <w:gridCol w:w="1205"/>
        <w:gridCol w:w="2002"/>
        <w:gridCol w:w="1089"/>
        <w:gridCol w:w="2398"/>
      </w:tblGrid>
      <w:tr w:rsidR="00AD5B70" w14:paraId="0EB5E6BA" w14:textId="77777777">
        <w:tc>
          <w:tcPr>
            <w:tcW w:w="1440" w:type="dxa"/>
          </w:tcPr>
          <w:p w14:paraId="0BD0561B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Source trial [ref]</w:t>
            </w:r>
          </w:p>
        </w:tc>
        <w:tc>
          <w:tcPr>
            <w:tcW w:w="1224" w:type="dxa"/>
          </w:tcPr>
          <w:p w14:paraId="5283FBA3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Role in model</w:t>
            </w:r>
          </w:p>
        </w:tc>
        <w:tc>
          <w:tcPr>
            <w:tcW w:w="1944" w:type="dxa"/>
          </w:tcPr>
          <w:p w14:paraId="2C596E0A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Endocrine therapy specified</w:t>
            </w:r>
          </w:p>
        </w:tc>
        <w:tc>
          <w:tcPr>
            <w:tcW w:w="1512" w:type="dxa"/>
          </w:tcPr>
          <w:p w14:paraId="7DDF3698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Uptake actually reported</w:t>
            </w:r>
          </w:p>
        </w:tc>
        <w:tc>
          <w:tcPr>
            <w:tcW w:w="1080" w:type="dxa"/>
          </w:tcPr>
          <w:p w14:paraId="773E5190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Agent(s)</w:t>
            </w:r>
          </w:p>
        </w:tc>
        <w:tc>
          <w:tcPr>
            <w:tcW w:w="893" w:type="dxa"/>
          </w:tcPr>
          <w:p w14:paraId="2CCBF454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Intended duration</w:t>
            </w:r>
          </w:p>
        </w:tc>
        <w:tc>
          <w:tcPr>
            <w:tcW w:w="2088" w:type="dxa"/>
          </w:tcPr>
          <w:p w14:paraId="27690D77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Reported adherence</w:t>
            </w:r>
          </w:p>
        </w:tc>
        <w:tc>
          <w:tcPr>
            <w:tcW w:w="1123" w:type="dxa"/>
          </w:tcPr>
          <w:p w14:paraId="043644A2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Median follow-up</w:t>
            </w:r>
          </w:p>
        </w:tc>
        <w:tc>
          <w:tcPr>
            <w:tcW w:w="2520" w:type="dxa"/>
          </w:tcPr>
          <w:p w14:paraId="30F3A962" w14:textId="77777777" w:rsidR="00AD5B70" w:rsidRDefault="00193954">
            <w:pPr>
              <w:spacing w:before="30" w:after="30"/>
            </w:pPr>
            <w:r>
              <w:rPr>
                <w:b/>
                <w:sz w:val="14"/>
              </w:rPr>
              <w:t>Local-recurrence endpoint definition</w:t>
            </w:r>
          </w:p>
        </w:tc>
      </w:tr>
      <w:tr w:rsidR="00AD5B70" w14:paraId="3C3AA48E" w14:textId="77777777">
        <w:tc>
          <w:tcPr>
            <w:tcW w:w="1440" w:type="dxa"/>
          </w:tcPr>
          <w:p w14:paraId="7361240A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APBI-IMRT Florence [1]</w:t>
            </w:r>
          </w:p>
        </w:tc>
        <w:tc>
          <w:tcPr>
            <w:tcW w:w="1224" w:type="dxa"/>
          </w:tcPr>
          <w:p w14:paraId="70B095D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PBI local-control baseline</w:t>
            </w:r>
          </w:p>
        </w:tc>
        <w:tc>
          <w:tcPr>
            <w:tcW w:w="1944" w:type="dxa"/>
          </w:tcPr>
          <w:p w14:paraId="4171E71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specified in the report; no protocol rule for endocrine therapy is described</w:t>
            </w:r>
          </w:p>
        </w:tc>
        <w:tc>
          <w:tcPr>
            <w:tcW w:w="1512" w:type="dxa"/>
          </w:tcPr>
          <w:p w14:paraId="49BA88C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Endocrine therapy alone in 155/260 (59.6%) whole-breast and 162/260 (62.3%) APBI patients, plus chemotherapy with endocrine therapy in 7 (2.7%) and 20 (7.7%); any endocrine therapy therefore 162/260 (62.3%) and 182/260 (70.0%). No systemic treatment in 93 (35.8%) and 75 (28.8%)</w:t>
            </w:r>
          </w:p>
        </w:tc>
        <w:tc>
          <w:tcPr>
            <w:tcW w:w="1080" w:type="dxa"/>
          </w:tcPr>
          <w:p w14:paraId="141D77E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893" w:type="dxa"/>
          </w:tcPr>
          <w:p w14:paraId="498DDBA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2088" w:type="dxa"/>
          </w:tcPr>
          <w:p w14:paraId="6231078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1123" w:type="dxa"/>
          </w:tcPr>
          <w:p w14:paraId="0DFAF980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128 months (whole series); whole-breast arm 131 months, APBI arm 126 months</w:t>
            </w:r>
          </w:p>
        </w:tc>
        <w:tc>
          <w:tcPr>
            <w:tcW w:w="2520" w:type="dxa"/>
          </w:tcPr>
          <w:p w14:paraId="7042581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Primary endpoint was the IBTR rate; IBTR is not further defined. Locoregional recurrence was a secondary endpoint</w:t>
            </w:r>
          </w:p>
        </w:tc>
      </w:tr>
      <w:tr w:rsidR="00AD5B70" w14:paraId="25D943D2" w14:textId="77777777">
        <w:tc>
          <w:tcPr>
            <w:tcW w:w="1440" w:type="dxa"/>
          </w:tcPr>
          <w:p w14:paraId="30C79D9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UK IMPORT LOW [2]</w:t>
            </w:r>
          </w:p>
        </w:tc>
        <w:tc>
          <w:tcPr>
            <w:tcW w:w="1224" w:type="dxa"/>
          </w:tcPr>
          <w:p w14:paraId="74F5D164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PBI local-control baseline</w:t>
            </w:r>
          </w:p>
        </w:tc>
        <w:tc>
          <w:tcPr>
            <w:tcW w:w="1944" w:type="dxa"/>
          </w:tcPr>
          <w:p w14:paraId="156EEF3A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protocol-mandated; primary (pre-operative) endocrine therapy permitted if the tumour was 3 cm or smaller</w:t>
            </w:r>
          </w:p>
        </w:tc>
        <w:tc>
          <w:tcPr>
            <w:tcW w:w="1512" w:type="dxa"/>
          </w:tcPr>
          <w:p w14:paraId="5BDC4E5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91% (1826 of 2013 participants with available data)</w:t>
            </w:r>
          </w:p>
        </w:tc>
        <w:tc>
          <w:tcPr>
            <w:tcW w:w="1080" w:type="dxa"/>
          </w:tcPr>
          <w:p w14:paraId="2DB5A03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893" w:type="dxa"/>
          </w:tcPr>
          <w:p w14:paraId="2BD0448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2088" w:type="dxa"/>
          </w:tcPr>
          <w:p w14:paraId="6FE2EEF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1123" w:type="dxa"/>
          </w:tcPr>
          <w:p w14:paraId="6FF6BC2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120 months (IQR 119–122)</w:t>
            </w:r>
          </w:p>
        </w:tc>
        <w:tc>
          <w:tcPr>
            <w:tcW w:w="2520" w:type="dxa"/>
          </w:tcPr>
          <w:p w14:paraId="679DA53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IBTR: presence of any invasive or non-invasive carcinoma in any location in the ipsilateral breast parenchyma or overlying skin (includes DCIS and new ipsilateral primaries); all events centrally reviewed (imaging and histopathology)</w:t>
            </w:r>
          </w:p>
        </w:tc>
      </w:tr>
      <w:tr w:rsidR="00AD5B70" w14:paraId="19C99388" w14:textId="77777777">
        <w:tc>
          <w:tcPr>
            <w:tcW w:w="1440" w:type="dxa"/>
          </w:tcPr>
          <w:p w14:paraId="1B0B9247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NSABP B-39 / RTOG 0413 [3]</w:t>
            </w:r>
          </w:p>
        </w:tc>
        <w:tc>
          <w:tcPr>
            <w:tcW w:w="1224" w:type="dxa"/>
          </w:tcPr>
          <w:p w14:paraId="25F7701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Intermediate-risk stratum; PBI baseline</w:t>
            </w:r>
          </w:p>
        </w:tc>
        <w:tc>
          <w:tcPr>
            <w:tcW w:w="1944" w:type="dxa"/>
          </w:tcPr>
          <w:p w14:paraId="20948C22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At the treating medical oncologist's discretion; hormone-receptor status a stratification factor</w:t>
            </w:r>
          </w:p>
        </w:tc>
        <w:tc>
          <w:tcPr>
            <w:tcW w:w="1512" w:type="dxa"/>
          </w:tcPr>
          <w:p w14:paraId="7DD0C366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Among 3426 HR-positive patients: 82% (1399/1716) whole-breast group; 85% (1458/1710) APBI group</w:t>
            </w:r>
          </w:p>
        </w:tc>
        <w:tc>
          <w:tcPr>
            <w:tcW w:w="1080" w:type="dxa"/>
          </w:tcPr>
          <w:p w14:paraId="4CE5121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 (termed “hormonal therapy”)</w:t>
            </w:r>
          </w:p>
        </w:tc>
        <w:tc>
          <w:tcPr>
            <w:tcW w:w="893" w:type="dxa"/>
          </w:tcPr>
          <w:p w14:paraId="0AF40E3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2088" w:type="dxa"/>
          </w:tcPr>
          <w:p w14:paraId="4FD32D1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 (the 95% figure reported refers to radiotherapy, not endocrine therapy)</w:t>
            </w:r>
          </w:p>
        </w:tc>
        <w:tc>
          <w:tcPr>
            <w:tcW w:w="1123" w:type="dxa"/>
          </w:tcPr>
          <w:p w14:paraId="73760A5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122 months (IQR 90–138)</w:t>
            </w:r>
          </w:p>
        </w:tc>
        <w:tc>
          <w:tcPr>
            <w:tcW w:w="2520" w:type="dxa"/>
          </w:tcPr>
          <w:p w14:paraId="1277D240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IBTR (invasive and non-invasive) as a first recurrence; other local, regional or distant recurrences and death before IBTR treated as competing risks</w:t>
            </w:r>
          </w:p>
        </w:tc>
      </w:tr>
      <w:tr w:rsidR="00AD5B70" w14:paraId="621E8C02" w14:textId="77777777">
        <w:tc>
          <w:tcPr>
            <w:tcW w:w="1440" w:type="dxa"/>
          </w:tcPr>
          <w:p w14:paraId="652D774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PRIME II [6]</w:t>
            </w:r>
          </w:p>
        </w:tc>
        <w:tc>
          <w:tcPr>
            <w:tcW w:w="1224" w:type="dxa"/>
          </w:tcPr>
          <w:p w14:paraId="1C4706AA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Elderly RT-omission contrast</w:t>
            </w:r>
          </w:p>
        </w:tc>
        <w:tc>
          <w:tcPr>
            <w:tcW w:w="1944" w:type="dxa"/>
          </w:tcPr>
          <w:p w14:paraId="6BD76FFD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Required in both arms: all randomised women were receiving adjuvant endocrine therapy at entry</w:t>
            </w:r>
          </w:p>
        </w:tc>
        <w:tc>
          <w:tcPr>
            <w:tcW w:w="1512" w:type="dxa"/>
          </w:tcPr>
          <w:p w14:paraId="42F01AA5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100% by design (1326/1326)</w:t>
            </w:r>
          </w:p>
        </w:tc>
        <w:tc>
          <w:tcPr>
            <w:tcW w:w="1080" w:type="dxa"/>
          </w:tcPr>
          <w:p w14:paraId="103B0EC6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Tamoxifen 20 mg/day recommended by protocol as standard adjuvant endocrine therapy</w:t>
            </w:r>
          </w:p>
        </w:tc>
        <w:tc>
          <w:tcPr>
            <w:tcW w:w="893" w:type="dxa"/>
          </w:tcPr>
          <w:p w14:paraId="44B28BC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5 years (recommended)</w:t>
            </w:r>
          </w:p>
        </w:tc>
        <w:tc>
          <w:tcPr>
            <w:tcW w:w="2088" w:type="dxa"/>
          </w:tcPr>
          <w:p w14:paraId="10AA61CA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Recorded annually by clinicians (whether still taking endocrine therapy, and when stopped). In the no-radiotherapy group, time-dependent analysis showed higher local-recurrence risk in patients no longer taking endocrine therapy (HR 4.66, 95% CI 1.77–12.25, versus those continuing)</w:t>
            </w:r>
          </w:p>
        </w:tc>
        <w:tc>
          <w:tcPr>
            <w:tcW w:w="1123" w:type="dxa"/>
          </w:tcPr>
          <w:p w14:paraId="737630D6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109 months</w:t>
            </w:r>
          </w:p>
        </w:tc>
        <w:tc>
          <w:tcPr>
            <w:tcW w:w="2520" w:type="dxa"/>
          </w:tcPr>
          <w:p w14:paraId="183C734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Local recurrence: any cancer in the scar or in the same breast; endpoints assessed by the local investigator and not centrally assessed</w:t>
            </w:r>
          </w:p>
        </w:tc>
      </w:tr>
      <w:tr w:rsidR="00AD5B70" w14:paraId="09938828" w14:textId="77777777">
        <w:tc>
          <w:tcPr>
            <w:tcW w:w="1440" w:type="dxa"/>
          </w:tcPr>
          <w:p w14:paraId="48EE0B2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CALGB 9343 [7]</w:t>
            </w:r>
          </w:p>
        </w:tc>
        <w:tc>
          <w:tcPr>
            <w:tcW w:w="1224" w:type="dxa"/>
          </w:tcPr>
          <w:p w14:paraId="6F2FD77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Elderly RT-omission contrast</w:t>
            </w:r>
          </w:p>
        </w:tc>
        <w:tc>
          <w:tcPr>
            <w:tcW w:w="1944" w:type="dxa"/>
          </w:tcPr>
          <w:p w14:paraId="196A2F27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Required: all women received tamoxifen, initiated either during or after irradiation, in both arms (tamoxifen + radiotherapy vs tamoxifen alone)</w:t>
            </w:r>
          </w:p>
        </w:tc>
        <w:tc>
          <w:tcPr>
            <w:tcW w:w="1512" w:type="dxa"/>
          </w:tcPr>
          <w:p w14:paraId="199F97C1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100% assigned (636/636)</w:t>
            </w:r>
          </w:p>
        </w:tc>
        <w:tc>
          <w:tcPr>
            <w:tcW w:w="1080" w:type="dxa"/>
          </w:tcPr>
          <w:p w14:paraId="1A8D7D84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Tamoxifen 20 mg/day</w:t>
            </w:r>
          </w:p>
        </w:tc>
        <w:tc>
          <w:tcPr>
            <w:tcW w:w="893" w:type="dxa"/>
          </w:tcPr>
          <w:p w14:paraId="4114DF7C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5 years; adjuvant hormonal treatment beyond 5 years was discretionary</w:t>
            </w:r>
          </w:p>
        </w:tc>
        <w:tc>
          <w:tcPr>
            <w:tcW w:w="2088" w:type="dxa"/>
          </w:tcPr>
          <w:p w14:paraId="58CE6A2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captured: the report states that the study did not rigorously capture tamoxifen discontinuation</w:t>
            </w:r>
          </w:p>
        </w:tc>
        <w:tc>
          <w:tcPr>
            <w:tcW w:w="1123" w:type="dxa"/>
          </w:tcPr>
          <w:p w14:paraId="01CBD076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151 months (treated patients)</w:t>
            </w:r>
          </w:p>
        </w:tc>
        <w:tc>
          <w:tcPr>
            <w:tcW w:w="2520" w:type="dxa"/>
          </w:tcPr>
          <w:p w14:paraId="0308F45F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Primary endpoint was time to locoregional recurrence. IBTR was defined as any cancer in the ipsilateral breast; regional recurrence as any recurrence in the ipsilateral supraclavicular, infraclavicular or axillary nodes</w:t>
            </w:r>
          </w:p>
        </w:tc>
      </w:tr>
      <w:tr w:rsidR="00AD5B70" w14:paraId="17553EDD" w14:textId="77777777">
        <w:tc>
          <w:tcPr>
            <w:tcW w:w="1440" w:type="dxa"/>
          </w:tcPr>
          <w:p w14:paraId="7BDB0E0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lastRenderedPageBreak/>
              <w:t>LUMINA [8]</w:t>
            </w:r>
          </w:p>
        </w:tc>
        <w:tc>
          <w:tcPr>
            <w:tcW w:w="1224" w:type="dxa"/>
          </w:tcPr>
          <w:p w14:paraId="1DB5771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Genomic/biology-low stratum</w:t>
            </w:r>
          </w:p>
        </w:tc>
        <w:tc>
          <w:tcPr>
            <w:tcW w:w="1944" w:type="dxa"/>
          </w:tcPr>
          <w:p w14:paraId="55A70B5E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Required: protocol specified endocrine therapy for at least 5 years with radiotherapy omitted</w:t>
            </w:r>
          </w:p>
        </w:tc>
        <w:tc>
          <w:tcPr>
            <w:tcW w:w="1512" w:type="dxa"/>
          </w:tcPr>
          <w:p w14:paraId="046BF6B6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8 of 500 enrolled patients did not receive endocrine therapy (492/500, 98%)</w:t>
            </w:r>
          </w:p>
        </w:tc>
        <w:tc>
          <w:tcPr>
            <w:tcW w:w="1080" w:type="dxa"/>
          </w:tcPr>
          <w:p w14:paraId="3CE44443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Aromatase inhibitor (anastrozole, letrozole or exemestane) in 59%; tamoxifen in 41%</w:t>
            </w:r>
          </w:p>
        </w:tc>
        <w:tc>
          <w:tcPr>
            <w:tcW w:w="893" w:type="dxa"/>
          </w:tcPr>
          <w:p w14:paraId="1C1B9542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At least 5 years</w:t>
            </w:r>
          </w:p>
        </w:tc>
        <w:tc>
          <w:tcPr>
            <w:tcW w:w="2088" w:type="dxa"/>
          </w:tcPr>
          <w:p w14:paraId="6939D36D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Assessed by patient interview at each follow-up visit; of patients who started endocrine therapy, 82.7% were still receiving it at their last follow-up visit when that visit occurred at 5 years or earlier</w:t>
            </w:r>
          </w:p>
        </w:tc>
        <w:tc>
          <w:tcPr>
            <w:tcW w:w="1123" w:type="dxa"/>
          </w:tcPr>
          <w:p w14:paraId="6A70DD41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60 months</w:t>
            </w:r>
          </w:p>
        </w:tc>
        <w:tc>
          <w:tcPr>
            <w:tcW w:w="2520" w:type="dxa"/>
          </w:tcPr>
          <w:p w14:paraId="06E4EC9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Local breast cancer recurrence: recurrent invasive or in situ cancer confirmed histologically in the ipsilateral breast; classified as true or marginal recurrence if within 2 cm of the original tumour bed</w:t>
            </w:r>
          </w:p>
        </w:tc>
      </w:tr>
      <w:tr w:rsidR="00AD5B70" w14:paraId="3A0E9597" w14:textId="77777777">
        <w:tc>
          <w:tcPr>
            <w:tcW w:w="1440" w:type="dxa"/>
          </w:tcPr>
          <w:p w14:paraId="3C596E3D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IDEA [9]</w:t>
            </w:r>
          </w:p>
        </w:tc>
        <w:tc>
          <w:tcPr>
            <w:tcW w:w="1224" w:type="dxa"/>
          </w:tcPr>
          <w:p w14:paraId="4DE6FEB7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Genomic/biology-low stratum</w:t>
            </w:r>
          </w:p>
        </w:tc>
        <w:tc>
          <w:tcPr>
            <w:tcW w:w="1944" w:type="dxa"/>
          </w:tcPr>
          <w:p w14:paraId="31C6832E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Required: patients consented to take at least 5 years of endocrine therapy; agent at provider discretion, conforming to NCCN options</w:t>
            </w:r>
          </w:p>
        </w:tc>
        <w:tc>
          <w:tcPr>
            <w:tcW w:w="1512" w:type="dxa"/>
          </w:tcPr>
          <w:p w14:paraId="27A3473E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1080" w:type="dxa"/>
          </w:tcPr>
          <w:p w14:paraId="3DF0CC99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 (provider discretion, NCCN-conforming)</w:t>
            </w:r>
          </w:p>
        </w:tc>
        <w:tc>
          <w:tcPr>
            <w:tcW w:w="893" w:type="dxa"/>
          </w:tcPr>
          <w:p w14:paraId="59E5D077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At least 5 years</w:t>
            </w:r>
          </w:p>
        </w:tc>
        <w:tc>
          <w:tcPr>
            <w:tcW w:w="2088" w:type="dxa"/>
          </w:tcPr>
          <w:p w14:paraId="607B38A0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Reported: 169/200 compliant overall; 154/178 (86.5%) among recurrence-free patients. Compliance defined as endocrine therapy for ≥90% of follow-up before 60 months, or ≥54 months if follow-up ≥60 months</w:t>
            </w:r>
          </w:p>
        </w:tc>
        <w:tc>
          <w:tcPr>
            <w:tcW w:w="1123" w:type="dxa"/>
          </w:tcPr>
          <w:p w14:paraId="72383255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63 months (IQR 60–72)</w:t>
            </w:r>
          </w:p>
        </w:tc>
        <w:tc>
          <w:tcPr>
            <w:tcW w:w="2520" w:type="dxa"/>
          </w:tcPr>
          <w:p w14:paraId="70EFC96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Locoregional recurrence at 5 years, categorised as ipsilateral breast event, regional nodal recurrence or distant failure</w:t>
            </w:r>
          </w:p>
        </w:tc>
      </w:tr>
      <w:tr w:rsidR="00AD5B70" w14:paraId="50C8D43A" w14:textId="77777777">
        <w:tc>
          <w:tcPr>
            <w:tcW w:w="1440" w:type="dxa"/>
          </w:tcPr>
          <w:p w14:paraId="5C8D909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EUROPA [14]</w:t>
            </w:r>
          </w:p>
        </w:tc>
        <w:tc>
          <w:tcPr>
            <w:tcW w:w="1224" w:type="dxa"/>
          </w:tcPr>
          <w:p w14:paraId="3DF1607A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PBI versus endocrine therapy de-escalation; benefit–harm layer</w:t>
            </w:r>
          </w:p>
        </w:tc>
        <w:tc>
          <w:tcPr>
            <w:tcW w:w="1944" w:type="dxa"/>
          </w:tcPr>
          <w:p w14:paraId="700EFDD0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Randomised arm: 1:1 single-modality endocrine therapy versus single-modality radiotherapy</w:t>
            </w:r>
          </w:p>
        </w:tc>
        <w:tc>
          <w:tcPr>
            <w:tcW w:w="1512" w:type="dxa"/>
          </w:tcPr>
          <w:p w14:paraId="0A2BF812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1080" w:type="dxa"/>
          </w:tcPr>
          <w:p w14:paraId="53D88668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Daily oral aromatase inhibitor or tamoxifen</w:t>
            </w:r>
          </w:p>
        </w:tc>
        <w:tc>
          <w:tcPr>
            <w:tcW w:w="893" w:type="dxa"/>
          </w:tcPr>
          <w:p w14:paraId="34A922A4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5–10 years, per clinical discretion</w:t>
            </w:r>
          </w:p>
        </w:tc>
        <w:tc>
          <w:tcPr>
            <w:tcW w:w="2088" w:type="dxa"/>
          </w:tcPr>
          <w:p w14:paraId="57A2C5C5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Not reported</w:t>
            </w:r>
          </w:p>
        </w:tc>
        <w:tc>
          <w:tcPr>
            <w:tcW w:w="1123" w:type="dxa"/>
          </w:tcPr>
          <w:p w14:paraId="1A89E864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23.9 months (IQR 22.9–24.2), interim analysis</w:t>
            </w:r>
          </w:p>
        </w:tc>
        <w:tc>
          <w:tcPr>
            <w:tcW w:w="2520" w:type="dxa"/>
          </w:tcPr>
          <w:p w14:paraId="37A5054B" w14:textId="77777777" w:rsidR="00AD5B70" w:rsidRDefault="00193954">
            <w:pPr>
              <w:spacing w:before="30" w:after="30"/>
            </w:pPr>
            <w:r>
              <w:rPr>
                <w:sz w:val="14"/>
              </w:rPr>
              <w:t>5-year IBTR is a co-primary endpoint but is not reported or defined in this preplanned interim analysis</w:t>
            </w:r>
          </w:p>
        </w:tc>
      </w:tr>
    </w:tbl>
    <w:p w14:paraId="6881DBAC" w14:textId="77777777" w:rsidR="00457970" w:rsidRDefault="00457970">
      <w:pPr>
        <w:spacing w:after="120"/>
        <w:jc w:val="both"/>
        <w:rPr>
          <w:i/>
          <w:sz w:val="14"/>
        </w:rPr>
      </w:pPr>
    </w:p>
    <w:p w14:paraId="06716720" w14:textId="4788DC8D" w:rsidR="00AD5B70" w:rsidRDefault="00193954">
      <w:pPr>
        <w:spacing w:after="120"/>
        <w:jc w:val="both"/>
      </w:pPr>
      <w:r>
        <w:rPr>
          <w:i/>
          <w:sz w:val="14"/>
        </w:rPr>
        <w:t>APBI accelerated partial-breast irradiation, CI confidence interval, DCIS ductal carcinoma in situ, ET endocrine therapy, HR hazard ratio, HR-positive hormone-receptor-positive, IBTR ipsilateral breast tumour recurrence, IQR interquartile range, NCCN National Comprehensive Cancer Network, PBI partial-breast irradiation, RT radiotherapy.</w:t>
      </w:r>
    </w:p>
    <w:p w14:paraId="478DEE4C" w14:textId="340A0BA8" w:rsidR="00AD5B70" w:rsidRDefault="00AD5B70">
      <w:pPr>
        <w:spacing w:after="80"/>
        <w:jc w:val="both"/>
      </w:pPr>
    </w:p>
    <w:sectPr w:rsidR="00AD5B70" w:rsidSect="00034616">
      <w:pgSz w:w="15840" w:h="12240" w:orient="landscape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98459996">
    <w:abstractNumId w:val="8"/>
  </w:num>
  <w:num w:numId="2" w16cid:durableId="947390750">
    <w:abstractNumId w:val="6"/>
  </w:num>
  <w:num w:numId="3" w16cid:durableId="11031076">
    <w:abstractNumId w:val="5"/>
  </w:num>
  <w:num w:numId="4" w16cid:durableId="456216255">
    <w:abstractNumId w:val="4"/>
  </w:num>
  <w:num w:numId="5" w16cid:durableId="1770007957">
    <w:abstractNumId w:val="7"/>
  </w:num>
  <w:num w:numId="6" w16cid:durableId="2002737493">
    <w:abstractNumId w:val="3"/>
  </w:num>
  <w:num w:numId="7" w16cid:durableId="1003750575">
    <w:abstractNumId w:val="2"/>
  </w:num>
  <w:num w:numId="8" w16cid:durableId="985204130">
    <w:abstractNumId w:val="1"/>
  </w:num>
  <w:num w:numId="9" w16cid:durableId="18532580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3954"/>
    <w:rsid w:val="001E0800"/>
    <w:rsid w:val="0029639D"/>
    <w:rsid w:val="00326F90"/>
    <w:rsid w:val="00457970"/>
    <w:rsid w:val="00AA1D8D"/>
    <w:rsid w:val="00AD5B70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D00096"/>
  <w14:defaultImageDpi w14:val="300"/>
  <w15:docId w15:val="{9B5B2567-E4B7-4785-85EB-0ABC4578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color w:val="000000"/>
      <w:sz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1078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6994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gokoulakrichenane loganadane</cp:lastModifiedBy>
  <cp:revision>2</cp:revision>
  <dcterms:created xsi:type="dcterms:W3CDTF">2026-08-04T15:56:00Z</dcterms:created>
  <dcterms:modified xsi:type="dcterms:W3CDTF">2026-08-04T15:56:00Z</dcterms:modified>
  <cp:category/>
</cp:coreProperties>
</file>