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6B80" w14:textId="37E2BD10" w:rsidR="00901E1F" w:rsidRPr="0017118E" w:rsidRDefault="004E7F94" w:rsidP="00901E1F">
      <w:pPr>
        <w:pStyle w:val="heading2"/>
        <w:numPr>
          <w:ilvl w:val="0"/>
          <w:numId w:val="0"/>
        </w:numPr>
        <w:spacing w:beforeLines="50" w:before="180"/>
        <w:ind w:left="567" w:hanging="567"/>
        <w:rPr>
          <w:bCs/>
          <w:lang w:eastAsia="zh-TW"/>
        </w:rPr>
      </w:pPr>
      <w:r>
        <w:rPr>
          <w:rFonts w:hint="eastAsia"/>
          <w:smallCaps/>
          <w:lang w:eastAsia="zh-TW"/>
        </w:rPr>
        <w:t>Appendix</w:t>
      </w:r>
      <w:r w:rsidR="00901E1F">
        <w:rPr>
          <w:rFonts w:hint="eastAsia"/>
          <w:smallCaps/>
          <w:lang w:eastAsia="zh-TW"/>
        </w:rPr>
        <w:t xml:space="preserve"> A</w:t>
      </w:r>
    </w:p>
    <w:p w14:paraId="2FFF0EC6" w14:textId="70532155" w:rsidR="004E7F94" w:rsidRPr="00F02BAF" w:rsidRDefault="004E7F94" w:rsidP="00901E1F">
      <w:pPr>
        <w:jc w:val="both"/>
        <w:rPr>
          <w:rFonts w:hint="eastAsia"/>
          <w:lang w:eastAsia="zh-TW"/>
        </w:rPr>
      </w:pPr>
      <w:r w:rsidRPr="00F02BAF">
        <w:t>In this section, beyond the metric</w:t>
      </w:r>
      <w:r w:rsidRPr="00F02BAF">
        <w:rPr>
          <w:rFonts w:ascii="Cambria Math" w:hAnsi="Cambria Math" w:cs="Cambria Math"/>
        </w:rPr>
        <w:t>‑</w:t>
      </w:r>
      <w:r w:rsidRPr="00F02BAF">
        <w:t>based quantitative analysis, we present explanation results for four representative cases, including their top</w:t>
      </w:r>
      <w:r w:rsidRPr="00F02BAF">
        <w:rPr>
          <w:rFonts w:ascii="Cambria Math" w:hAnsi="Cambria Math" w:cs="Cambria Math"/>
        </w:rPr>
        <w:t>‑</w:t>
      </w:r>
      <w:r w:rsidRPr="00F02BAF">
        <w:t>k segments and the final SPS</w:t>
      </w:r>
      <w:r w:rsidRPr="00F02BAF">
        <w:rPr>
          <w:rFonts w:ascii="Cambria Math" w:hAnsi="Cambria Math" w:cs="Cambria Math"/>
        </w:rPr>
        <w:t>‑</w:t>
      </w:r>
      <w:r w:rsidRPr="00F02BAF">
        <w:t>LIME heatmaps highlighting the most influential text for the model</w:t>
      </w:r>
      <w:r w:rsidRPr="00F02BAF">
        <w:rPr>
          <w:rFonts w:ascii="Aptos" w:hAnsi="Aptos" w:cs="Aptos"/>
        </w:rPr>
        <w:t>’</w:t>
      </w:r>
      <w:r w:rsidRPr="00F02BAF">
        <w:t>s predictions. The first two examples are drawn from the SCOTUS dataset and the latter two from the ECtHR dataset, and together they cover both correctly and incorrectly classified decisions, allowing us to examine how well the explanations align with the underlying legal reasoning.</w:t>
      </w:r>
      <w:r w:rsidR="008109D0">
        <w:rPr>
          <w:rFonts w:hint="eastAsia"/>
          <w:lang w:eastAsia="zh-TW"/>
        </w:rPr>
        <w:t xml:space="preserve"> </w:t>
      </w:r>
      <w:r w:rsidR="008109D0" w:rsidRPr="008109D0">
        <w:rPr>
          <w:lang w:eastAsia="zh-TW"/>
        </w:rPr>
        <w:t xml:space="preserve">For </w:t>
      </w:r>
      <w:proofErr w:type="spellStart"/>
      <w:r w:rsidR="008109D0" w:rsidRPr="008109D0">
        <w:rPr>
          <w:lang w:eastAsia="zh-TW"/>
        </w:rPr>
        <w:t>visualisation</w:t>
      </w:r>
      <w:proofErr w:type="spellEnd"/>
      <w:r w:rsidR="008109D0" w:rsidRPr="008109D0">
        <w:rPr>
          <w:lang w:eastAsia="zh-TW"/>
        </w:rPr>
        <w:t xml:space="preserve"> purposes, background details in the heatmap excerpts (such as dates, locations, and personal names) have been slightly </w:t>
      </w:r>
      <w:proofErr w:type="spellStart"/>
      <w:r w:rsidR="008109D0" w:rsidRPr="008109D0">
        <w:rPr>
          <w:lang w:eastAsia="zh-TW"/>
        </w:rPr>
        <w:t>generalised</w:t>
      </w:r>
      <w:proofErr w:type="spellEnd"/>
      <w:r w:rsidR="008109D0" w:rsidRPr="008109D0">
        <w:rPr>
          <w:lang w:eastAsia="zh-TW"/>
        </w:rPr>
        <w:t xml:space="preserve"> or replaced with pseudonyms and are visually underlined, </w:t>
      </w:r>
      <w:proofErr w:type="gramStart"/>
      <w:r w:rsidR="008109D0" w:rsidRPr="008109D0">
        <w:rPr>
          <w:lang w:eastAsia="zh-TW"/>
        </w:rPr>
        <w:t>in order to</w:t>
      </w:r>
      <w:proofErr w:type="gramEnd"/>
      <w:r w:rsidR="008109D0" w:rsidRPr="008109D0">
        <w:rPr>
          <w:lang w:eastAsia="zh-TW"/>
        </w:rPr>
        <w:t xml:space="preserve"> reduce identifiability while preserving the legal reasoning context.</w:t>
      </w:r>
    </w:p>
    <w:p w14:paraId="66E69519" w14:textId="71BB5885" w:rsidR="004E7F94" w:rsidRPr="003008B1" w:rsidRDefault="004E7F94" w:rsidP="00901E1F">
      <w:pPr>
        <w:pStyle w:val="heading2"/>
        <w:numPr>
          <w:ilvl w:val="0"/>
          <w:numId w:val="0"/>
        </w:numPr>
        <w:spacing w:beforeLines="50" w:before="180"/>
        <w:ind w:left="567" w:hanging="567"/>
        <w:rPr>
          <w:bCs/>
        </w:rPr>
      </w:pPr>
      <w:r w:rsidRPr="003008B1">
        <w:rPr>
          <w:bCs/>
        </w:rPr>
        <w:t>Case Study 1: Correct Classification on SCOTUS</w:t>
      </w:r>
    </w:p>
    <w:p w14:paraId="36F2D1C0" w14:textId="74A45C29" w:rsidR="004E7F94" w:rsidRPr="00F02BAF" w:rsidRDefault="00312BDF" w:rsidP="00901E1F">
      <w:pPr>
        <w:jc w:val="both"/>
      </w:pPr>
      <w:r w:rsidRPr="00312BDF">
        <w:t xml:space="preserve">In the first example, our model correctly classified a judicial decision into the </w:t>
      </w:r>
      <w:r w:rsidRPr="00312BDF">
        <w:rPr>
          <w:b/>
          <w:bCs/>
        </w:rPr>
        <w:t>Federal Taxation</w:t>
      </w:r>
      <w:r w:rsidRPr="00312BDF">
        <w:t xml:space="preserve"> category. The case concerns the income tax obligations associated with the administration of a liquidation plan in insolvency proceedings. The court held that the </w:t>
      </w:r>
      <w:proofErr w:type="gramStart"/>
      <w:r w:rsidRPr="00312BDF">
        <w:t>responsible party</w:t>
      </w:r>
      <w:proofErr w:type="gramEnd"/>
      <w:r w:rsidRPr="00312BDF">
        <w:t xml:space="preserve"> was required to file income tax returns and pay taxes on income attributable to the property being administered. The decision is therefore a clear example of a federal tax case, even though the underlying proceedings arise in a bankruptcy</w:t>
      </w:r>
      <w:r w:rsidRPr="00312BDF">
        <w:noBreakHyphen/>
        <w:t>related context. The top</w:t>
      </w:r>
      <w:r w:rsidRPr="00312BDF">
        <w:noBreakHyphen/>
        <w:t>k segments selected by SPS</w:t>
      </w:r>
      <w:r w:rsidRPr="00312BDF">
        <w:noBreakHyphen/>
        <w:t>LIME based on their attribution scores are presented in</w:t>
      </w:r>
      <w:r>
        <w:rPr>
          <w:rFonts w:hint="eastAsia"/>
          <w:lang w:eastAsia="zh-TW"/>
        </w:rPr>
        <w:t xml:space="preserve"> </w:t>
      </w:r>
      <w:r w:rsidR="00B230F2" w:rsidRPr="00B230F2">
        <w:rPr>
          <w:lang w:eastAsia="zh-TW"/>
        </w:rPr>
        <w:fldChar w:fldCharType="begin"/>
      </w:r>
      <w:r w:rsidR="00B230F2" w:rsidRPr="00B230F2">
        <w:rPr>
          <w:lang w:eastAsia="zh-TW"/>
        </w:rPr>
        <w:instrText xml:space="preserve"> </w:instrText>
      </w:r>
      <w:r w:rsidR="00B230F2" w:rsidRPr="00B230F2">
        <w:rPr>
          <w:rFonts w:hint="eastAsia"/>
          <w:lang w:eastAsia="zh-TW"/>
        </w:rPr>
        <w:instrText>REF _Ref236771710 \h</w:instrText>
      </w:r>
      <w:r w:rsidR="00B230F2" w:rsidRPr="00B230F2">
        <w:rPr>
          <w:lang w:eastAsia="zh-TW"/>
        </w:rPr>
        <w:instrText xml:space="preserve">  \* MERGEFORMAT </w:instrText>
      </w:r>
      <w:r w:rsidR="00B230F2" w:rsidRPr="00B230F2">
        <w:rPr>
          <w:lang w:eastAsia="zh-TW"/>
        </w:rPr>
      </w:r>
      <w:r w:rsidR="00B230F2" w:rsidRPr="00B230F2">
        <w:rPr>
          <w:lang w:eastAsia="zh-TW"/>
        </w:rPr>
        <w:fldChar w:fldCharType="separate"/>
      </w:r>
      <w:r w:rsidR="00B230F2" w:rsidRPr="00B230F2">
        <w:t xml:space="preserve">Table </w:t>
      </w:r>
      <w:r w:rsidR="00B230F2" w:rsidRPr="00B230F2">
        <w:rPr>
          <w:noProof/>
        </w:rPr>
        <w:t>11</w:t>
      </w:r>
      <w:r w:rsidR="00B230F2" w:rsidRPr="00B230F2">
        <w:rPr>
          <w:lang w:eastAsia="zh-TW"/>
        </w:rPr>
        <w:fldChar w:fldCharType="end"/>
      </w:r>
      <w:r w:rsidR="004E7F94" w:rsidRPr="00B230F2">
        <w:rPr>
          <w:rFonts w:hint="eastAsia"/>
        </w:rPr>
        <w:t>.</w:t>
      </w:r>
    </w:p>
    <w:p w14:paraId="7C374C66" w14:textId="264DAF0C" w:rsidR="004E7F94" w:rsidRPr="00901E1F" w:rsidRDefault="00901E1F" w:rsidP="00477C89">
      <w:pPr>
        <w:pStyle w:val="Caption"/>
        <w:spacing w:after="0"/>
        <w:rPr>
          <w:rFonts w:ascii="Times New Roman" w:hAnsi="Times New Roman" w:cs="Times New Roman"/>
          <w:kern w:val="0"/>
          <w:sz w:val="18"/>
          <w:szCs w:val="18"/>
          <w:lang w:eastAsia="en-US"/>
          <w14:ligatures w14:val="none"/>
        </w:rPr>
      </w:pPr>
      <w:bookmarkStart w:id="0" w:name="_Ref236768284"/>
      <w:bookmarkStart w:id="1" w:name="_Ref236771710"/>
      <w:r w:rsidRPr="00901E1F">
        <w:rPr>
          <w:rFonts w:ascii="Times New Roman" w:hAnsi="Times New Roman" w:cs="Times New Roman"/>
          <w:b/>
          <w:bCs/>
          <w:kern w:val="0"/>
          <w:sz w:val="18"/>
          <w:szCs w:val="18"/>
          <w:lang w:eastAsia="en-US"/>
          <w14:ligatures w14:val="none"/>
        </w:rPr>
        <w:t xml:space="preserve">Table </w:t>
      </w:r>
      <w:bookmarkEnd w:id="0"/>
      <w:r w:rsidR="00B230F2">
        <w:rPr>
          <w:rFonts w:ascii="Times New Roman" w:hAnsi="Times New Roman" w:cs="Times New Roman"/>
          <w:b/>
          <w:bCs/>
          <w:kern w:val="0"/>
          <w:sz w:val="18"/>
          <w:szCs w:val="18"/>
          <w:lang w:eastAsia="en-US"/>
          <w14:ligatures w14:val="none"/>
        </w:rPr>
        <w:fldChar w:fldCharType="begin"/>
      </w:r>
      <w:r w:rsidR="00B230F2">
        <w:rPr>
          <w:rFonts w:ascii="Times New Roman" w:hAnsi="Times New Roman" w:cs="Times New Roman"/>
          <w:b/>
          <w:bCs/>
          <w:kern w:val="0"/>
          <w:sz w:val="18"/>
          <w:szCs w:val="18"/>
          <w:lang w:eastAsia="en-US"/>
          <w14:ligatures w14:val="none"/>
        </w:rPr>
        <w:instrText xml:space="preserve"> SEQ Table \r 11 \* ARABIC </w:instrText>
      </w:r>
      <w:r w:rsidR="00B230F2">
        <w:rPr>
          <w:rFonts w:ascii="Times New Roman" w:hAnsi="Times New Roman" w:cs="Times New Roman"/>
          <w:b/>
          <w:bCs/>
          <w:kern w:val="0"/>
          <w:sz w:val="18"/>
          <w:szCs w:val="18"/>
          <w:lang w:eastAsia="en-US"/>
          <w14:ligatures w14:val="none"/>
        </w:rPr>
        <w:fldChar w:fldCharType="separate"/>
      </w:r>
      <w:r w:rsidR="00B230F2">
        <w:rPr>
          <w:rFonts w:ascii="Times New Roman" w:hAnsi="Times New Roman" w:cs="Times New Roman"/>
          <w:b/>
          <w:bCs/>
          <w:noProof/>
          <w:kern w:val="0"/>
          <w:sz w:val="18"/>
          <w:szCs w:val="18"/>
          <w:lang w:eastAsia="en-US"/>
          <w14:ligatures w14:val="none"/>
        </w:rPr>
        <w:t>11</w:t>
      </w:r>
      <w:r w:rsidR="00B230F2">
        <w:rPr>
          <w:rFonts w:ascii="Times New Roman" w:hAnsi="Times New Roman" w:cs="Times New Roman"/>
          <w:b/>
          <w:bCs/>
          <w:kern w:val="0"/>
          <w:sz w:val="18"/>
          <w:szCs w:val="18"/>
          <w:lang w:eastAsia="en-US"/>
          <w14:ligatures w14:val="none"/>
        </w:rPr>
        <w:fldChar w:fldCharType="end"/>
      </w:r>
      <w:bookmarkEnd w:id="1"/>
      <w:r w:rsidRPr="00901E1F">
        <w:rPr>
          <w:rFonts w:ascii="Times New Roman" w:hAnsi="Times New Roman" w:cs="Times New Roman"/>
          <w:kern w:val="0"/>
          <w:sz w:val="18"/>
          <w:szCs w:val="18"/>
          <w:lang w:eastAsia="en-US"/>
          <w14:ligatures w14:val="none"/>
        </w:rPr>
        <w:t xml:space="preserve"> </w:t>
      </w:r>
      <w:r w:rsidR="00312BDF" w:rsidRPr="00312BDF">
        <w:rPr>
          <w:rFonts w:ascii="Times New Roman" w:hAnsi="Times New Roman" w:cs="Times New Roman"/>
          <w:kern w:val="0"/>
          <w:sz w:val="18"/>
          <w:szCs w:val="18"/>
          <w:lang w:eastAsia="en-US"/>
          <w14:ligatures w14:val="none"/>
        </w:rPr>
        <w:t>Top</w:t>
      </w:r>
      <w:r w:rsidR="00312BDF" w:rsidRPr="00312BDF">
        <w:rPr>
          <w:rFonts w:ascii="Times New Roman" w:hAnsi="Times New Roman" w:cs="Times New Roman"/>
          <w:kern w:val="0"/>
          <w:sz w:val="18"/>
          <w:szCs w:val="18"/>
          <w:lang w:eastAsia="en-US"/>
          <w14:ligatures w14:val="none"/>
        </w:rPr>
        <w:noBreakHyphen/>
        <w:t>k segments classified as "Federal Taxation" in the first insolvency</w:t>
      </w:r>
      <w:r w:rsidR="00312BDF" w:rsidRPr="00312BDF">
        <w:rPr>
          <w:rFonts w:ascii="Times New Roman" w:hAnsi="Times New Roman" w:cs="Times New Roman"/>
          <w:kern w:val="0"/>
          <w:sz w:val="18"/>
          <w:szCs w:val="18"/>
          <w:lang w:eastAsia="en-US"/>
          <w14:ligatures w14:val="none"/>
        </w:rPr>
        <w:noBreakHyphen/>
        <w:t>related tax case.</w:t>
      </w: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60"/>
        <w:gridCol w:w="4402"/>
        <w:gridCol w:w="1223"/>
        <w:gridCol w:w="1221"/>
      </w:tblGrid>
      <w:tr w:rsidR="004E7F94" w:rsidRPr="00F02BAF" w14:paraId="3791199C" w14:textId="77777777" w:rsidTr="0098432F">
        <w:tc>
          <w:tcPr>
            <w:tcW w:w="879" w:type="pct"/>
            <w:tcBorders>
              <w:top w:val="nil"/>
              <w:bottom w:val="single" w:sz="12" w:space="0" w:color="2E74B5"/>
            </w:tcBorders>
            <w:vAlign w:val="center"/>
          </w:tcPr>
          <w:p w14:paraId="707ADDB0" w14:textId="77777777" w:rsidR="004E7F94" w:rsidRPr="00F02BAF" w:rsidRDefault="004E7F94" w:rsidP="0098432F">
            <w:pPr>
              <w:spacing w:line="160" w:lineRule="exact"/>
              <w:jc w:val="both"/>
              <w:rPr>
                <w:b/>
                <w:bCs/>
                <w:sz w:val="16"/>
                <w:szCs w:val="16"/>
              </w:rPr>
            </w:pPr>
            <w:r w:rsidRPr="00F02BAF">
              <w:rPr>
                <w:b/>
                <w:bCs/>
                <w:sz w:val="16"/>
                <w:szCs w:val="16"/>
              </w:rPr>
              <w:t>Rhetorical Role</w:t>
            </w:r>
          </w:p>
        </w:tc>
        <w:tc>
          <w:tcPr>
            <w:tcW w:w="2650" w:type="pct"/>
            <w:tcBorders>
              <w:top w:val="nil"/>
              <w:bottom w:val="single" w:sz="12" w:space="0" w:color="2E74B5"/>
            </w:tcBorders>
            <w:vAlign w:val="center"/>
          </w:tcPr>
          <w:p w14:paraId="349793DC" w14:textId="77777777" w:rsidR="004E7F94" w:rsidRPr="00F02BAF" w:rsidRDefault="004E7F94" w:rsidP="0098432F">
            <w:pPr>
              <w:spacing w:line="160" w:lineRule="exact"/>
              <w:jc w:val="both"/>
              <w:rPr>
                <w:b/>
                <w:bCs/>
                <w:sz w:val="16"/>
                <w:szCs w:val="16"/>
              </w:rPr>
            </w:pPr>
            <w:r w:rsidRPr="00F02BAF">
              <w:rPr>
                <w:rFonts w:hint="eastAsia"/>
                <w:b/>
                <w:bCs/>
                <w:sz w:val="16"/>
                <w:szCs w:val="16"/>
              </w:rPr>
              <w:t>Segment Text</w:t>
            </w:r>
          </w:p>
        </w:tc>
        <w:tc>
          <w:tcPr>
            <w:tcW w:w="736" w:type="pct"/>
            <w:tcBorders>
              <w:top w:val="nil"/>
              <w:bottom w:val="single" w:sz="12" w:space="0" w:color="2E74B5"/>
            </w:tcBorders>
            <w:vAlign w:val="center"/>
          </w:tcPr>
          <w:p w14:paraId="3610408E" w14:textId="77777777" w:rsidR="004E7F94" w:rsidRPr="00F02BAF" w:rsidRDefault="004E7F94" w:rsidP="0098432F">
            <w:pPr>
              <w:spacing w:line="160" w:lineRule="exact"/>
              <w:jc w:val="both"/>
              <w:rPr>
                <w:b/>
                <w:bCs/>
                <w:sz w:val="16"/>
                <w:szCs w:val="16"/>
              </w:rPr>
            </w:pPr>
            <w:r w:rsidRPr="00F02BAF">
              <w:rPr>
                <w:b/>
                <w:bCs/>
                <w:sz w:val="16"/>
                <w:szCs w:val="16"/>
              </w:rPr>
              <w:t>Support Class</w:t>
            </w:r>
          </w:p>
        </w:tc>
        <w:tc>
          <w:tcPr>
            <w:tcW w:w="735" w:type="pct"/>
            <w:tcBorders>
              <w:top w:val="nil"/>
              <w:bottom w:val="single" w:sz="12" w:space="0" w:color="2E74B5"/>
            </w:tcBorders>
            <w:vAlign w:val="center"/>
          </w:tcPr>
          <w:p w14:paraId="28895510" w14:textId="77777777" w:rsidR="004E7F94" w:rsidRPr="00F02BAF" w:rsidRDefault="004E7F94" w:rsidP="0098432F">
            <w:pPr>
              <w:spacing w:line="160" w:lineRule="exact"/>
              <w:jc w:val="both"/>
              <w:rPr>
                <w:b/>
                <w:bCs/>
                <w:sz w:val="16"/>
                <w:szCs w:val="16"/>
              </w:rPr>
            </w:pPr>
            <w:r w:rsidRPr="00F02BAF">
              <w:rPr>
                <w:b/>
                <w:bCs/>
                <w:sz w:val="16"/>
                <w:szCs w:val="16"/>
              </w:rPr>
              <w:t>Strength</w:t>
            </w:r>
          </w:p>
        </w:tc>
      </w:tr>
      <w:tr w:rsidR="004E7F94" w:rsidRPr="00F02BAF" w14:paraId="65A74267" w14:textId="77777777" w:rsidTr="0098432F">
        <w:tc>
          <w:tcPr>
            <w:tcW w:w="879" w:type="pct"/>
            <w:tcBorders>
              <w:top w:val="single" w:sz="12" w:space="0" w:color="2E74B5"/>
            </w:tcBorders>
          </w:tcPr>
          <w:p w14:paraId="5490447F" w14:textId="77777777" w:rsidR="004E7F94" w:rsidRPr="00F02BAF" w:rsidRDefault="004E7F94" w:rsidP="0098432F">
            <w:pPr>
              <w:spacing w:line="160" w:lineRule="exact"/>
              <w:rPr>
                <w:b/>
                <w:bCs/>
                <w:sz w:val="16"/>
                <w:szCs w:val="16"/>
              </w:rPr>
            </w:pPr>
            <w:r w:rsidRPr="00F02BAF">
              <w:rPr>
                <w:b/>
                <w:bCs/>
                <w:sz w:val="16"/>
                <w:szCs w:val="16"/>
              </w:rPr>
              <w:t>Fact</w:t>
            </w:r>
          </w:p>
        </w:tc>
        <w:tc>
          <w:tcPr>
            <w:tcW w:w="2650" w:type="pct"/>
            <w:tcBorders>
              <w:top w:val="single" w:sz="12" w:space="0" w:color="2E74B5"/>
            </w:tcBorders>
          </w:tcPr>
          <w:p w14:paraId="3DA09946" w14:textId="77777777" w:rsidR="004E7F94" w:rsidRPr="00F02BAF" w:rsidRDefault="004E7F94" w:rsidP="0098432F">
            <w:pPr>
              <w:spacing w:line="160" w:lineRule="exact"/>
              <w:jc w:val="both"/>
              <w:rPr>
                <w:sz w:val="16"/>
                <w:szCs w:val="16"/>
              </w:rPr>
            </w:pPr>
            <w:r w:rsidRPr="00F02BAF">
              <w:rPr>
                <w:sz w:val="16"/>
                <w:szCs w:val="16"/>
              </w:rPr>
              <w:t>Over the objections of the United States and the debtors, the Bankruptcy Court granted Smith's request for a declaratory judgment that he had no duty under the Internal Revenue Code (Code) to file income tax returns or pay income taxes.</w:t>
            </w:r>
          </w:p>
        </w:tc>
        <w:tc>
          <w:tcPr>
            <w:tcW w:w="736" w:type="pct"/>
            <w:tcBorders>
              <w:top w:val="single" w:sz="12" w:space="0" w:color="2E74B5"/>
            </w:tcBorders>
          </w:tcPr>
          <w:p w14:paraId="5524E3CD" w14:textId="77777777" w:rsidR="004E7F94" w:rsidRPr="00F02BAF" w:rsidRDefault="004E7F94" w:rsidP="0098432F">
            <w:pPr>
              <w:spacing w:line="160" w:lineRule="exact"/>
              <w:rPr>
                <w:sz w:val="16"/>
                <w:szCs w:val="16"/>
              </w:rPr>
            </w:pPr>
            <w:r w:rsidRPr="00F02BAF">
              <w:rPr>
                <w:sz w:val="16"/>
                <w:szCs w:val="16"/>
              </w:rPr>
              <w:t>Yes</w:t>
            </w:r>
          </w:p>
        </w:tc>
        <w:tc>
          <w:tcPr>
            <w:tcW w:w="735" w:type="pct"/>
            <w:tcBorders>
              <w:top w:val="single" w:sz="12" w:space="0" w:color="2E74B5"/>
            </w:tcBorders>
          </w:tcPr>
          <w:p w14:paraId="0344135B" w14:textId="77777777" w:rsidR="004E7F94" w:rsidRPr="00F02BAF" w:rsidRDefault="004E7F94" w:rsidP="0098432F">
            <w:pPr>
              <w:spacing w:line="160" w:lineRule="exact"/>
              <w:rPr>
                <w:sz w:val="16"/>
                <w:szCs w:val="16"/>
              </w:rPr>
            </w:pPr>
            <w:r w:rsidRPr="00F02BAF">
              <w:rPr>
                <w:sz w:val="16"/>
                <w:szCs w:val="16"/>
              </w:rPr>
              <w:t>Strong</w:t>
            </w:r>
          </w:p>
        </w:tc>
      </w:tr>
      <w:tr w:rsidR="004E7F94" w:rsidRPr="00F02BAF" w14:paraId="3CF9B414" w14:textId="77777777" w:rsidTr="0098432F">
        <w:tc>
          <w:tcPr>
            <w:tcW w:w="879" w:type="pct"/>
          </w:tcPr>
          <w:p w14:paraId="5CAB5A09" w14:textId="77777777" w:rsidR="004E7F94" w:rsidRPr="00F02BAF" w:rsidRDefault="004E7F94" w:rsidP="0098432F">
            <w:pPr>
              <w:spacing w:line="160" w:lineRule="exact"/>
              <w:rPr>
                <w:b/>
                <w:bCs/>
                <w:sz w:val="16"/>
                <w:szCs w:val="16"/>
              </w:rPr>
            </w:pPr>
            <w:r w:rsidRPr="00F02BAF">
              <w:rPr>
                <w:b/>
                <w:bCs/>
                <w:sz w:val="16"/>
                <w:szCs w:val="16"/>
              </w:rPr>
              <w:t>Fact</w:t>
            </w:r>
          </w:p>
        </w:tc>
        <w:tc>
          <w:tcPr>
            <w:tcW w:w="2650" w:type="pct"/>
          </w:tcPr>
          <w:p w14:paraId="34A9FC56" w14:textId="77777777" w:rsidR="004E7F94" w:rsidRPr="00F02BAF" w:rsidRDefault="004E7F94" w:rsidP="0098432F">
            <w:pPr>
              <w:spacing w:line="160" w:lineRule="exact"/>
              <w:jc w:val="both"/>
              <w:rPr>
                <w:sz w:val="16"/>
                <w:szCs w:val="16"/>
              </w:rPr>
            </w:pPr>
            <w:r w:rsidRPr="00F02BAF">
              <w:rPr>
                <w:sz w:val="16"/>
                <w:szCs w:val="16"/>
              </w:rPr>
              <w:t>II 9 The Internal Revenue Code ties the duty to pay federal income taxes to the duty to make an income tax return.</w:t>
            </w:r>
          </w:p>
        </w:tc>
        <w:tc>
          <w:tcPr>
            <w:tcW w:w="736" w:type="pct"/>
          </w:tcPr>
          <w:p w14:paraId="78424CC0" w14:textId="77777777" w:rsidR="004E7F94" w:rsidRPr="00F02BAF" w:rsidRDefault="004E7F94" w:rsidP="0098432F">
            <w:pPr>
              <w:spacing w:line="160" w:lineRule="exact"/>
              <w:rPr>
                <w:sz w:val="16"/>
                <w:szCs w:val="16"/>
              </w:rPr>
            </w:pPr>
            <w:r w:rsidRPr="00F02BAF">
              <w:rPr>
                <w:sz w:val="16"/>
                <w:szCs w:val="16"/>
              </w:rPr>
              <w:t>Yes</w:t>
            </w:r>
          </w:p>
        </w:tc>
        <w:tc>
          <w:tcPr>
            <w:tcW w:w="735" w:type="pct"/>
          </w:tcPr>
          <w:p w14:paraId="228755F7" w14:textId="77777777" w:rsidR="004E7F94" w:rsidRPr="00F02BAF" w:rsidRDefault="004E7F94" w:rsidP="0098432F">
            <w:pPr>
              <w:spacing w:line="160" w:lineRule="exact"/>
              <w:rPr>
                <w:sz w:val="16"/>
                <w:szCs w:val="16"/>
              </w:rPr>
            </w:pPr>
            <w:r w:rsidRPr="00F02BAF">
              <w:rPr>
                <w:sz w:val="16"/>
                <w:szCs w:val="16"/>
              </w:rPr>
              <w:t>Strong</w:t>
            </w:r>
          </w:p>
        </w:tc>
      </w:tr>
      <w:tr w:rsidR="004E7F94" w:rsidRPr="00F02BAF" w14:paraId="39D40345" w14:textId="77777777" w:rsidTr="0098432F">
        <w:tc>
          <w:tcPr>
            <w:tcW w:w="879" w:type="pct"/>
          </w:tcPr>
          <w:p w14:paraId="527E4AD1" w14:textId="77777777" w:rsidR="004E7F94" w:rsidRPr="00F02BAF" w:rsidRDefault="004E7F94" w:rsidP="0098432F">
            <w:pPr>
              <w:spacing w:line="160" w:lineRule="exact"/>
              <w:rPr>
                <w:b/>
                <w:bCs/>
                <w:sz w:val="16"/>
                <w:szCs w:val="16"/>
              </w:rPr>
            </w:pPr>
            <w:r w:rsidRPr="00F02BAF">
              <w:rPr>
                <w:b/>
                <w:bCs/>
                <w:sz w:val="16"/>
                <w:szCs w:val="16"/>
              </w:rPr>
              <w:t>Fact</w:t>
            </w:r>
          </w:p>
        </w:tc>
        <w:tc>
          <w:tcPr>
            <w:tcW w:w="2650" w:type="pct"/>
          </w:tcPr>
          <w:p w14:paraId="52090ED0" w14:textId="77777777" w:rsidR="004E7F94" w:rsidRPr="00F02BAF" w:rsidRDefault="004E7F94" w:rsidP="0098432F">
            <w:pPr>
              <w:spacing w:line="160" w:lineRule="exact"/>
              <w:jc w:val="both"/>
              <w:rPr>
                <w:sz w:val="16"/>
                <w:szCs w:val="16"/>
              </w:rPr>
            </w:pPr>
            <w:r w:rsidRPr="00F02BAF">
              <w:rPr>
                <w:sz w:val="16"/>
                <w:szCs w:val="16"/>
              </w:rPr>
              <w:t>1 These cases require us to decide whether a trustee appointed to liquidate and distribute property as part of a Chapter 11 bankruptcy plan must file income tax returns and pay income tax under the Internal Revenue Code.</w:t>
            </w:r>
          </w:p>
        </w:tc>
        <w:tc>
          <w:tcPr>
            <w:tcW w:w="736" w:type="pct"/>
          </w:tcPr>
          <w:p w14:paraId="408A2811" w14:textId="77777777" w:rsidR="004E7F94" w:rsidRPr="00F02BAF" w:rsidRDefault="004E7F94" w:rsidP="0098432F">
            <w:pPr>
              <w:spacing w:line="160" w:lineRule="exact"/>
              <w:rPr>
                <w:sz w:val="16"/>
                <w:szCs w:val="16"/>
              </w:rPr>
            </w:pPr>
            <w:r w:rsidRPr="00F02BAF">
              <w:rPr>
                <w:sz w:val="16"/>
                <w:szCs w:val="16"/>
              </w:rPr>
              <w:t>Yes</w:t>
            </w:r>
          </w:p>
        </w:tc>
        <w:tc>
          <w:tcPr>
            <w:tcW w:w="735" w:type="pct"/>
          </w:tcPr>
          <w:p w14:paraId="0F2FDA3D" w14:textId="77777777" w:rsidR="004E7F94" w:rsidRPr="00F02BAF" w:rsidRDefault="004E7F94" w:rsidP="0098432F">
            <w:pPr>
              <w:spacing w:line="160" w:lineRule="exact"/>
              <w:rPr>
                <w:sz w:val="16"/>
                <w:szCs w:val="16"/>
              </w:rPr>
            </w:pPr>
            <w:r w:rsidRPr="00F02BAF">
              <w:rPr>
                <w:sz w:val="16"/>
                <w:szCs w:val="16"/>
              </w:rPr>
              <w:t>Strong</w:t>
            </w:r>
          </w:p>
        </w:tc>
      </w:tr>
      <w:tr w:rsidR="004E7F94" w:rsidRPr="00F02BAF" w14:paraId="03925DDD" w14:textId="77777777" w:rsidTr="0098432F">
        <w:tc>
          <w:tcPr>
            <w:tcW w:w="879" w:type="pct"/>
          </w:tcPr>
          <w:p w14:paraId="158E2EE2" w14:textId="77777777" w:rsidR="004E7F94" w:rsidRPr="00F02BAF" w:rsidRDefault="004E7F94" w:rsidP="0098432F">
            <w:pPr>
              <w:spacing w:line="160" w:lineRule="exact"/>
              <w:rPr>
                <w:b/>
                <w:bCs/>
                <w:sz w:val="16"/>
                <w:szCs w:val="16"/>
              </w:rPr>
            </w:pPr>
            <w:r w:rsidRPr="00F02BAF">
              <w:rPr>
                <w:b/>
                <w:bCs/>
                <w:sz w:val="16"/>
                <w:szCs w:val="16"/>
              </w:rPr>
              <w:t>Fact</w:t>
            </w:r>
          </w:p>
        </w:tc>
        <w:tc>
          <w:tcPr>
            <w:tcW w:w="2650" w:type="pct"/>
          </w:tcPr>
          <w:p w14:paraId="0AA94C27" w14:textId="77777777" w:rsidR="004E7F94" w:rsidRPr="00F02BAF" w:rsidRDefault="004E7F94" w:rsidP="0098432F">
            <w:pPr>
              <w:spacing w:line="160" w:lineRule="exact"/>
              <w:jc w:val="both"/>
              <w:rPr>
                <w:sz w:val="16"/>
                <w:szCs w:val="16"/>
              </w:rPr>
            </w:pPr>
            <w:r w:rsidRPr="00F02BAF">
              <w:rPr>
                <w:sz w:val="16"/>
                <w:szCs w:val="16"/>
              </w:rPr>
              <w:t>First, they argue that Gould must pay the Miami Center Liquidating Trust's income taxes under the so-called "grantor trust" rules in the Internal Revenue Code.</w:t>
            </w:r>
          </w:p>
        </w:tc>
        <w:tc>
          <w:tcPr>
            <w:tcW w:w="736" w:type="pct"/>
          </w:tcPr>
          <w:p w14:paraId="1BDB228D" w14:textId="77777777" w:rsidR="004E7F94" w:rsidRPr="00F02BAF" w:rsidRDefault="004E7F94" w:rsidP="0098432F">
            <w:pPr>
              <w:spacing w:line="160" w:lineRule="exact"/>
              <w:rPr>
                <w:sz w:val="16"/>
                <w:szCs w:val="16"/>
              </w:rPr>
            </w:pPr>
            <w:r w:rsidRPr="00F02BAF">
              <w:rPr>
                <w:sz w:val="16"/>
                <w:szCs w:val="16"/>
              </w:rPr>
              <w:t>Yes</w:t>
            </w:r>
          </w:p>
        </w:tc>
        <w:tc>
          <w:tcPr>
            <w:tcW w:w="735" w:type="pct"/>
          </w:tcPr>
          <w:p w14:paraId="40C93F68" w14:textId="77777777" w:rsidR="004E7F94" w:rsidRPr="00F02BAF" w:rsidRDefault="004E7F94" w:rsidP="0098432F">
            <w:pPr>
              <w:spacing w:line="160" w:lineRule="exact"/>
              <w:rPr>
                <w:sz w:val="16"/>
                <w:szCs w:val="16"/>
              </w:rPr>
            </w:pPr>
            <w:r w:rsidRPr="00F02BAF">
              <w:rPr>
                <w:sz w:val="16"/>
                <w:szCs w:val="16"/>
              </w:rPr>
              <w:t>Strong</w:t>
            </w:r>
          </w:p>
        </w:tc>
      </w:tr>
      <w:tr w:rsidR="004E7F94" w:rsidRPr="00F02BAF" w14:paraId="137C6A2C" w14:textId="77777777" w:rsidTr="0098432F">
        <w:tc>
          <w:tcPr>
            <w:tcW w:w="879" w:type="pct"/>
          </w:tcPr>
          <w:p w14:paraId="21279C09" w14:textId="77777777" w:rsidR="004E7F94" w:rsidRPr="00F02BAF" w:rsidRDefault="004E7F94" w:rsidP="0098432F">
            <w:pPr>
              <w:spacing w:line="160" w:lineRule="exact"/>
              <w:rPr>
                <w:b/>
                <w:bCs/>
                <w:sz w:val="16"/>
                <w:szCs w:val="16"/>
              </w:rPr>
            </w:pPr>
            <w:r w:rsidRPr="00F02BAF">
              <w:rPr>
                <w:b/>
                <w:bCs/>
                <w:sz w:val="16"/>
                <w:szCs w:val="16"/>
              </w:rPr>
              <w:t>Argument</w:t>
            </w:r>
          </w:p>
        </w:tc>
        <w:tc>
          <w:tcPr>
            <w:tcW w:w="2650" w:type="pct"/>
          </w:tcPr>
          <w:p w14:paraId="0799DA51" w14:textId="77777777" w:rsidR="004E7F94" w:rsidRPr="00F02BAF" w:rsidRDefault="004E7F94" w:rsidP="0098432F">
            <w:pPr>
              <w:spacing w:line="160" w:lineRule="exact"/>
              <w:jc w:val="both"/>
              <w:rPr>
                <w:sz w:val="16"/>
                <w:szCs w:val="16"/>
              </w:rPr>
            </w:pPr>
            <w:r w:rsidRPr="00F02BAF">
              <w:rPr>
                <w:sz w:val="16"/>
                <w:szCs w:val="16"/>
              </w:rPr>
              <w:t xml:space="preserve">Because the liquidating trust is a trust under the Internal Revenue Code and because respondent Smith's duties under the plan satisfy the description of a fiduciary in the regulations, the restrictions on the trustee's discretion do not remove him </w:t>
            </w:r>
            <w:proofErr w:type="spellStart"/>
            <w:r w:rsidRPr="00F02BAF">
              <w:rPr>
                <w:sz w:val="16"/>
                <w:szCs w:val="16"/>
              </w:rPr>
              <w:t>fr</w:t>
            </w:r>
            <w:proofErr w:type="spellEnd"/>
          </w:p>
        </w:tc>
        <w:tc>
          <w:tcPr>
            <w:tcW w:w="736" w:type="pct"/>
          </w:tcPr>
          <w:p w14:paraId="34590F1F" w14:textId="77777777" w:rsidR="004E7F94" w:rsidRPr="00F02BAF" w:rsidRDefault="004E7F94" w:rsidP="0098432F">
            <w:pPr>
              <w:spacing w:line="160" w:lineRule="exact"/>
              <w:rPr>
                <w:sz w:val="16"/>
                <w:szCs w:val="16"/>
              </w:rPr>
            </w:pPr>
            <w:r w:rsidRPr="00F02BAF">
              <w:rPr>
                <w:sz w:val="16"/>
                <w:szCs w:val="16"/>
              </w:rPr>
              <w:t>Yes</w:t>
            </w:r>
          </w:p>
        </w:tc>
        <w:tc>
          <w:tcPr>
            <w:tcW w:w="735" w:type="pct"/>
          </w:tcPr>
          <w:p w14:paraId="57A5ECDB" w14:textId="77777777" w:rsidR="004E7F94" w:rsidRPr="00F02BAF" w:rsidRDefault="004E7F94" w:rsidP="0098432F">
            <w:pPr>
              <w:spacing w:line="160" w:lineRule="exact"/>
              <w:rPr>
                <w:sz w:val="16"/>
                <w:szCs w:val="16"/>
              </w:rPr>
            </w:pPr>
            <w:r w:rsidRPr="00F02BAF">
              <w:rPr>
                <w:sz w:val="16"/>
                <w:szCs w:val="16"/>
              </w:rPr>
              <w:t>Strong</w:t>
            </w:r>
          </w:p>
        </w:tc>
      </w:tr>
      <w:tr w:rsidR="004E7F94" w:rsidRPr="00F02BAF" w14:paraId="679241F8" w14:textId="77777777" w:rsidTr="0098432F">
        <w:tc>
          <w:tcPr>
            <w:tcW w:w="879" w:type="pct"/>
          </w:tcPr>
          <w:p w14:paraId="2701E0F1" w14:textId="77777777" w:rsidR="004E7F94" w:rsidRPr="00F02BAF" w:rsidRDefault="004E7F94" w:rsidP="0098432F">
            <w:pPr>
              <w:spacing w:line="160" w:lineRule="exact"/>
              <w:rPr>
                <w:b/>
                <w:bCs/>
                <w:sz w:val="16"/>
                <w:szCs w:val="16"/>
              </w:rPr>
            </w:pPr>
            <w:r w:rsidRPr="00F02BAF">
              <w:rPr>
                <w:b/>
                <w:bCs/>
                <w:sz w:val="16"/>
                <w:szCs w:val="16"/>
              </w:rPr>
              <w:t>Precedent</w:t>
            </w:r>
          </w:p>
        </w:tc>
        <w:tc>
          <w:tcPr>
            <w:tcW w:w="2650" w:type="pct"/>
          </w:tcPr>
          <w:p w14:paraId="0E1F57EB" w14:textId="77777777" w:rsidR="004E7F94" w:rsidRPr="00F02BAF" w:rsidRDefault="004E7F94" w:rsidP="0098432F">
            <w:pPr>
              <w:spacing w:line="160" w:lineRule="exact"/>
              <w:jc w:val="both"/>
              <w:rPr>
                <w:sz w:val="16"/>
                <w:szCs w:val="16"/>
              </w:rPr>
            </w:pPr>
            <w:r w:rsidRPr="00F02BAF">
              <w:rPr>
                <w:sz w:val="16"/>
                <w:szCs w:val="16"/>
              </w:rPr>
              <w:t>The plan did not simply substitute the trustee for Gould as the fiduciary of the estate.</w:t>
            </w:r>
          </w:p>
        </w:tc>
        <w:tc>
          <w:tcPr>
            <w:tcW w:w="736" w:type="pct"/>
          </w:tcPr>
          <w:p w14:paraId="637C8818" w14:textId="77777777" w:rsidR="004E7F94" w:rsidRPr="00F02BAF" w:rsidRDefault="004E7F94" w:rsidP="0098432F">
            <w:pPr>
              <w:spacing w:line="160" w:lineRule="exact"/>
              <w:rPr>
                <w:sz w:val="16"/>
                <w:szCs w:val="16"/>
              </w:rPr>
            </w:pPr>
            <w:r w:rsidRPr="00F02BAF">
              <w:rPr>
                <w:sz w:val="16"/>
                <w:szCs w:val="16"/>
              </w:rPr>
              <w:t>No</w:t>
            </w:r>
          </w:p>
        </w:tc>
        <w:tc>
          <w:tcPr>
            <w:tcW w:w="735" w:type="pct"/>
          </w:tcPr>
          <w:p w14:paraId="3B7DE3A0" w14:textId="77777777" w:rsidR="004E7F94" w:rsidRPr="00F02BAF" w:rsidRDefault="004E7F94" w:rsidP="0098432F">
            <w:pPr>
              <w:spacing w:line="160" w:lineRule="exact"/>
              <w:rPr>
                <w:sz w:val="16"/>
                <w:szCs w:val="16"/>
              </w:rPr>
            </w:pPr>
            <w:r w:rsidRPr="00F02BAF">
              <w:rPr>
                <w:sz w:val="16"/>
                <w:szCs w:val="16"/>
              </w:rPr>
              <w:t>Strong</w:t>
            </w:r>
          </w:p>
        </w:tc>
      </w:tr>
      <w:tr w:rsidR="004E7F94" w:rsidRPr="00F02BAF" w14:paraId="5811CCCA" w14:textId="77777777" w:rsidTr="0098432F">
        <w:tc>
          <w:tcPr>
            <w:tcW w:w="879" w:type="pct"/>
          </w:tcPr>
          <w:p w14:paraId="70F9C6EB" w14:textId="77777777" w:rsidR="004E7F94" w:rsidRPr="00F02BAF" w:rsidRDefault="004E7F94" w:rsidP="0098432F">
            <w:pPr>
              <w:spacing w:line="160" w:lineRule="exact"/>
              <w:rPr>
                <w:b/>
                <w:bCs/>
                <w:sz w:val="16"/>
                <w:szCs w:val="16"/>
              </w:rPr>
            </w:pPr>
            <w:r w:rsidRPr="00F02BAF">
              <w:rPr>
                <w:b/>
                <w:bCs/>
                <w:sz w:val="16"/>
                <w:szCs w:val="16"/>
              </w:rPr>
              <w:t>Precedent</w:t>
            </w:r>
          </w:p>
        </w:tc>
        <w:tc>
          <w:tcPr>
            <w:tcW w:w="2650" w:type="pct"/>
          </w:tcPr>
          <w:p w14:paraId="395120EE" w14:textId="77777777" w:rsidR="004E7F94" w:rsidRPr="00F02BAF" w:rsidRDefault="004E7F94" w:rsidP="0098432F">
            <w:pPr>
              <w:spacing w:line="160" w:lineRule="exact"/>
              <w:jc w:val="both"/>
              <w:rPr>
                <w:sz w:val="16"/>
                <w:szCs w:val="16"/>
              </w:rPr>
            </w:pPr>
            <w:r w:rsidRPr="00F02BAF">
              <w:rPr>
                <w:sz w:val="16"/>
                <w:szCs w:val="16"/>
              </w:rPr>
              <w:t>A Treasury Regulation states: 23 "Certain organizations which are commonly known as liquidating trusts are treated as trusts for purposes of the Internal Revenue Code.</w:t>
            </w:r>
          </w:p>
        </w:tc>
        <w:tc>
          <w:tcPr>
            <w:tcW w:w="736" w:type="pct"/>
          </w:tcPr>
          <w:p w14:paraId="7869122A" w14:textId="77777777" w:rsidR="004E7F94" w:rsidRPr="00F02BAF" w:rsidRDefault="004E7F94" w:rsidP="0098432F">
            <w:pPr>
              <w:spacing w:line="160" w:lineRule="exact"/>
              <w:rPr>
                <w:sz w:val="16"/>
                <w:szCs w:val="16"/>
              </w:rPr>
            </w:pPr>
            <w:r w:rsidRPr="00F02BAF">
              <w:rPr>
                <w:sz w:val="16"/>
                <w:szCs w:val="16"/>
              </w:rPr>
              <w:t>Yes</w:t>
            </w:r>
          </w:p>
        </w:tc>
        <w:tc>
          <w:tcPr>
            <w:tcW w:w="735" w:type="pct"/>
          </w:tcPr>
          <w:p w14:paraId="71EACEF0" w14:textId="77777777" w:rsidR="004E7F94" w:rsidRPr="00F02BAF" w:rsidRDefault="004E7F94" w:rsidP="0098432F">
            <w:pPr>
              <w:spacing w:line="160" w:lineRule="exact"/>
              <w:rPr>
                <w:sz w:val="16"/>
                <w:szCs w:val="16"/>
              </w:rPr>
            </w:pPr>
            <w:r w:rsidRPr="00F02BAF">
              <w:rPr>
                <w:sz w:val="16"/>
                <w:szCs w:val="16"/>
              </w:rPr>
              <w:t>Strong</w:t>
            </w:r>
          </w:p>
        </w:tc>
      </w:tr>
      <w:tr w:rsidR="004E7F94" w:rsidRPr="00F02BAF" w14:paraId="3A134AB3" w14:textId="77777777" w:rsidTr="0098432F">
        <w:tc>
          <w:tcPr>
            <w:tcW w:w="879" w:type="pct"/>
            <w:tcBorders>
              <w:bottom w:val="dashSmallGap" w:sz="4" w:space="0" w:color="000000" w:themeColor="text1"/>
            </w:tcBorders>
          </w:tcPr>
          <w:p w14:paraId="3DEA481C" w14:textId="77777777" w:rsidR="004E7F94" w:rsidRPr="00F02BAF" w:rsidRDefault="004E7F94" w:rsidP="0098432F">
            <w:pPr>
              <w:spacing w:line="160" w:lineRule="exact"/>
              <w:rPr>
                <w:b/>
                <w:bCs/>
                <w:sz w:val="16"/>
                <w:szCs w:val="16"/>
              </w:rPr>
            </w:pPr>
            <w:r w:rsidRPr="00F02BAF">
              <w:rPr>
                <w:b/>
                <w:bCs/>
                <w:sz w:val="16"/>
                <w:szCs w:val="16"/>
              </w:rPr>
              <w:t>Argument</w:t>
            </w:r>
          </w:p>
        </w:tc>
        <w:tc>
          <w:tcPr>
            <w:tcW w:w="2650" w:type="pct"/>
            <w:tcBorders>
              <w:bottom w:val="dashSmallGap" w:sz="4" w:space="0" w:color="000000" w:themeColor="text1"/>
            </w:tcBorders>
          </w:tcPr>
          <w:p w14:paraId="5FDD3522" w14:textId="77777777" w:rsidR="004E7F94" w:rsidRPr="00F02BAF" w:rsidRDefault="004E7F94" w:rsidP="0098432F">
            <w:pPr>
              <w:spacing w:line="160" w:lineRule="exact"/>
              <w:jc w:val="both"/>
              <w:rPr>
                <w:sz w:val="16"/>
                <w:szCs w:val="16"/>
              </w:rPr>
            </w:pPr>
            <w:r w:rsidRPr="00F02BAF">
              <w:rPr>
                <w:sz w:val="16"/>
                <w:szCs w:val="16"/>
              </w:rPr>
              <w:t>(c) Respondents also err in asserting that Smith may ignore the duties imposed by the Code because the plan does not require him to pay taxes.</w:t>
            </w:r>
          </w:p>
        </w:tc>
        <w:tc>
          <w:tcPr>
            <w:tcW w:w="736" w:type="pct"/>
            <w:tcBorders>
              <w:bottom w:val="dashSmallGap" w:sz="4" w:space="0" w:color="000000" w:themeColor="text1"/>
            </w:tcBorders>
          </w:tcPr>
          <w:p w14:paraId="444C46D2" w14:textId="77777777" w:rsidR="004E7F94" w:rsidRPr="00F02BAF" w:rsidRDefault="004E7F94" w:rsidP="0098432F">
            <w:pPr>
              <w:spacing w:line="160" w:lineRule="exact"/>
              <w:rPr>
                <w:sz w:val="16"/>
                <w:szCs w:val="16"/>
              </w:rPr>
            </w:pPr>
            <w:r w:rsidRPr="00F02BAF">
              <w:rPr>
                <w:sz w:val="16"/>
                <w:szCs w:val="16"/>
              </w:rPr>
              <w:t>Yes</w:t>
            </w:r>
          </w:p>
        </w:tc>
        <w:tc>
          <w:tcPr>
            <w:tcW w:w="735" w:type="pct"/>
            <w:tcBorders>
              <w:bottom w:val="dashSmallGap" w:sz="4" w:space="0" w:color="000000" w:themeColor="text1"/>
            </w:tcBorders>
          </w:tcPr>
          <w:p w14:paraId="3D45CE97" w14:textId="77777777" w:rsidR="004E7F94" w:rsidRPr="00F02BAF" w:rsidRDefault="004E7F94" w:rsidP="0098432F">
            <w:pPr>
              <w:spacing w:line="160" w:lineRule="exact"/>
              <w:rPr>
                <w:sz w:val="16"/>
                <w:szCs w:val="16"/>
              </w:rPr>
            </w:pPr>
            <w:r w:rsidRPr="00F02BAF">
              <w:rPr>
                <w:sz w:val="16"/>
                <w:szCs w:val="16"/>
              </w:rPr>
              <w:t>Strong</w:t>
            </w:r>
          </w:p>
        </w:tc>
      </w:tr>
    </w:tbl>
    <w:p w14:paraId="112598AF" w14:textId="69B78F43" w:rsidR="004E7F94" w:rsidRPr="00F02BAF" w:rsidRDefault="004E7F94" w:rsidP="00901E1F">
      <w:pPr>
        <w:spacing w:beforeLines="50" w:before="180" w:afterLines="50" w:after="180"/>
        <w:jc w:val="both"/>
      </w:pPr>
      <w:r w:rsidRPr="00901E1F">
        <w:t xml:space="preserve">In </w:t>
      </w:r>
      <w:r w:rsidR="00B230F2" w:rsidRPr="00B230F2">
        <w:rPr>
          <w:lang w:eastAsia="zh-TW"/>
        </w:rPr>
        <w:fldChar w:fldCharType="begin"/>
      </w:r>
      <w:r w:rsidR="00B230F2" w:rsidRPr="00B230F2">
        <w:rPr>
          <w:lang w:eastAsia="zh-TW"/>
        </w:rPr>
        <w:instrText xml:space="preserve"> </w:instrText>
      </w:r>
      <w:r w:rsidR="00B230F2" w:rsidRPr="00B230F2">
        <w:rPr>
          <w:rFonts w:hint="eastAsia"/>
          <w:lang w:eastAsia="zh-TW"/>
        </w:rPr>
        <w:instrText>REF _Ref236771710 \h</w:instrText>
      </w:r>
      <w:r w:rsidR="00B230F2" w:rsidRPr="00B230F2">
        <w:rPr>
          <w:lang w:eastAsia="zh-TW"/>
        </w:rPr>
        <w:instrText xml:space="preserve">  \* MERGEFORMAT </w:instrText>
      </w:r>
      <w:r w:rsidR="00B230F2" w:rsidRPr="00B230F2">
        <w:rPr>
          <w:lang w:eastAsia="zh-TW"/>
        </w:rPr>
      </w:r>
      <w:r w:rsidR="00B230F2" w:rsidRPr="00B230F2">
        <w:rPr>
          <w:lang w:eastAsia="zh-TW"/>
        </w:rPr>
        <w:fldChar w:fldCharType="separate"/>
      </w:r>
      <w:r w:rsidR="00B230F2" w:rsidRPr="00B230F2">
        <w:t xml:space="preserve">Table </w:t>
      </w:r>
      <w:r w:rsidR="00B230F2" w:rsidRPr="00B230F2">
        <w:rPr>
          <w:noProof/>
        </w:rPr>
        <w:t>11</w:t>
      </w:r>
      <w:r w:rsidR="00B230F2" w:rsidRPr="00B230F2">
        <w:rPr>
          <w:lang w:eastAsia="zh-TW"/>
        </w:rPr>
        <w:fldChar w:fldCharType="end"/>
      </w:r>
      <w:r w:rsidR="00312BDF" w:rsidRPr="00312BDF">
        <w:t>, the selected segments at the segment</w:t>
      </w:r>
      <w:r w:rsidR="00312BDF" w:rsidRPr="00312BDF">
        <w:noBreakHyphen/>
        <w:t>level top</w:t>
      </w:r>
      <w:r w:rsidR="00312BDF" w:rsidRPr="00312BDF">
        <w:noBreakHyphen/>
        <w:t xml:space="preserve">k stage are clearly related to the Federal Taxation classification, and many of them contain explicit references to statutory tax provisions and income tax obligations. Most segments are marked as supporting the prediction, and their support strengths are strong. However, the rhetorical roles of these segments are primarily </w:t>
      </w:r>
      <w:proofErr w:type="gramStart"/>
      <w:r w:rsidR="00312BDF" w:rsidRPr="00312BDF">
        <w:t>labeled as</w:t>
      </w:r>
      <w:proofErr w:type="gramEnd"/>
      <w:r w:rsidR="00312BDF" w:rsidRPr="00312BDF">
        <w:t xml:space="preserve"> Fact, Argument, and Precedent, with Fact appearing most frequently, while Ruling by Present Court (RPC), Ruling by Lower Court (RLC), and Ratio of the Decision (ROD) are absent. This pattern suggests a </w:t>
      </w:r>
      <w:r w:rsidR="00312BDF" w:rsidRPr="00312BDF">
        <w:lastRenderedPageBreak/>
        <w:t>limitation in how well the explanation aligns with the court’s formal reasoning structure, even though it captures tax</w:t>
      </w:r>
      <w:r w:rsidR="00312BDF" w:rsidRPr="00312BDF">
        <w:noBreakHyphen/>
        <w:t>related content. The corresponding SPS</w:t>
      </w:r>
      <w:r w:rsidR="00312BDF" w:rsidRPr="00312BDF">
        <w:noBreakHyphen/>
        <w:t xml:space="preserve">LIME explanation heatmap for this case is shown in </w:t>
      </w:r>
      <w:r w:rsidR="00B230F2" w:rsidRPr="00B230F2">
        <w:rPr>
          <w:lang w:eastAsia="zh-TW"/>
        </w:rPr>
        <w:fldChar w:fldCharType="begin"/>
      </w:r>
      <w:r w:rsidR="00B230F2" w:rsidRPr="00B230F2">
        <w:rPr>
          <w:lang w:eastAsia="zh-TW"/>
        </w:rPr>
        <w:instrText xml:space="preserve"> </w:instrText>
      </w:r>
      <w:r w:rsidR="00B230F2" w:rsidRPr="00B230F2">
        <w:rPr>
          <w:rFonts w:hint="eastAsia"/>
          <w:lang w:eastAsia="zh-TW"/>
        </w:rPr>
        <w:instrText>REF _Ref236771759 \h</w:instrText>
      </w:r>
      <w:r w:rsidR="00B230F2" w:rsidRPr="00B230F2">
        <w:rPr>
          <w:lang w:eastAsia="zh-TW"/>
        </w:rPr>
        <w:instrText xml:space="preserve">  \* MERGEFORMAT </w:instrText>
      </w:r>
      <w:r w:rsidR="00B230F2" w:rsidRPr="00B230F2">
        <w:rPr>
          <w:lang w:eastAsia="zh-TW"/>
        </w:rPr>
      </w:r>
      <w:r w:rsidR="00B230F2" w:rsidRPr="00B230F2">
        <w:rPr>
          <w:lang w:eastAsia="zh-TW"/>
        </w:rPr>
        <w:fldChar w:fldCharType="separate"/>
      </w:r>
      <w:r w:rsidR="00B230F2" w:rsidRPr="00B230F2">
        <w:t xml:space="preserve">Fig. </w:t>
      </w:r>
      <w:r w:rsidR="00B230F2" w:rsidRPr="00B230F2">
        <w:rPr>
          <w:noProof/>
        </w:rPr>
        <w:t>8</w:t>
      </w:r>
      <w:r w:rsidR="00B230F2" w:rsidRPr="00B230F2">
        <w:rPr>
          <w:lang w:eastAsia="zh-TW"/>
        </w:rPr>
        <w:fldChar w:fldCharType="end"/>
      </w:r>
      <w:r w:rsidRPr="00B230F2">
        <w:t>.</w:t>
      </w:r>
    </w:p>
    <w:p w14:paraId="6A5F3B60" w14:textId="77777777" w:rsidR="004E7F94" w:rsidRPr="003008B1" w:rsidRDefault="004E7F94" w:rsidP="001E3548">
      <w:pPr>
        <w:jc w:val="center"/>
      </w:pPr>
      <w:r w:rsidRPr="003008B1">
        <w:rPr>
          <w:noProof/>
        </w:rPr>
        <w:drawing>
          <wp:inline distT="0" distB="0" distL="0" distR="0" wp14:anchorId="3682D862" wp14:editId="03EAB86A">
            <wp:extent cx="3481388" cy="1056021"/>
            <wp:effectExtent l="0" t="0" r="5080" b="0"/>
            <wp:docPr id="19511901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90100" name="Picture 1951190100"/>
                    <pic:cNvPicPr/>
                  </pic:nvPicPr>
                  <pic:blipFill rotWithShape="1">
                    <a:blip r:embed="rId8" cstate="print">
                      <a:extLst>
                        <a:ext uri="{28A0092B-C50C-407E-A947-70E740481C1C}">
                          <a14:useLocalDpi xmlns:a14="http://schemas.microsoft.com/office/drawing/2010/main" val="0"/>
                        </a:ext>
                      </a:extLst>
                    </a:blip>
                    <a:srcRect r="1865"/>
                    <a:stretch>
                      <a:fillRect/>
                    </a:stretch>
                  </pic:blipFill>
                  <pic:spPr bwMode="auto">
                    <a:xfrm>
                      <a:off x="0" y="0"/>
                      <a:ext cx="3481388" cy="1056021"/>
                    </a:xfrm>
                    <a:prstGeom prst="rect">
                      <a:avLst/>
                    </a:prstGeom>
                    <a:ln>
                      <a:noFill/>
                    </a:ln>
                    <a:extLst>
                      <a:ext uri="{53640926-AAD7-44D8-BBD7-CCE9431645EC}">
                        <a14:shadowObscured xmlns:a14="http://schemas.microsoft.com/office/drawing/2010/main"/>
                      </a:ext>
                    </a:extLst>
                  </pic:spPr>
                </pic:pic>
              </a:graphicData>
            </a:graphic>
          </wp:inline>
        </w:drawing>
      </w:r>
    </w:p>
    <w:p w14:paraId="6275CEDB" w14:textId="4717C808" w:rsidR="004E7F94" w:rsidRPr="003008B1" w:rsidRDefault="00901E1F" w:rsidP="00901E1F">
      <w:pPr>
        <w:pStyle w:val="Caption"/>
        <w:spacing w:line="240" w:lineRule="exact"/>
        <w:rPr>
          <w:rFonts w:ascii="Times New Roman" w:hAnsi="Times New Roman" w:cs="Times New Roman"/>
          <w:sz w:val="18"/>
          <w:szCs w:val="18"/>
        </w:rPr>
      </w:pPr>
      <w:bookmarkStart w:id="2" w:name="_Ref236768381"/>
      <w:bookmarkStart w:id="3" w:name="_Ref236771759"/>
      <w:r w:rsidRPr="003008B1">
        <w:rPr>
          <w:rFonts w:ascii="Times New Roman" w:hAnsi="Times New Roman" w:cs="Times New Roman"/>
          <w:b/>
          <w:bCs/>
          <w:sz w:val="18"/>
          <w:szCs w:val="18"/>
        </w:rPr>
        <w:t xml:space="preserve">Fig. </w:t>
      </w:r>
      <w:bookmarkEnd w:id="2"/>
      <w:r w:rsidR="00B230F2">
        <w:rPr>
          <w:rFonts w:ascii="Times New Roman" w:hAnsi="Times New Roman" w:cs="Times New Roman"/>
          <w:b/>
          <w:bCs/>
          <w:sz w:val="18"/>
          <w:szCs w:val="18"/>
        </w:rPr>
        <w:fldChar w:fldCharType="begin"/>
      </w:r>
      <w:r w:rsidR="00B230F2">
        <w:rPr>
          <w:rFonts w:ascii="Times New Roman" w:hAnsi="Times New Roman" w:cs="Times New Roman"/>
          <w:b/>
          <w:bCs/>
          <w:sz w:val="18"/>
          <w:szCs w:val="18"/>
        </w:rPr>
        <w:instrText xml:space="preserve"> SEQ Figure\r 8  \* ARABIC </w:instrText>
      </w:r>
      <w:r w:rsidR="00B230F2">
        <w:rPr>
          <w:rFonts w:ascii="Times New Roman" w:hAnsi="Times New Roman" w:cs="Times New Roman"/>
          <w:b/>
          <w:bCs/>
          <w:sz w:val="18"/>
          <w:szCs w:val="18"/>
        </w:rPr>
        <w:fldChar w:fldCharType="separate"/>
      </w:r>
      <w:r w:rsidR="00B230F2">
        <w:rPr>
          <w:rFonts w:ascii="Times New Roman" w:hAnsi="Times New Roman" w:cs="Times New Roman"/>
          <w:b/>
          <w:bCs/>
          <w:noProof/>
          <w:sz w:val="18"/>
          <w:szCs w:val="18"/>
        </w:rPr>
        <w:t>8</w:t>
      </w:r>
      <w:r w:rsidR="00B230F2">
        <w:rPr>
          <w:rFonts w:ascii="Times New Roman" w:hAnsi="Times New Roman" w:cs="Times New Roman"/>
          <w:b/>
          <w:bCs/>
          <w:sz w:val="18"/>
          <w:szCs w:val="18"/>
        </w:rPr>
        <w:fldChar w:fldCharType="end"/>
      </w:r>
      <w:bookmarkEnd w:id="3"/>
      <w:r w:rsidR="004E7F94" w:rsidRPr="003008B1">
        <w:rPr>
          <w:rFonts w:ascii="Times New Roman" w:hAnsi="Times New Roman" w:cs="Times New Roman"/>
          <w:sz w:val="18"/>
          <w:szCs w:val="18"/>
        </w:rPr>
        <w:t xml:space="preserve"> </w:t>
      </w:r>
      <w:r w:rsidR="00312BDF" w:rsidRPr="00312BDF">
        <w:rPr>
          <w:rFonts w:ascii="Times New Roman" w:hAnsi="Times New Roman" w:cs="Times New Roman"/>
          <w:sz w:val="18"/>
          <w:szCs w:val="18"/>
        </w:rPr>
        <w:t>SPS</w:t>
      </w:r>
      <w:r w:rsidR="00312BDF" w:rsidRPr="00312BDF">
        <w:rPr>
          <w:rFonts w:ascii="Times New Roman" w:hAnsi="Times New Roman" w:cs="Times New Roman"/>
          <w:sz w:val="18"/>
          <w:szCs w:val="18"/>
        </w:rPr>
        <w:noBreakHyphen/>
        <w:t>LIME explanation heatmap for the correctly classified Federal Taxation case, showing the textual regions that most strongly support the tax</w:t>
      </w:r>
      <w:r w:rsidR="00312BDF" w:rsidRPr="00312BDF">
        <w:rPr>
          <w:rFonts w:ascii="Times New Roman" w:hAnsi="Times New Roman" w:cs="Times New Roman"/>
          <w:sz w:val="18"/>
          <w:szCs w:val="18"/>
        </w:rPr>
        <w:noBreakHyphen/>
        <w:t>related prediction.</w:t>
      </w:r>
    </w:p>
    <w:p w14:paraId="5C8D807F" w14:textId="0CA22CCB" w:rsidR="004E7F94" w:rsidRPr="00F02BAF" w:rsidRDefault="00312BDF" w:rsidP="00901E1F">
      <w:pPr>
        <w:jc w:val="both"/>
      </w:pPr>
      <w:r w:rsidRPr="00312BDF">
        <w:t>As shown in the heatmap, SPS</w:t>
      </w:r>
      <w:r w:rsidRPr="00312BDF">
        <w:noBreakHyphen/>
        <w:t>LIME assigns strong or moderate positive importance to segments that discuss insolvency</w:t>
      </w:r>
      <w:r w:rsidRPr="00312BDF">
        <w:noBreakHyphen/>
        <w:t>related case law and the meaning of fiduciary roles, as well as passages explaining statutory provisions concerning trustees and regulations that treat certain parties as owners of trust income. These segments provide evidence supporting the Federal Taxation prediction because they directly connect legal status and trust income to tax obligations. By contrast, more general references to legal authorities or dictionary definitions receive negative or weak attribution scores. This pattern suggests that the classifier relies primarily on passages that express fiduciary status, ownership, and income in tax</w:t>
      </w:r>
      <w:r w:rsidRPr="00312BDF">
        <w:noBreakHyphen/>
        <w:t>specific terms, while broader doctrinal or definitional material contributes less directly to the prediction.</w:t>
      </w:r>
    </w:p>
    <w:p w14:paraId="3B877947" w14:textId="4D94790B" w:rsidR="004E7F94" w:rsidRPr="003008B1" w:rsidRDefault="004E7F94" w:rsidP="00901E1F">
      <w:pPr>
        <w:pStyle w:val="heading2"/>
        <w:numPr>
          <w:ilvl w:val="0"/>
          <w:numId w:val="0"/>
        </w:numPr>
        <w:spacing w:beforeLines="50" w:before="180"/>
        <w:ind w:left="567" w:hanging="567"/>
        <w:rPr>
          <w:bCs/>
        </w:rPr>
      </w:pPr>
      <w:r w:rsidRPr="003008B1">
        <w:rPr>
          <w:bCs/>
        </w:rPr>
        <w:t xml:space="preserve">Case Study 2: Incorrect </w:t>
      </w:r>
      <w:r w:rsidRPr="003008B1">
        <w:rPr>
          <w:rFonts w:hint="eastAsia"/>
          <w:bCs/>
        </w:rPr>
        <w:t>Classification</w:t>
      </w:r>
      <w:r w:rsidRPr="003008B1">
        <w:rPr>
          <w:bCs/>
        </w:rPr>
        <w:t xml:space="preserve"> on SCOTUS</w:t>
      </w:r>
    </w:p>
    <w:p w14:paraId="0CF809D3" w14:textId="77777777" w:rsidR="00312BDF" w:rsidRPr="00312BDF" w:rsidRDefault="00312BDF" w:rsidP="00312BDF">
      <w:pPr>
        <w:jc w:val="both"/>
      </w:pPr>
      <w:r w:rsidRPr="00312BDF">
        <w:t xml:space="preserve">The second example is a failure case where the true label is </w:t>
      </w:r>
      <w:r w:rsidRPr="00312BDF">
        <w:rPr>
          <w:b/>
          <w:bCs/>
        </w:rPr>
        <w:t>Judicial Power</w:t>
      </w:r>
      <w:r w:rsidRPr="00312BDF">
        <w:t xml:space="preserve">, whereas the model predicted </w:t>
      </w:r>
      <w:r w:rsidRPr="00312BDF">
        <w:rPr>
          <w:b/>
          <w:bCs/>
        </w:rPr>
        <w:t>Economic Activity</w:t>
      </w:r>
      <w:r w:rsidRPr="00312BDF">
        <w:t>. The decision involves a statutory scheme governing civil remedies in the context of financial</w:t>
      </w:r>
      <w:r w:rsidRPr="00312BDF">
        <w:noBreakHyphen/>
        <w:t>market regulation. The court considered whether an investor</w:t>
      </w:r>
      <w:r w:rsidRPr="00312BDF">
        <w:noBreakHyphen/>
        <w:t>protection entity could bring a civil action to recover multiple damages for losses incurred after intermediaries became insolvent.</w:t>
      </w:r>
    </w:p>
    <w:p w14:paraId="7986B028" w14:textId="6FFA42F1" w:rsidR="004E7F94" w:rsidRPr="00F02BAF" w:rsidRDefault="00312BDF" w:rsidP="00901E1F">
      <w:pPr>
        <w:jc w:val="both"/>
      </w:pPr>
      <w:r w:rsidRPr="00312BDF">
        <w:t>This case concerns the scope of judicial authority over statutory civil remedies and standing. The court held that the claimant’s injury was too remote to satisfy the proximate</w:t>
      </w:r>
      <w:r w:rsidRPr="00312BDF">
        <w:noBreakHyphen/>
        <w:t>cause requirement in the relevant remedial provision, and that the claimant therefore had no right to sue for enhanced damages. The decision is therefore useful for examining whether the model can correctly identify issues of standing and remedial authority, rather than being misled by language about economic harm. The top</w:t>
      </w:r>
      <w:r w:rsidRPr="00312BDF">
        <w:noBreakHyphen/>
        <w:t>k segments selected by SPS</w:t>
      </w:r>
      <w:r w:rsidRPr="00312BDF">
        <w:noBreakHyphen/>
        <w:t>LIME based on their attribution scores are shown in</w:t>
      </w:r>
      <w:r w:rsidR="004E7F94" w:rsidRPr="00901E1F">
        <w:rPr>
          <w:rFonts w:hint="eastAsia"/>
          <w:lang w:eastAsia="zh-TW"/>
        </w:rPr>
        <w:t xml:space="preserve"> </w:t>
      </w:r>
      <w:r w:rsidR="00901E1F" w:rsidRPr="00901E1F">
        <w:fldChar w:fldCharType="begin"/>
      </w:r>
      <w:r w:rsidR="00901E1F" w:rsidRPr="00901E1F">
        <w:rPr>
          <w:lang w:eastAsia="zh-TW"/>
        </w:rPr>
        <w:instrText xml:space="preserve"> </w:instrText>
      </w:r>
      <w:r w:rsidR="00901E1F" w:rsidRPr="00901E1F">
        <w:rPr>
          <w:rFonts w:hint="eastAsia"/>
          <w:lang w:eastAsia="zh-TW"/>
        </w:rPr>
        <w:instrText>REF _Ref236768475 \h</w:instrText>
      </w:r>
      <w:r w:rsidR="00901E1F" w:rsidRPr="00901E1F">
        <w:rPr>
          <w:lang w:eastAsia="zh-TW"/>
        </w:rPr>
        <w:instrText xml:space="preserve"> </w:instrText>
      </w:r>
      <w:r w:rsidR="00901E1F" w:rsidRPr="00901E1F">
        <w:instrText xml:space="preserve"> \* MERGEFORMAT </w:instrText>
      </w:r>
      <w:r w:rsidR="00901E1F" w:rsidRPr="00901E1F">
        <w:fldChar w:fldCharType="separate"/>
      </w:r>
      <w:r w:rsidR="00B230F2" w:rsidRPr="00B230F2">
        <w:t xml:space="preserve">Table </w:t>
      </w:r>
      <w:r w:rsidR="00B230F2" w:rsidRPr="00B230F2">
        <w:rPr>
          <w:noProof/>
        </w:rPr>
        <w:t>12</w:t>
      </w:r>
      <w:r w:rsidR="00901E1F" w:rsidRPr="00901E1F">
        <w:fldChar w:fldCharType="end"/>
      </w:r>
      <w:r w:rsidR="004E7F94" w:rsidRPr="00901E1F">
        <w:rPr>
          <w:rFonts w:hint="eastAsia"/>
        </w:rPr>
        <w:t>.</w:t>
      </w:r>
    </w:p>
    <w:p w14:paraId="3F20E48B" w14:textId="7BA0A898" w:rsidR="004E7F94" w:rsidRPr="00B230F2" w:rsidRDefault="00901E1F" w:rsidP="00477C89">
      <w:pPr>
        <w:pStyle w:val="Caption"/>
        <w:spacing w:beforeLines="50" w:before="180" w:after="0" w:line="240" w:lineRule="exact"/>
        <w:jc w:val="both"/>
        <w:rPr>
          <w:rFonts w:ascii="Times New Roman" w:hAnsi="Times New Roman" w:cs="Times New Roman"/>
          <w:kern w:val="0"/>
          <w:sz w:val="18"/>
          <w:szCs w:val="18"/>
          <w:lang w:eastAsia="en-US"/>
          <w14:ligatures w14:val="none"/>
        </w:rPr>
      </w:pPr>
      <w:bookmarkStart w:id="4" w:name="_Ref236768475"/>
      <w:r w:rsidRPr="00B230F2">
        <w:rPr>
          <w:rFonts w:ascii="Times New Roman" w:hAnsi="Times New Roman" w:cs="Times New Roman"/>
          <w:b/>
          <w:bCs/>
          <w:sz w:val="18"/>
          <w:szCs w:val="18"/>
        </w:rPr>
        <w:t xml:space="preserve">Table </w:t>
      </w:r>
      <w:r w:rsidRPr="00B230F2">
        <w:rPr>
          <w:rFonts w:ascii="Times New Roman" w:hAnsi="Times New Roman" w:cs="Times New Roman"/>
          <w:b/>
          <w:bCs/>
          <w:sz w:val="18"/>
          <w:szCs w:val="18"/>
        </w:rPr>
        <w:fldChar w:fldCharType="begin"/>
      </w:r>
      <w:r w:rsidRPr="00B230F2">
        <w:rPr>
          <w:rFonts w:ascii="Times New Roman" w:hAnsi="Times New Roman" w:cs="Times New Roman"/>
          <w:b/>
          <w:bCs/>
          <w:sz w:val="18"/>
          <w:szCs w:val="18"/>
        </w:rPr>
        <w:instrText xml:space="preserve"> SEQ Table \* ARABIC </w:instrText>
      </w:r>
      <w:r w:rsidRPr="00B230F2">
        <w:rPr>
          <w:rFonts w:ascii="Times New Roman" w:hAnsi="Times New Roman" w:cs="Times New Roman"/>
          <w:b/>
          <w:bCs/>
          <w:sz w:val="18"/>
          <w:szCs w:val="18"/>
        </w:rPr>
        <w:fldChar w:fldCharType="separate"/>
      </w:r>
      <w:r w:rsidR="00B230F2">
        <w:rPr>
          <w:rFonts w:ascii="Times New Roman" w:hAnsi="Times New Roman" w:cs="Times New Roman"/>
          <w:b/>
          <w:bCs/>
          <w:noProof/>
          <w:sz w:val="18"/>
          <w:szCs w:val="18"/>
        </w:rPr>
        <w:t>12</w:t>
      </w:r>
      <w:r w:rsidRPr="00B230F2">
        <w:rPr>
          <w:rFonts w:ascii="Times New Roman" w:hAnsi="Times New Roman" w:cs="Times New Roman"/>
          <w:b/>
          <w:bCs/>
          <w:sz w:val="18"/>
          <w:szCs w:val="18"/>
        </w:rPr>
        <w:fldChar w:fldCharType="end"/>
      </w:r>
      <w:bookmarkEnd w:id="4"/>
      <w:r w:rsidR="004E7F94" w:rsidRPr="00B230F2">
        <w:rPr>
          <w:rFonts w:ascii="Times New Roman" w:hAnsi="Times New Roman" w:cs="Times New Roman"/>
          <w:kern w:val="0"/>
          <w:sz w:val="18"/>
          <w:szCs w:val="18"/>
          <w:lang w:eastAsia="en-US"/>
          <w14:ligatures w14:val="none"/>
        </w:rPr>
        <w:t xml:space="preserve"> </w:t>
      </w:r>
      <w:r w:rsidR="00312BDF" w:rsidRPr="00312BDF">
        <w:rPr>
          <w:rFonts w:ascii="Times New Roman" w:hAnsi="Times New Roman" w:cs="Times New Roman"/>
          <w:kern w:val="0"/>
          <w:sz w:val="18"/>
          <w:szCs w:val="18"/>
          <w:lang w:eastAsia="en-US"/>
          <w14:ligatures w14:val="none"/>
        </w:rPr>
        <w:t>Top</w:t>
      </w:r>
      <w:r w:rsidR="00312BDF" w:rsidRPr="00312BDF">
        <w:rPr>
          <w:rFonts w:ascii="Times New Roman" w:hAnsi="Times New Roman" w:cs="Times New Roman"/>
          <w:kern w:val="0"/>
          <w:sz w:val="18"/>
          <w:szCs w:val="18"/>
          <w:lang w:eastAsia="en-US"/>
          <w14:ligatures w14:val="none"/>
        </w:rPr>
        <w:noBreakHyphen/>
        <w:t>k segments classified as "Economic Activity" in the judicial</w:t>
      </w:r>
      <w:r w:rsidR="00312BDF" w:rsidRPr="00312BDF">
        <w:rPr>
          <w:rFonts w:ascii="Times New Roman" w:hAnsi="Times New Roman" w:cs="Times New Roman"/>
          <w:kern w:val="0"/>
          <w:sz w:val="18"/>
          <w:szCs w:val="18"/>
          <w:lang w:eastAsia="en-US"/>
          <w14:ligatures w14:val="none"/>
        </w:rPr>
        <w:noBreakHyphen/>
        <w:t>power case misclassified as economic activity.</w:t>
      </w: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23"/>
        <w:gridCol w:w="4226"/>
        <w:gridCol w:w="1248"/>
        <w:gridCol w:w="1309"/>
      </w:tblGrid>
      <w:tr w:rsidR="004E7F94" w:rsidRPr="00F02BAF" w14:paraId="6AD008CB" w14:textId="77777777" w:rsidTr="0098432F">
        <w:tc>
          <w:tcPr>
            <w:tcW w:w="917" w:type="pct"/>
            <w:tcBorders>
              <w:top w:val="nil"/>
              <w:bottom w:val="single" w:sz="12" w:space="0" w:color="2E74B5"/>
            </w:tcBorders>
            <w:vAlign w:val="center"/>
          </w:tcPr>
          <w:p w14:paraId="6BEC85A1" w14:textId="77777777" w:rsidR="004E7F94" w:rsidRPr="00F02BAF" w:rsidRDefault="004E7F94" w:rsidP="0098432F">
            <w:pPr>
              <w:spacing w:line="180" w:lineRule="exact"/>
              <w:rPr>
                <w:b/>
                <w:bCs/>
                <w:sz w:val="16"/>
                <w:szCs w:val="16"/>
              </w:rPr>
            </w:pPr>
            <w:r w:rsidRPr="00F02BAF">
              <w:rPr>
                <w:b/>
                <w:bCs/>
                <w:sz w:val="16"/>
                <w:szCs w:val="16"/>
              </w:rPr>
              <w:t>Rhetorical Role</w:t>
            </w:r>
          </w:p>
        </w:tc>
        <w:tc>
          <w:tcPr>
            <w:tcW w:w="2544" w:type="pct"/>
            <w:tcBorders>
              <w:top w:val="nil"/>
              <w:bottom w:val="single" w:sz="12" w:space="0" w:color="2E74B5"/>
            </w:tcBorders>
            <w:vAlign w:val="center"/>
          </w:tcPr>
          <w:p w14:paraId="6BCF6939" w14:textId="77777777" w:rsidR="004E7F94" w:rsidRPr="00F02BAF" w:rsidRDefault="004E7F94" w:rsidP="0098432F">
            <w:pPr>
              <w:spacing w:line="180" w:lineRule="exact"/>
              <w:rPr>
                <w:b/>
                <w:bCs/>
                <w:sz w:val="16"/>
                <w:szCs w:val="16"/>
              </w:rPr>
            </w:pPr>
            <w:r w:rsidRPr="00F02BAF">
              <w:rPr>
                <w:b/>
                <w:bCs/>
                <w:sz w:val="16"/>
                <w:szCs w:val="16"/>
              </w:rPr>
              <w:t>Segment Text</w:t>
            </w:r>
          </w:p>
        </w:tc>
        <w:tc>
          <w:tcPr>
            <w:tcW w:w="751" w:type="pct"/>
            <w:tcBorders>
              <w:top w:val="nil"/>
              <w:bottom w:val="single" w:sz="12" w:space="0" w:color="2E74B5"/>
            </w:tcBorders>
            <w:vAlign w:val="center"/>
          </w:tcPr>
          <w:p w14:paraId="0F0493BD" w14:textId="77777777" w:rsidR="004E7F94" w:rsidRPr="00F02BAF" w:rsidRDefault="004E7F94" w:rsidP="0098432F">
            <w:pPr>
              <w:spacing w:line="180" w:lineRule="exact"/>
              <w:rPr>
                <w:b/>
                <w:bCs/>
                <w:sz w:val="16"/>
                <w:szCs w:val="16"/>
              </w:rPr>
            </w:pPr>
            <w:r w:rsidRPr="00F02BAF">
              <w:rPr>
                <w:b/>
                <w:bCs/>
                <w:sz w:val="16"/>
                <w:szCs w:val="16"/>
              </w:rPr>
              <w:t>Support Class</w:t>
            </w:r>
          </w:p>
        </w:tc>
        <w:tc>
          <w:tcPr>
            <w:tcW w:w="788" w:type="pct"/>
            <w:tcBorders>
              <w:top w:val="nil"/>
              <w:bottom w:val="single" w:sz="12" w:space="0" w:color="2E74B5"/>
            </w:tcBorders>
            <w:vAlign w:val="center"/>
          </w:tcPr>
          <w:p w14:paraId="3DA48005" w14:textId="77777777" w:rsidR="004E7F94" w:rsidRPr="00F02BAF" w:rsidRDefault="004E7F94" w:rsidP="0098432F">
            <w:pPr>
              <w:spacing w:line="180" w:lineRule="exact"/>
              <w:rPr>
                <w:b/>
                <w:bCs/>
                <w:sz w:val="16"/>
                <w:szCs w:val="16"/>
              </w:rPr>
            </w:pPr>
            <w:r w:rsidRPr="00F02BAF">
              <w:rPr>
                <w:b/>
                <w:bCs/>
                <w:sz w:val="16"/>
                <w:szCs w:val="16"/>
              </w:rPr>
              <w:t>Strength</w:t>
            </w:r>
          </w:p>
        </w:tc>
      </w:tr>
      <w:tr w:rsidR="004E7F94" w:rsidRPr="00F02BAF" w14:paraId="0C7697CB" w14:textId="77777777" w:rsidTr="0098432F">
        <w:tc>
          <w:tcPr>
            <w:tcW w:w="917" w:type="pct"/>
            <w:tcBorders>
              <w:top w:val="single" w:sz="12" w:space="0" w:color="2E74B5"/>
            </w:tcBorders>
          </w:tcPr>
          <w:p w14:paraId="49EE50CD" w14:textId="77777777" w:rsidR="004E7F94" w:rsidRPr="00F02BAF" w:rsidRDefault="004E7F94" w:rsidP="0098432F">
            <w:pPr>
              <w:spacing w:line="180" w:lineRule="exact"/>
              <w:rPr>
                <w:b/>
                <w:bCs/>
                <w:sz w:val="16"/>
                <w:szCs w:val="16"/>
              </w:rPr>
            </w:pPr>
            <w:r w:rsidRPr="00F02BAF">
              <w:rPr>
                <w:b/>
                <w:bCs/>
                <w:sz w:val="16"/>
                <w:szCs w:val="16"/>
              </w:rPr>
              <w:t>Precedent</w:t>
            </w:r>
          </w:p>
        </w:tc>
        <w:tc>
          <w:tcPr>
            <w:tcW w:w="2544" w:type="pct"/>
            <w:tcBorders>
              <w:top w:val="single" w:sz="12" w:space="0" w:color="2E74B5"/>
            </w:tcBorders>
          </w:tcPr>
          <w:p w14:paraId="569EA874" w14:textId="77777777" w:rsidR="004E7F94" w:rsidRPr="00F02BAF" w:rsidRDefault="004E7F94" w:rsidP="0098432F">
            <w:pPr>
              <w:spacing w:line="180" w:lineRule="exact"/>
              <w:jc w:val="both"/>
              <w:rPr>
                <w:sz w:val="16"/>
                <w:szCs w:val="16"/>
              </w:rPr>
            </w:pPr>
            <w:r w:rsidRPr="00F02BAF">
              <w:rPr>
                <w:sz w:val="16"/>
                <w:szCs w:val="16"/>
              </w:rPr>
              <w:t xml:space="preserve">This analysis is not deflected by the congressional admonition that RICO be liberally construed to effectuate its remedial purposes, since allowing suits by those injured only indirectly would open the door to massive and complex damages litigation, </w:t>
            </w:r>
          </w:p>
        </w:tc>
        <w:tc>
          <w:tcPr>
            <w:tcW w:w="751" w:type="pct"/>
            <w:tcBorders>
              <w:top w:val="single" w:sz="12" w:space="0" w:color="2E74B5"/>
            </w:tcBorders>
          </w:tcPr>
          <w:p w14:paraId="1FB15E22" w14:textId="77777777" w:rsidR="004E7F94" w:rsidRPr="00F02BAF" w:rsidRDefault="004E7F94" w:rsidP="0098432F">
            <w:pPr>
              <w:spacing w:line="180" w:lineRule="exact"/>
              <w:rPr>
                <w:sz w:val="16"/>
                <w:szCs w:val="16"/>
              </w:rPr>
            </w:pPr>
            <w:r w:rsidRPr="00F02BAF">
              <w:rPr>
                <w:sz w:val="16"/>
                <w:szCs w:val="16"/>
              </w:rPr>
              <w:t>Yes</w:t>
            </w:r>
          </w:p>
        </w:tc>
        <w:tc>
          <w:tcPr>
            <w:tcW w:w="788" w:type="pct"/>
            <w:tcBorders>
              <w:top w:val="single" w:sz="12" w:space="0" w:color="2E74B5"/>
            </w:tcBorders>
          </w:tcPr>
          <w:p w14:paraId="7274F8B8" w14:textId="77777777" w:rsidR="004E7F94" w:rsidRPr="00F02BAF" w:rsidRDefault="004E7F94" w:rsidP="0098432F">
            <w:pPr>
              <w:spacing w:line="180" w:lineRule="exact"/>
              <w:rPr>
                <w:sz w:val="16"/>
                <w:szCs w:val="16"/>
              </w:rPr>
            </w:pPr>
            <w:r w:rsidRPr="00F02BAF">
              <w:rPr>
                <w:sz w:val="16"/>
                <w:szCs w:val="16"/>
              </w:rPr>
              <w:t>Strong</w:t>
            </w:r>
          </w:p>
        </w:tc>
      </w:tr>
      <w:tr w:rsidR="004E7F94" w:rsidRPr="00F02BAF" w14:paraId="3995A2E6" w14:textId="77777777" w:rsidTr="0098432F">
        <w:tc>
          <w:tcPr>
            <w:tcW w:w="917" w:type="pct"/>
          </w:tcPr>
          <w:p w14:paraId="3CA9FE6B" w14:textId="77777777" w:rsidR="004E7F94" w:rsidRPr="00F02BAF" w:rsidRDefault="004E7F94" w:rsidP="0098432F">
            <w:pPr>
              <w:spacing w:line="180" w:lineRule="exact"/>
              <w:rPr>
                <w:b/>
                <w:bCs/>
                <w:sz w:val="16"/>
                <w:szCs w:val="16"/>
              </w:rPr>
            </w:pPr>
            <w:r w:rsidRPr="00F02BAF">
              <w:rPr>
                <w:b/>
                <w:bCs/>
                <w:sz w:val="16"/>
                <w:szCs w:val="16"/>
              </w:rPr>
              <w:t>Fact</w:t>
            </w:r>
          </w:p>
        </w:tc>
        <w:tc>
          <w:tcPr>
            <w:tcW w:w="2544" w:type="pct"/>
          </w:tcPr>
          <w:p w14:paraId="60922723" w14:textId="77777777" w:rsidR="004E7F94" w:rsidRPr="00F02BAF" w:rsidRDefault="004E7F94" w:rsidP="0098432F">
            <w:pPr>
              <w:spacing w:line="180" w:lineRule="exact"/>
              <w:jc w:val="both"/>
              <w:rPr>
                <w:sz w:val="16"/>
                <w:szCs w:val="16"/>
              </w:rPr>
            </w:pPr>
            <w:r w:rsidRPr="00F02BAF">
              <w:rPr>
                <w:sz w:val="16"/>
                <w:szCs w:val="16"/>
              </w:rPr>
              <w:t>53 Section 1961(1)'s list of racketeering offenses provides the RICO predicates for both criminal prosecutions and civil actions.</w:t>
            </w:r>
          </w:p>
        </w:tc>
        <w:tc>
          <w:tcPr>
            <w:tcW w:w="751" w:type="pct"/>
          </w:tcPr>
          <w:p w14:paraId="61F44281" w14:textId="77777777" w:rsidR="004E7F94" w:rsidRPr="00F02BAF" w:rsidRDefault="004E7F94" w:rsidP="0098432F">
            <w:pPr>
              <w:spacing w:line="180" w:lineRule="exact"/>
              <w:rPr>
                <w:sz w:val="16"/>
                <w:szCs w:val="16"/>
              </w:rPr>
            </w:pPr>
            <w:r w:rsidRPr="00F02BAF">
              <w:rPr>
                <w:sz w:val="16"/>
                <w:szCs w:val="16"/>
              </w:rPr>
              <w:t>No</w:t>
            </w:r>
          </w:p>
        </w:tc>
        <w:tc>
          <w:tcPr>
            <w:tcW w:w="788" w:type="pct"/>
          </w:tcPr>
          <w:p w14:paraId="72A83211" w14:textId="77777777" w:rsidR="004E7F94" w:rsidRPr="00F02BAF" w:rsidRDefault="004E7F94" w:rsidP="0098432F">
            <w:pPr>
              <w:spacing w:line="180" w:lineRule="exact"/>
              <w:rPr>
                <w:sz w:val="16"/>
                <w:szCs w:val="16"/>
              </w:rPr>
            </w:pPr>
            <w:r w:rsidRPr="00F02BAF">
              <w:rPr>
                <w:sz w:val="16"/>
                <w:szCs w:val="16"/>
              </w:rPr>
              <w:t>Strong</w:t>
            </w:r>
          </w:p>
        </w:tc>
      </w:tr>
      <w:tr w:rsidR="004E7F94" w:rsidRPr="00F02BAF" w14:paraId="3497EC80" w14:textId="77777777" w:rsidTr="0098432F">
        <w:tc>
          <w:tcPr>
            <w:tcW w:w="917" w:type="pct"/>
          </w:tcPr>
          <w:p w14:paraId="3C971A9C" w14:textId="77777777" w:rsidR="004E7F94" w:rsidRPr="00F02BAF" w:rsidRDefault="004E7F94" w:rsidP="0098432F">
            <w:pPr>
              <w:spacing w:line="180" w:lineRule="exact"/>
              <w:rPr>
                <w:b/>
                <w:bCs/>
                <w:sz w:val="16"/>
                <w:szCs w:val="16"/>
              </w:rPr>
            </w:pPr>
            <w:r w:rsidRPr="00F02BAF">
              <w:rPr>
                <w:b/>
                <w:bCs/>
                <w:sz w:val="16"/>
                <w:szCs w:val="16"/>
              </w:rPr>
              <w:t>Ruling by Present Court</w:t>
            </w:r>
          </w:p>
        </w:tc>
        <w:tc>
          <w:tcPr>
            <w:tcW w:w="2544" w:type="pct"/>
          </w:tcPr>
          <w:p w14:paraId="0BE4B056" w14:textId="77777777" w:rsidR="004E7F94" w:rsidRPr="00F02BAF" w:rsidRDefault="004E7F94" w:rsidP="0098432F">
            <w:pPr>
              <w:spacing w:line="180" w:lineRule="exact"/>
              <w:jc w:val="both"/>
              <w:rPr>
                <w:sz w:val="16"/>
                <w:szCs w:val="16"/>
              </w:rPr>
            </w:pPr>
            <w:r w:rsidRPr="00F02BAF">
              <w:rPr>
                <w:sz w:val="16"/>
                <w:szCs w:val="16"/>
              </w:rPr>
              <w:t xml:space="preserve">It is required in RICO not so much because RICO has language similar to that of the Clayton Act, which in turn has language </w:t>
            </w:r>
            <w:r w:rsidRPr="00F02BAF">
              <w:rPr>
                <w:sz w:val="16"/>
                <w:szCs w:val="16"/>
              </w:rPr>
              <w:lastRenderedPageBreak/>
              <w:t>similar to that of the Sherman Act, which, by the time the Clayton Act had been passed, had been interpreted to include a prox...</w:t>
            </w:r>
          </w:p>
        </w:tc>
        <w:tc>
          <w:tcPr>
            <w:tcW w:w="751" w:type="pct"/>
          </w:tcPr>
          <w:p w14:paraId="5F4D88AA" w14:textId="77777777" w:rsidR="004E7F94" w:rsidRPr="00F02BAF" w:rsidRDefault="004E7F94" w:rsidP="0098432F">
            <w:pPr>
              <w:spacing w:line="180" w:lineRule="exact"/>
              <w:rPr>
                <w:sz w:val="16"/>
                <w:szCs w:val="16"/>
              </w:rPr>
            </w:pPr>
            <w:r w:rsidRPr="00F02BAF">
              <w:rPr>
                <w:sz w:val="16"/>
                <w:szCs w:val="16"/>
              </w:rPr>
              <w:lastRenderedPageBreak/>
              <w:t>Yes</w:t>
            </w:r>
          </w:p>
        </w:tc>
        <w:tc>
          <w:tcPr>
            <w:tcW w:w="788" w:type="pct"/>
          </w:tcPr>
          <w:p w14:paraId="3C80CF27" w14:textId="77777777" w:rsidR="004E7F94" w:rsidRPr="00F02BAF" w:rsidRDefault="004E7F94" w:rsidP="0098432F">
            <w:pPr>
              <w:spacing w:line="180" w:lineRule="exact"/>
              <w:rPr>
                <w:sz w:val="16"/>
                <w:szCs w:val="16"/>
              </w:rPr>
            </w:pPr>
            <w:r w:rsidRPr="00F02BAF">
              <w:rPr>
                <w:sz w:val="16"/>
                <w:szCs w:val="16"/>
              </w:rPr>
              <w:t>Strong</w:t>
            </w:r>
          </w:p>
        </w:tc>
      </w:tr>
      <w:tr w:rsidR="004E7F94" w:rsidRPr="00F02BAF" w14:paraId="0B769281" w14:textId="77777777" w:rsidTr="0098432F">
        <w:tc>
          <w:tcPr>
            <w:tcW w:w="917" w:type="pct"/>
          </w:tcPr>
          <w:p w14:paraId="4358C277" w14:textId="77777777" w:rsidR="004E7F94" w:rsidRPr="00F02BAF" w:rsidRDefault="004E7F94" w:rsidP="0098432F">
            <w:pPr>
              <w:spacing w:line="180" w:lineRule="exact"/>
              <w:rPr>
                <w:b/>
                <w:bCs/>
                <w:sz w:val="16"/>
                <w:szCs w:val="16"/>
              </w:rPr>
            </w:pPr>
            <w:r w:rsidRPr="00F02BAF">
              <w:rPr>
                <w:b/>
                <w:bCs/>
                <w:sz w:val="16"/>
                <w:szCs w:val="16"/>
              </w:rPr>
              <w:t>Ruling by Present Court</w:t>
            </w:r>
          </w:p>
        </w:tc>
        <w:tc>
          <w:tcPr>
            <w:tcW w:w="2544" w:type="pct"/>
          </w:tcPr>
          <w:p w14:paraId="3F293283" w14:textId="77777777" w:rsidR="004E7F94" w:rsidRPr="00F02BAF" w:rsidRDefault="004E7F94" w:rsidP="0098432F">
            <w:pPr>
              <w:spacing w:line="180" w:lineRule="exact"/>
              <w:jc w:val="both"/>
              <w:rPr>
                <w:sz w:val="16"/>
                <w:szCs w:val="16"/>
              </w:rPr>
            </w:pPr>
            <w:r w:rsidRPr="00F02BAF">
              <w:rPr>
                <w:sz w:val="16"/>
                <w:szCs w:val="16"/>
              </w:rPr>
              <w:t>What is more, SIPC briefed the proximate-cause issue, see Brief for Respondent 34-36, 38-39, and announced at oral argument that it recognized the Court might reach it, see Tr.</w:t>
            </w:r>
          </w:p>
        </w:tc>
        <w:tc>
          <w:tcPr>
            <w:tcW w:w="751" w:type="pct"/>
          </w:tcPr>
          <w:p w14:paraId="2A8398EB" w14:textId="77777777" w:rsidR="004E7F94" w:rsidRPr="00F02BAF" w:rsidRDefault="004E7F94" w:rsidP="0098432F">
            <w:pPr>
              <w:spacing w:line="180" w:lineRule="exact"/>
              <w:rPr>
                <w:sz w:val="16"/>
                <w:szCs w:val="16"/>
              </w:rPr>
            </w:pPr>
            <w:r w:rsidRPr="00F02BAF">
              <w:rPr>
                <w:sz w:val="16"/>
                <w:szCs w:val="16"/>
              </w:rPr>
              <w:t>No</w:t>
            </w:r>
          </w:p>
        </w:tc>
        <w:tc>
          <w:tcPr>
            <w:tcW w:w="788" w:type="pct"/>
          </w:tcPr>
          <w:p w14:paraId="158E343C" w14:textId="77777777" w:rsidR="004E7F94" w:rsidRPr="00F02BAF" w:rsidRDefault="004E7F94" w:rsidP="0098432F">
            <w:pPr>
              <w:spacing w:line="180" w:lineRule="exact"/>
              <w:rPr>
                <w:sz w:val="16"/>
                <w:szCs w:val="16"/>
              </w:rPr>
            </w:pPr>
            <w:r w:rsidRPr="00F02BAF">
              <w:rPr>
                <w:sz w:val="16"/>
                <w:szCs w:val="16"/>
              </w:rPr>
              <w:t>Strong</w:t>
            </w:r>
          </w:p>
        </w:tc>
      </w:tr>
      <w:tr w:rsidR="004E7F94" w:rsidRPr="00F02BAF" w14:paraId="548FE345" w14:textId="77777777" w:rsidTr="0098432F">
        <w:tc>
          <w:tcPr>
            <w:tcW w:w="917" w:type="pct"/>
          </w:tcPr>
          <w:p w14:paraId="5EDF14E3" w14:textId="77777777" w:rsidR="004E7F94" w:rsidRPr="00F02BAF" w:rsidRDefault="004E7F94" w:rsidP="0098432F">
            <w:pPr>
              <w:spacing w:line="180" w:lineRule="exact"/>
              <w:rPr>
                <w:b/>
                <w:bCs/>
                <w:sz w:val="16"/>
                <w:szCs w:val="16"/>
              </w:rPr>
            </w:pPr>
            <w:r w:rsidRPr="00F02BAF">
              <w:rPr>
                <w:b/>
                <w:bCs/>
                <w:sz w:val="16"/>
                <w:szCs w:val="16"/>
              </w:rPr>
              <w:t>Fact</w:t>
            </w:r>
          </w:p>
        </w:tc>
        <w:tc>
          <w:tcPr>
            <w:tcW w:w="2544" w:type="pct"/>
          </w:tcPr>
          <w:p w14:paraId="2F3120E2" w14:textId="77777777" w:rsidR="004E7F94" w:rsidRPr="00F02BAF" w:rsidRDefault="004E7F94" w:rsidP="0098432F">
            <w:pPr>
              <w:spacing w:line="180" w:lineRule="exact"/>
              <w:jc w:val="both"/>
              <w:rPr>
                <w:sz w:val="16"/>
                <w:szCs w:val="16"/>
              </w:rPr>
            </w:pPr>
            <w:r w:rsidRPr="00F02BAF">
              <w:rPr>
                <w:sz w:val="16"/>
                <w:szCs w:val="16"/>
              </w:rPr>
              <w:t>The great majority of acts listed in § 1961(1) are criminal offenses for which only a State or the Federal Government is the proper party to bring suit.</w:t>
            </w:r>
          </w:p>
        </w:tc>
        <w:tc>
          <w:tcPr>
            <w:tcW w:w="751" w:type="pct"/>
          </w:tcPr>
          <w:p w14:paraId="0AC73E78" w14:textId="77777777" w:rsidR="004E7F94" w:rsidRPr="00F02BAF" w:rsidRDefault="004E7F94" w:rsidP="0098432F">
            <w:pPr>
              <w:spacing w:line="180" w:lineRule="exact"/>
              <w:rPr>
                <w:sz w:val="16"/>
                <w:szCs w:val="16"/>
              </w:rPr>
            </w:pPr>
            <w:r w:rsidRPr="00F02BAF">
              <w:rPr>
                <w:sz w:val="16"/>
                <w:szCs w:val="16"/>
              </w:rPr>
              <w:t>No</w:t>
            </w:r>
          </w:p>
        </w:tc>
        <w:tc>
          <w:tcPr>
            <w:tcW w:w="788" w:type="pct"/>
          </w:tcPr>
          <w:p w14:paraId="18B43632" w14:textId="77777777" w:rsidR="004E7F94" w:rsidRPr="00F02BAF" w:rsidRDefault="004E7F94" w:rsidP="0098432F">
            <w:pPr>
              <w:spacing w:line="180" w:lineRule="exact"/>
              <w:rPr>
                <w:sz w:val="16"/>
                <w:szCs w:val="16"/>
              </w:rPr>
            </w:pPr>
            <w:r w:rsidRPr="00F02BAF">
              <w:rPr>
                <w:sz w:val="16"/>
                <w:szCs w:val="16"/>
              </w:rPr>
              <w:t>Strong</w:t>
            </w:r>
          </w:p>
        </w:tc>
      </w:tr>
      <w:tr w:rsidR="004E7F94" w:rsidRPr="00F02BAF" w14:paraId="211C1953" w14:textId="77777777" w:rsidTr="0098432F">
        <w:tc>
          <w:tcPr>
            <w:tcW w:w="917" w:type="pct"/>
          </w:tcPr>
          <w:p w14:paraId="2F0EB65E" w14:textId="77777777" w:rsidR="004E7F94" w:rsidRPr="00F02BAF" w:rsidRDefault="004E7F94" w:rsidP="0098432F">
            <w:pPr>
              <w:spacing w:line="180" w:lineRule="exact"/>
              <w:rPr>
                <w:b/>
                <w:bCs/>
                <w:sz w:val="16"/>
                <w:szCs w:val="16"/>
              </w:rPr>
            </w:pPr>
            <w:r w:rsidRPr="00F02BAF">
              <w:rPr>
                <w:b/>
                <w:bCs/>
                <w:sz w:val="16"/>
                <w:szCs w:val="16"/>
              </w:rPr>
              <w:t>Fact</w:t>
            </w:r>
          </w:p>
        </w:tc>
        <w:tc>
          <w:tcPr>
            <w:tcW w:w="2544" w:type="pct"/>
          </w:tcPr>
          <w:p w14:paraId="627707FE" w14:textId="77777777" w:rsidR="004E7F94" w:rsidRPr="00F02BAF" w:rsidRDefault="004E7F94" w:rsidP="0098432F">
            <w:pPr>
              <w:spacing w:line="180" w:lineRule="exact"/>
              <w:jc w:val="both"/>
              <w:rPr>
                <w:sz w:val="16"/>
                <w:szCs w:val="16"/>
              </w:rPr>
            </w:pPr>
            <w:r w:rsidRPr="00F02BAF">
              <w:rPr>
                <w:sz w:val="16"/>
                <w:szCs w:val="16"/>
              </w:rPr>
              <w:t xml:space="preserve">459 U.S., at 543-544, 103 </w:t>
            </w:r>
            <w:proofErr w:type="spellStart"/>
            <w:r w:rsidRPr="00F02BAF">
              <w:rPr>
                <w:sz w:val="16"/>
                <w:szCs w:val="16"/>
              </w:rPr>
              <w:t>S.Ct</w:t>
            </w:r>
            <w:proofErr w:type="spellEnd"/>
            <w:r w:rsidRPr="00F02BAF">
              <w:rPr>
                <w:sz w:val="16"/>
                <w:szCs w:val="16"/>
              </w:rPr>
              <w:t xml:space="preserve">., at 911-912; McCready, supra, 457 U.S., at 473-475, 102 </w:t>
            </w:r>
            <w:proofErr w:type="spellStart"/>
            <w:r w:rsidRPr="00F02BAF">
              <w:rPr>
                <w:sz w:val="16"/>
                <w:szCs w:val="16"/>
              </w:rPr>
              <w:t>S.Ct</w:t>
            </w:r>
            <w:proofErr w:type="spellEnd"/>
            <w:r w:rsidRPr="00F02BAF">
              <w:rPr>
                <w:sz w:val="16"/>
                <w:szCs w:val="16"/>
              </w:rPr>
              <w:t xml:space="preserve">., at 2545-2546; Hawaii v. Standard Oil Co. of Calif., 405 U.S. 251, 264, 92 </w:t>
            </w:r>
            <w:proofErr w:type="spellStart"/>
            <w:r w:rsidRPr="00F02BAF">
              <w:rPr>
                <w:sz w:val="16"/>
                <w:szCs w:val="16"/>
              </w:rPr>
              <w:t>S.Ct</w:t>
            </w:r>
            <w:proofErr w:type="spellEnd"/>
            <w:r w:rsidRPr="00F02BAF">
              <w:rPr>
                <w:sz w:val="16"/>
                <w:szCs w:val="16"/>
              </w:rPr>
              <w:t>.</w:t>
            </w:r>
          </w:p>
        </w:tc>
        <w:tc>
          <w:tcPr>
            <w:tcW w:w="751" w:type="pct"/>
          </w:tcPr>
          <w:p w14:paraId="0B7A7EEE" w14:textId="77777777" w:rsidR="004E7F94" w:rsidRPr="00F02BAF" w:rsidRDefault="004E7F94" w:rsidP="0098432F">
            <w:pPr>
              <w:spacing w:line="180" w:lineRule="exact"/>
              <w:rPr>
                <w:sz w:val="16"/>
                <w:szCs w:val="16"/>
              </w:rPr>
            </w:pPr>
            <w:r w:rsidRPr="00F02BAF">
              <w:rPr>
                <w:sz w:val="16"/>
                <w:szCs w:val="16"/>
              </w:rPr>
              <w:t>Yes</w:t>
            </w:r>
          </w:p>
        </w:tc>
        <w:tc>
          <w:tcPr>
            <w:tcW w:w="788" w:type="pct"/>
          </w:tcPr>
          <w:p w14:paraId="75643A43" w14:textId="77777777" w:rsidR="004E7F94" w:rsidRPr="00F02BAF" w:rsidRDefault="004E7F94" w:rsidP="0098432F">
            <w:pPr>
              <w:spacing w:line="180" w:lineRule="exact"/>
              <w:rPr>
                <w:sz w:val="16"/>
                <w:szCs w:val="16"/>
              </w:rPr>
            </w:pPr>
            <w:r w:rsidRPr="00F02BAF">
              <w:rPr>
                <w:sz w:val="16"/>
                <w:szCs w:val="16"/>
              </w:rPr>
              <w:t>Strong</w:t>
            </w:r>
          </w:p>
        </w:tc>
      </w:tr>
      <w:tr w:rsidR="004E7F94" w:rsidRPr="00F02BAF" w14:paraId="31A538B6" w14:textId="77777777" w:rsidTr="0098432F">
        <w:tc>
          <w:tcPr>
            <w:tcW w:w="917" w:type="pct"/>
            <w:tcBorders>
              <w:bottom w:val="dashSmallGap" w:sz="4" w:space="0" w:color="000000" w:themeColor="text1"/>
            </w:tcBorders>
          </w:tcPr>
          <w:p w14:paraId="4E0437BA" w14:textId="77777777" w:rsidR="004E7F94" w:rsidRPr="00F02BAF" w:rsidRDefault="004E7F94" w:rsidP="0098432F">
            <w:pPr>
              <w:spacing w:line="180" w:lineRule="exact"/>
              <w:rPr>
                <w:b/>
                <w:bCs/>
                <w:sz w:val="16"/>
                <w:szCs w:val="16"/>
              </w:rPr>
            </w:pPr>
            <w:r w:rsidRPr="00F02BAF">
              <w:rPr>
                <w:b/>
                <w:bCs/>
                <w:sz w:val="16"/>
                <w:szCs w:val="16"/>
              </w:rPr>
              <w:t>Precedent</w:t>
            </w:r>
          </w:p>
        </w:tc>
        <w:tc>
          <w:tcPr>
            <w:tcW w:w="2544" w:type="pct"/>
            <w:tcBorders>
              <w:bottom w:val="dashSmallGap" w:sz="4" w:space="0" w:color="000000" w:themeColor="text1"/>
            </w:tcBorders>
          </w:tcPr>
          <w:p w14:paraId="12DACBB7" w14:textId="77777777" w:rsidR="004E7F94" w:rsidRPr="00F02BAF" w:rsidRDefault="004E7F94" w:rsidP="0098432F">
            <w:pPr>
              <w:spacing w:line="180" w:lineRule="exact"/>
              <w:jc w:val="both"/>
              <w:rPr>
                <w:sz w:val="16"/>
                <w:szCs w:val="16"/>
              </w:rPr>
            </w:pPr>
            <w:r w:rsidRPr="00F02BAF">
              <w:rPr>
                <w:sz w:val="16"/>
                <w:szCs w:val="16"/>
              </w:rPr>
              <w:t>451 (</w:t>
            </w:r>
            <w:proofErr w:type="gramStart"/>
            <w:r w:rsidRPr="00F02BAF">
              <w:rPr>
                <w:sz w:val="16"/>
                <w:szCs w:val="16"/>
              </w:rPr>
              <w:t>1918))</w:t>
            </w:r>
            <w:proofErr w:type="gramEnd"/>
            <w:r w:rsidRPr="00F02BAF">
              <w:rPr>
                <w:sz w:val="16"/>
                <w:szCs w:val="16"/>
              </w:rPr>
              <w:t>,19 and the reasons that supported conforming Clayton Act causation to the general tendency apply just as readily to the present facts, underscoring the obvious congressional adoption of the Clayton Act direct-injury limitation among the r</w:t>
            </w:r>
          </w:p>
        </w:tc>
        <w:tc>
          <w:tcPr>
            <w:tcW w:w="751" w:type="pct"/>
            <w:tcBorders>
              <w:bottom w:val="dashSmallGap" w:sz="4" w:space="0" w:color="000000" w:themeColor="text1"/>
            </w:tcBorders>
          </w:tcPr>
          <w:p w14:paraId="6EC5E998" w14:textId="77777777" w:rsidR="004E7F94" w:rsidRPr="00F02BAF" w:rsidRDefault="004E7F94" w:rsidP="0098432F">
            <w:pPr>
              <w:spacing w:line="180" w:lineRule="exact"/>
              <w:rPr>
                <w:sz w:val="16"/>
                <w:szCs w:val="16"/>
              </w:rPr>
            </w:pPr>
            <w:r w:rsidRPr="00F02BAF">
              <w:rPr>
                <w:sz w:val="16"/>
                <w:szCs w:val="16"/>
              </w:rPr>
              <w:t>Yes</w:t>
            </w:r>
          </w:p>
        </w:tc>
        <w:tc>
          <w:tcPr>
            <w:tcW w:w="788" w:type="pct"/>
            <w:tcBorders>
              <w:bottom w:val="dashSmallGap" w:sz="4" w:space="0" w:color="000000" w:themeColor="text1"/>
            </w:tcBorders>
          </w:tcPr>
          <w:p w14:paraId="399F5C50" w14:textId="77777777" w:rsidR="004E7F94" w:rsidRPr="00F02BAF" w:rsidRDefault="004E7F94" w:rsidP="0098432F">
            <w:pPr>
              <w:spacing w:line="180" w:lineRule="exact"/>
              <w:rPr>
                <w:sz w:val="16"/>
                <w:szCs w:val="16"/>
              </w:rPr>
            </w:pPr>
            <w:r w:rsidRPr="00F02BAF">
              <w:rPr>
                <w:sz w:val="16"/>
                <w:szCs w:val="16"/>
              </w:rPr>
              <w:t>Strong</w:t>
            </w:r>
          </w:p>
        </w:tc>
      </w:tr>
    </w:tbl>
    <w:p w14:paraId="2A7D7B2E" w14:textId="26C620B3" w:rsidR="004E7F94" w:rsidRPr="00F02BAF" w:rsidRDefault="004E7F94" w:rsidP="00901E1F">
      <w:pPr>
        <w:spacing w:beforeLines="50" w:before="180" w:afterLines="50" w:after="180"/>
        <w:jc w:val="both"/>
        <w:rPr>
          <w:noProof/>
        </w:rPr>
      </w:pPr>
      <w:r w:rsidRPr="00901E1F">
        <w:rPr>
          <w:noProof/>
        </w:rPr>
        <w:t xml:space="preserve">In </w:t>
      </w:r>
      <w:r w:rsidR="00901E1F" w:rsidRPr="00901E1F">
        <w:rPr>
          <w:noProof/>
        </w:rPr>
        <w:fldChar w:fldCharType="begin"/>
      </w:r>
      <w:r w:rsidR="00901E1F" w:rsidRPr="00901E1F">
        <w:rPr>
          <w:noProof/>
        </w:rPr>
        <w:instrText xml:space="preserve"> REF _Ref236768475 \h  \* MERGEFORMAT </w:instrText>
      </w:r>
      <w:r w:rsidR="00901E1F" w:rsidRPr="00901E1F">
        <w:rPr>
          <w:noProof/>
        </w:rPr>
      </w:r>
      <w:r w:rsidR="00901E1F" w:rsidRPr="00901E1F">
        <w:rPr>
          <w:noProof/>
        </w:rPr>
        <w:fldChar w:fldCharType="separate"/>
      </w:r>
      <w:r w:rsidR="00B230F2" w:rsidRPr="00B230F2">
        <w:t xml:space="preserve">Table </w:t>
      </w:r>
      <w:r w:rsidR="00B230F2" w:rsidRPr="00B230F2">
        <w:rPr>
          <w:noProof/>
        </w:rPr>
        <w:t>12</w:t>
      </w:r>
      <w:r w:rsidR="00901E1F" w:rsidRPr="00901E1F">
        <w:rPr>
          <w:noProof/>
        </w:rPr>
        <w:fldChar w:fldCharType="end"/>
      </w:r>
      <w:r w:rsidR="00312BDF" w:rsidRPr="00312BDF">
        <w:rPr>
          <w:noProof/>
        </w:rPr>
        <w:t>, we examine the segment</w:t>
      </w:r>
      <w:r w:rsidR="00312BDF" w:rsidRPr="00312BDF">
        <w:rPr>
          <w:noProof/>
        </w:rPr>
        <w:noBreakHyphen/>
        <w:t>level top</w:t>
      </w:r>
      <w:r w:rsidR="00312BDF" w:rsidRPr="00312BDF">
        <w:rPr>
          <w:noProof/>
        </w:rPr>
        <w:noBreakHyphen/>
        <w:t>k for this case, where the true label is Judicial Power but our model predicted Economic Activity. The selected segments include Precedent, Fact, and Ruling by Present Court (RPC) roles, and most are marked as supporting the predicted label with strong strength values. However, their content primarily discusses the civil</w:t>
      </w:r>
      <w:r w:rsidR="00312BDF" w:rsidRPr="00312BDF">
        <w:rPr>
          <w:noProof/>
        </w:rPr>
        <w:noBreakHyphen/>
        <w:t>action provision in parallel with general competition</w:t>
      </w:r>
      <w:r w:rsidR="00312BDF" w:rsidRPr="00312BDF">
        <w:rPr>
          <w:noProof/>
        </w:rPr>
        <w:noBreakHyphen/>
        <w:t>law concepts, the list of predicate offenses, and reasoning about proximate cause and injuries to business or property, rather than focusing on who has the right to sue under the statute or on the institutional allocation of remedial authority. This pattern shows that SPS</w:t>
      </w:r>
      <w:r w:rsidR="00312BDF" w:rsidRPr="00312BDF">
        <w:rPr>
          <w:noProof/>
        </w:rPr>
        <w:noBreakHyphen/>
        <w:t>LIME faithfully surfaces the economic</w:t>
      </w:r>
      <w:r w:rsidR="00312BDF" w:rsidRPr="00312BDF">
        <w:rPr>
          <w:noProof/>
        </w:rPr>
        <w:noBreakHyphen/>
        <w:t>harm vocabulary that drove the erroneous Economic Activity prediction, while the presence of RPC segments does not fully compensate for the explanation’s weak alignment with the underlying judicial</w:t>
      </w:r>
      <w:r w:rsidR="00312BDF" w:rsidRPr="00312BDF">
        <w:rPr>
          <w:noProof/>
        </w:rPr>
        <w:noBreakHyphen/>
        <w:t>power issue. The corresponding SPS</w:t>
      </w:r>
      <w:r w:rsidR="00312BDF" w:rsidRPr="00312BDF">
        <w:rPr>
          <w:noProof/>
        </w:rPr>
        <w:noBreakHyphen/>
        <w:t>LIME explanation heatmap for this failure case is shown in</w:t>
      </w:r>
      <w:r w:rsidRPr="00F02BAF">
        <w:rPr>
          <w:noProof/>
        </w:rPr>
        <w:t xml:space="preserve"> </w:t>
      </w:r>
      <w:r w:rsidRPr="00F02BAF">
        <w:rPr>
          <w:noProof/>
        </w:rPr>
        <w:fldChar w:fldCharType="begin"/>
      </w:r>
      <w:r w:rsidRPr="00F02BAF">
        <w:rPr>
          <w:noProof/>
        </w:rPr>
        <w:instrText xml:space="preserve"> REF _Ref236166252 \h  \* MERGEFORMAT </w:instrText>
      </w:r>
      <w:r w:rsidRPr="00F02BAF">
        <w:rPr>
          <w:noProof/>
        </w:rPr>
      </w:r>
      <w:r w:rsidRPr="00F02BAF">
        <w:rPr>
          <w:noProof/>
        </w:rPr>
        <w:fldChar w:fldCharType="separate"/>
      </w:r>
      <w:r w:rsidR="00B230F2" w:rsidRPr="00B230F2">
        <w:t>Fig</w:t>
      </w:r>
      <w:r w:rsidR="00B230F2" w:rsidRPr="00B230F2">
        <w:rPr>
          <w:rFonts w:hint="eastAsia"/>
        </w:rPr>
        <w:t>.</w:t>
      </w:r>
      <w:r w:rsidR="00B230F2" w:rsidRPr="00B230F2">
        <w:rPr>
          <w:noProof/>
        </w:rPr>
        <w:t xml:space="preserve"> 9</w:t>
      </w:r>
      <w:r w:rsidRPr="00F02BAF">
        <w:rPr>
          <w:noProof/>
        </w:rPr>
        <w:fldChar w:fldCharType="end"/>
      </w:r>
      <w:r w:rsidRPr="00F02BAF">
        <w:rPr>
          <w:noProof/>
        </w:rPr>
        <w:t>.</w:t>
      </w:r>
    </w:p>
    <w:p w14:paraId="2AEB5E1E" w14:textId="77777777" w:rsidR="004E7F94" w:rsidRPr="00F02BAF" w:rsidRDefault="004E7F94" w:rsidP="001E3548">
      <w:pPr>
        <w:jc w:val="center"/>
      </w:pPr>
      <w:r w:rsidRPr="00F02BAF">
        <w:rPr>
          <w:noProof/>
        </w:rPr>
        <w:drawing>
          <wp:inline distT="0" distB="0" distL="0" distR="0" wp14:anchorId="18C7BC4E" wp14:editId="0CFEF518">
            <wp:extent cx="3481200" cy="1794686"/>
            <wp:effectExtent l="0" t="0" r="5080" b="0"/>
            <wp:docPr id="6542145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14525" name="Picture 654214525"/>
                    <pic:cNvPicPr/>
                  </pic:nvPicPr>
                  <pic:blipFill rotWithShape="1">
                    <a:blip r:embed="rId9" cstate="print">
                      <a:extLst>
                        <a:ext uri="{28A0092B-C50C-407E-A947-70E740481C1C}">
                          <a14:useLocalDpi xmlns:a14="http://schemas.microsoft.com/office/drawing/2010/main" val="0"/>
                        </a:ext>
                      </a:extLst>
                    </a:blip>
                    <a:srcRect r="1244"/>
                    <a:stretch>
                      <a:fillRect/>
                    </a:stretch>
                  </pic:blipFill>
                  <pic:spPr bwMode="auto">
                    <a:xfrm>
                      <a:off x="0" y="0"/>
                      <a:ext cx="3481200" cy="1794686"/>
                    </a:xfrm>
                    <a:prstGeom prst="rect">
                      <a:avLst/>
                    </a:prstGeom>
                    <a:ln>
                      <a:noFill/>
                    </a:ln>
                    <a:extLst>
                      <a:ext uri="{53640926-AAD7-44D8-BBD7-CCE9431645EC}">
                        <a14:shadowObscured xmlns:a14="http://schemas.microsoft.com/office/drawing/2010/main"/>
                      </a:ext>
                    </a:extLst>
                  </pic:spPr>
                </pic:pic>
              </a:graphicData>
            </a:graphic>
          </wp:inline>
        </w:drawing>
      </w:r>
    </w:p>
    <w:p w14:paraId="2286668A" w14:textId="0D73A4AF" w:rsidR="004E7F94" w:rsidRPr="009C4A7B" w:rsidRDefault="004E7F94" w:rsidP="009C4A7B">
      <w:pPr>
        <w:pStyle w:val="Caption"/>
        <w:spacing w:line="240" w:lineRule="exact"/>
        <w:jc w:val="both"/>
        <w:rPr>
          <w:rFonts w:ascii="Times New Roman" w:hAnsi="Times New Roman" w:cs="Times New Roman"/>
          <w:sz w:val="18"/>
          <w:szCs w:val="18"/>
        </w:rPr>
      </w:pPr>
      <w:bookmarkStart w:id="5" w:name="_Ref236166252"/>
      <w:r w:rsidRPr="009C4A7B">
        <w:rPr>
          <w:rFonts w:ascii="Times New Roman" w:hAnsi="Times New Roman" w:cs="Times New Roman"/>
          <w:b/>
          <w:bCs/>
          <w:sz w:val="18"/>
          <w:szCs w:val="18"/>
        </w:rPr>
        <w:t>Fig</w:t>
      </w:r>
      <w:r w:rsidRPr="009C4A7B">
        <w:rPr>
          <w:rFonts w:ascii="Times New Roman" w:hAnsi="Times New Roman" w:cs="Times New Roman" w:hint="eastAsia"/>
          <w:b/>
          <w:bCs/>
          <w:sz w:val="18"/>
          <w:szCs w:val="18"/>
        </w:rPr>
        <w:t>.</w:t>
      </w:r>
      <w:r w:rsidRPr="009C4A7B">
        <w:rPr>
          <w:rFonts w:ascii="Times New Roman" w:hAnsi="Times New Roman" w:cs="Times New Roman"/>
          <w:b/>
          <w:bCs/>
          <w:sz w:val="18"/>
          <w:szCs w:val="18"/>
        </w:rPr>
        <w:t xml:space="preserve"> </w:t>
      </w:r>
      <w:r w:rsidRPr="009C4A7B">
        <w:rPr>
          <w:rFonts w:ascii="Times New Roman" w:hAnsi="Times New Roman" w:cs="Times New Roman"/>
          <w:b/>
          <w:bCs/>
          <w:sz w:val="18"/>
          <w:szCs w:val="18"/>
        </w:rPr>
        <w:fldChar w:fldCharType="begin"/>
      </w:r>
      <w:r w:rsidRPr="009C4A7B">
        <w:rPr>
          <w:rFonts w:ascii="Times New Roman" w:hAnsi="Times New Roman" w:cs="Times New Roman"/>
          <w:b/>
          <w:bCs/>
          <w:sz w:val="18"/>
          <w:szCs w:val="18"/>
        </w:rPr>
        <w:instrText xml:space="preserve"> SEQ Figure \* ARABIC </w:instrText>
      </w:r>
      <w:r w:rsidRPr="009C4A7B">
        <w:rPr>
          <w:rFonts w:ascii="Times New Roman" w:hAnsi="Times New Roman" w:cs="Times New Roman"/>
          <w:b/>
          <w:bCs/>
          <w:sz w:val="18"/>
          <w:szCs w:val="18"/>
        </w:rPr>
        <w:fldChar w:fldCharType="separate"/>
      </w:r>
      <w:r w:rsidR="00B230F2">
        <w:rPr>
          <w:rFonts w:ascii="Times New Roman" w:hAnsi="Times New Roman" w:cs="Times New Roman"/>
          <w:b/>
          <w:bCs/>
          <w:noProof/>
          <w:sz w:val="18"/>
          <w:szCs w:val="18"/>
        </w:rPr>
        <w:t>9</w:t>
      </w:r>
      <w:r w:rsidRPr="009C4A7B">
        <w:rPr>
          <w:rFonts w:ascii="Times New Roman" w:hAnsi="Times New Roman" w:cs="Times New Roman"/>
          <w:b/>
          <w:bCs/>
          <w:sz w:val="18"/>
          <w:szCs w:val="18"/>
        </w:rPr>
        <w:fldChar w:fldCharType="end"/>
      </w:r>
      <w:bookmarkEnd w:id="5"/>
      <w:r w:rsidRPr="009C4A7B">
        <w:rPr>
          <w:rFonts w:ascii="Times New Roman" w:hAnsi="Times New Roman" w:cs="Times New Roman"/>
          <w:sz w:val="18"/>
          <w:szCs w:val="18"/>
        </w:rPr>
        <w:t xml:space="preserve"> </w:t>
      </w:r>
      <w:r w:rsidR="00312BDF" w:rsidRPr="00312BDF">
        <w:rPr>
          <w:rFonts w:ascii="Times New Roman" w:hAnsi="Times New Roman" w:cs="Times New Roman"/>
          <w:sz w:val="18"/>
          <w:szCs w:val="18"/>
        </w:rPr>
        <w:t>SPS</w:t>
      </w:r>
      <w:r w:rsidR="00312BDF" w:rsidRPr="00312BDF">
        <w:rPr>
          <w:rFonts w:ascii="Times New Roman" w:hAnsi="Times New Roman" w:cs="Times New Roman"/>
          <w:sz w:val="18"/>
          <w:szCs w:val="18"/>
        </w:rPr>
        <w:noBreakHyphen/>
        <w:t>LIME explanation heatmap for the judicial</w:t>
      </w:r>
      <w:r w:rsidR="00312BDF" w:rsidRPr="00312BDF">
        <w:rPr>
          <w:rFonts w:ascii="Times New Roman" w:hAnsi="Times New Roman" w:cs="Times New Roman"/>
          <w:sz w:val="18"/>
          <w:szCs w:val="18"/>
        </w:rPr>
        <w:noBreakHyphen/>
        <w:t>power case misclassified as "Economic Activity", highlighting the textual regions that drove the erroneous economic</w:t>
      </w:r>
      <w:r w:rsidR="00312BDF" w:rsidRPr="00312BDF">
        <w:rPr>
          <w:rFonts w:ascii="Times New Roman" w:hAnsi="Times New Roman" w:cs="Times New Roman"/>
          <w:sz w:val="18"/>
          <w:szCs w:val="18"/>
        </w:rPr>
        <w:noBreakHyphen/>
        <w:t>activity prediction.</w:t>
      </w:r>
    </w:p>
    <w:p w14:paraId="5A2AFD95" w14:textId="62CFBA46" w:rsidR="004E7F94" w:rsidRPr="00F02BAF" w:rsidRDefault="004E7F94" w:rsidP="00312BDF">
      <w:pPr>
        <w:jc w:val="both"/>
      </w:pPr>
      <w:r w:rsidRPr="00F02BAF">
        <w:t>A</w:t>
      </w:r>
      <w:r w:rsidRPr="00901E1F">
        <w:t xml:space="preserve">s shown in </w:t>
      </w:r>
      <w:r w:rsidR="00901E1F" w:rsidRPr="00901E1F">
        <w:fldChar w:fldCharType="begin"/>
      </w:r>
      <w:r w:rsidR="00901E1F" w:rsidRPr="00901E1F">
        <w:instrText xml:space="preserve"> REF _Ref236166252 \h  \* MERGEFORMAT </w:instrText>
      </w:r>
      <w:r w:rsidR="00901E1F" w:rsidRPr="00901E1F">
        <w:fldChar w:fldCharType="separate"/>
      </w:r>
      <w:r w:rsidR="00312BDF" w:rsidRPr="00312BDF">
        <w:t>Fig</w:t>
      </w:r>
      <w:r w:rsidR="00312BDF" w:rsidRPr="00312BDF">
        <w:rPr>
          <w:rFonts w:hint="eastAsia"/>
        </w:rPr>
        <w:t>.</w:t>
      </w:r>
      <w:r w:rsidR="00312BDF" w:rsidRPr="00312BDF">
        <w:t xml:space="preserve"> </w:t>
      </w:r>
      <w:r w:rsidR="00312BDF" w:rsidRPr="00312BDF">
        <w:rPr>
          <w:noProof/>
        </w:rPr>
        <w:t>9</w:t>
      </w:r>
      <w:r w:rsidR="00901E1F" w:rsidRPr="00901E1F">
        <w:fldChar w:fldCharType="end"/>
      </w:r>
      <w:r w:rsidR="00312BDF" w:rsidRPr="00312BDF">
        <w:t>, phrases that invoke competition</w:t>
      </w:r>
      <w:r w:rsidR="00312BDF" w:rsidRPr="00312BDF">
        <w:noBreakHyphen/>
        <w:t>law style remedies, such as references to civil</w:t>
      </w:r>
      <w:r w:rsidR="00312BDF" w:rsidRPr="00312BDF">
        <w:noBreakHyphen/>
        <w:t xml:space="preserve">action provisions, injuries to business or property, and broad “ripples of harm” in the economy, are highlighted as very or moderately supportive for the Economic Activity classification. By contrast, portions of the opinion that bear more directly on who is entitled to sue and on the court’s allocation of remedial authority are either weakly supportive or not highlighted at all, indicating that the model’s explanation prioritizes </w:t>
      </w:r>
      <w:proofErr w:type="gramStart"/>
      <w:r w:rsidR="00312BDF" w:rsidRPr="00312BDF">
        <w:t>economic</w:t>
      </w:r>
      <w:r w:rsidR="00312BDF" w:rsidRPr="00312BDF">
        <w:noBreakHyphen/>
        <w:t>harm</w:t>
      </w:r>
      <w:proofErr w:type="gramEnd"/>
      <w:r w:rsidR="00312BDF" w:rsidRPr="00312BDF">
        <w:t xml:space="preserve"> vocabulary over the judicial</w:t>
      </w:r>
      <w:r w:rsidR="00312BDF" w:rsidRPr="00312BDF">
        <w:noBreakHyphen/>
        <w:t>power dimension of the case.</w:t>
      </w:r>
    </w:p>
    <w:p w14:paraId="3E4F2BCC" w14:textId="7266732B" w:rsidR="004E7F94" w:rsidRPr="003008B1" w:rsidRDefault="004E7F94" w:rsidP="003008B1">
      <w:pPr>
        <w:pStyle w:val="heading2"/>
        <w:numPr>
          <w:ilvl w:val="0"/>
          <w:numId w:val="0"/>
        </w:numPr>
        <w:spacing w:beforeLines="50" w:before="180"/>
        <w:ind w:left="567" w:hanging="567"/>
        <w:rPr>
          <w:bCs/>
        </w:rPr>
      </w:pPr>
      <w:r w:rsidRPr="003008B1">
        <w:rPr>
          <w:bCs/>
        </w:rPr>
        <w:lastRenderedPageBreak/>
        <w:t xml:space="preserve">Case Study 3: Correct </w:t>
      </w:r>
      <w:r w:rsidRPr="003008B1">
        <w:rPr>
          <w:rFonts w:hint="eastAsia"/>
          <w:bCs/>
        </w:rPr>
        <w:t>Classification</w:t>
      </w:r>
      <w:r w:rsidRPr="003008B1">
        <w:rPr>
          <w:bCs/>
        </w:rPr>
        <w:t xml:space="preserve"> on ECtHR</w:t>
      </w:r>
    </w:p>
    <w:p w14:paraId="41E8E823" w14:textId="77777777" w:rsidR="00A72C8F" w:rsidRPr="00A72C8F" w:rsidRDefault="00A72C8F" w:rsidP="00A72C8F">
      <w:pPr>
        <w:jc w:val="both"/>
      </w:pPr>
      <w:r w:rsidRPr="00A72C8F">
        <w:t xml:space="preserve">The third case is an example involving the protection of reputation and private life that the model correctly classified as </w:t>
      </w:r>
      <w:r w:rsidRPr="00A72C8F">
        <w:rPr>
          <w:b/>
          <w:bCs/>
        </w:rPr>
        <w:t>violation</w:t>
      </w:r>
      <w:r w:rsidRPr="00A72C8F">
        <w:t xml:space="preserve">. The decision addresses a dispute concerning offensive online </w:t>
      </w:r>
      <w:proofErr w:type="gramStart"/>
      <w:r w:rsidRPr="00A72C8F">
        <w:t>expression</w:t>
      </w:r>
      <w:proofErr w:type="gramEnd"/>
      <w:r w:rsidRPr="00A72C8F">
        <w:t xml:space="preserve"> on a social</w:t>
      </w:r>
      <w:r w:rsidRPr="00A72C8F">
        <w:noBreakHyphen/>
        <w:t>media platform. In particular, the domestic courts had to assess the impact of an altered image of the applicant accompanied by a caption using highly abusive language which explicitly portrayed him as a rapist.</w:t>
      </w:r>
    </w:p>
    <w:p w14:paraId="6161AB32" w14:textId="3F70A823" w:rsidR="004E7F94" w:rsidRPr="00F02BAF" w:rsidRDefault="00A72C8F" w:rsidP="00A72C8F">
      <w:pPr>
        <w:spacing w:afterLines="50" w:after="180"/>
        <w:jc w:val="both"/>
      </w:pPr>
      <w:r w:rsidRPr="00A72C8F">
        <w:t>This case concerns the conflict between freedom of expression and the protection of reputation and private life. The court found a violation of the right to respect for private life because the domestic authorities failed to provide sufficient protection for the applicant’s reputation, allowing him to be publicly portrayed as a rapist despite the dismissal of all criminal accusations and the absence of any conviction. The abusive caption was treated not merely as a value judgment but as a statement implying that the applicant had committed a serious criminal offence, and this assessment played a central role in the court’s reasoning on reputational harm. The case therefore illustrates how the model handles privacy</w:t>
      </w:r>
      <w:r w:rsidRPr="00A72C8F">
        <w:noBreakHyphen/>
        <w:t>related claims involving online speech and evaluates whether domestic courts have struck a fair balance between expressive freedom and the right to respect for private life. The top</w:t>
      </w:r>
      <w:r w:rsidRPr="00A72C8F">
        <w:noBreakHyphen/>
        <w:t>k segments identified by SPS</w:t>
      </w:r>
      <w:r w:rsidRPr="00A72C8F">
        <w:noBreakHyphen/>
        <w:t>LIME are shown in</w:t>
      </w:r>
      <w:r w:rsidR="004E7F94" w:rsidRPr="003008B1">
        <w:rPr>
          <w:rFonts w:hint="eastAsia"/>
        </w:rPr>
        <w:t xml:space="preserve"> </w:t>
      </w:r>
      <w:r w:rsidR="003008B1" w:rsidRPr="003008B1">
        <w:fldChar w:fldCharType="begin"/>
      </w:r>
      <w:r w:rsidR="003008B1" w:rsidRPr="003008B1">
        <w:instrText xml:space="preserve"> </w:instrText>
      </w:r>
      <w:r w:rsidR="003008B1" w:rsidRPr="003008B1">
        <w:rPr>
          <w:rFonts w:hint="eastAsia"/>
        </w:rPr>
        <w:instrText>REF _Ref236770600 \h</w:instrText>
      </w:r>
      <w:r w:rsidR="003008B1" w:rsidRPr="003008B1">
        <w:instrText xml:space="preserve">  \* MERGEFORMAT </w:instrText>
      </w:r>
      <w:r w:rsidR="003008B1" w:rsidRPr="003008B1">
        <w:fldChar w:fldCharType="separate"/>
      </w:r>
      <w:r w:rsidR="00B230F2" w:rsidRPr="00B230F2">
        <w:t xml:space="preserve">Table </w:t>
      </w:r>
      <w:r w:rsidR="00B230F2" w:rsidRPr="00B230F2">
        <w:rPr>
          <w:noProof/>
        </w:rPr>
        <w:t>13</w:t>
      </w:r>
      <w:r w:rsidR="003008B1" w:rsidRPr="003008B1">
        <w:fldChar w:fldCharType="end"/>
      </w:r>
      <w:r w:rsidR="004E7F94" w:rsidRPr="003008B1">
        <w:rPr>
          <w:rFonts w:hint="eastAsia"/>
        </w:rPr>
        <w:t>.</w:t>
      </w:r>
    </w:p>
    <w:p w14:paraId="1ED0979F" w14:textId="0EA42F35" w:rsidR="004E7F94" w:rsidRPr="003008B1" w:rsidRDefault="003008B1" w:rsidP="00312BDF">
      <w:pPr>
        <w:pStyle w:val="Caption"/>
        <w:spacing w:after="0" w:line="240" w:lineRule="exact"/>
        <w:jc w:val="both"/>
        <w:rPr>
          <w:rFonts w:ascii="Times New Roman" w:hAnsi="Times New Roman" w:cs="Times New Roman"/>
          <w:sz w:val="18"/>
          <w:szCs w:val="18"/>
        </w:rPr>
      </w:pPr>
      <w:bookmarkStart w:id="6" w:name="_Ref236770600"/>
      <w:r w:rsidRPr="003008B1">
        <w:rPr>
          <w:rFonts w:ascii="Times New Roman" w:hAnsi="Times New Roman" w:cs="Times New Roman"/>
          <w:b/>
          <w:bCs/>
          <w:sz w:val="18"/>
          <w:szCs w:val="18"/>
        </w:rPr>
        <w:t xml:space="preserve">Table </w:t>
      </w:r>
      <w:r w:rsidRPr="003008B1">
        <w:rPr>
          <w:rFonts w:ascii="Times New Roman" w:hAnsi="Times New Roman" w:cs="Times New Roman"/>
          <w:b/>
          <w:bCs/>
          <w:sz w:val="18"/>
          <w:szCs w:val="18"/>
        </w:rPr>
        <w:fldChar w:fldCharType="begin"/>
      </w:r>
      <w:r w:rsidRPr="003008B1">
        <w:rPr>
          <w:rFonts w:ascii="Times New Roman" w:hAnsi="Times New Roman" w:cs="Times New Roman"/>
          <w:b/>
          <w:bCs/>
          <w:sz w:val="18"/>
          <w:szCs w:val="18"/>
        </w:rPr>
        <w:instrText xml:space="preserve"> SEQ Table \* ARABIC </w:instrText>
      </w:r>
      <w:r w:rsidRPr="003008B1">
        <w:rPr>
          <w:rFonts w:ascii="Times New Roman" w:hAnsi="Times New Roman" w:cs="Times New Roman"/>
          <w:b/>
          <w:bCs/>
          <w:sz w:val="18"/>
          <w:szCs w:val="18"/>
        </w:rPr>
        <w:fldChar w:fldCharType="separate"/>
      </w:r>
      <w:r w:rsidR="00B230F2">
        <w:rPr>
          <w:rFonts w:ascii="Times New Roman" w:hAnsi="Times New Roman" w:cs="Times New Roman"/>
          <w:b/>
          <w:bCs/>
          <w:noProof/>
          <w:sz w:val="18"/>
          <w:szCs w:val="18"/>
        </w:rPr>
        <w:t>13</w:t>
      </w:r>
      <w:r w:rsidRPr="003008B1">
        <w:rPr>
          <w:rFonts w:ascii="Times New Roman" w:hAnsi="Times New Roman" w:cs="Times New Roman"/>
          <w:b/>
          <w:bCs/>
          <w:sz w:val="18"/>
          <w:szCs w:val="18"/>
        </w:rPr>
        <w:fldChar w:fldCharType="end"/>
      </w:r>
      <w:bookmarkEnd w:id="6"/>
      <w:r w:rsidRPr="003008B1">
        <w:rPr>
          <w:rFonts w:ascii="Times New Roman" w:hAnsi="Times New Roman" w:cs="Times New Roman"/>
          <w:sz w:val="18"/>
          <w:szCs w:val="18"/>
          <w:lang w:eastAsia="en-US"/>
        </w:rPr>
        <w:t xml:space="preserve"> </w:t>
      </w:r>
      <w:r w:rsidR="00312BDF" w:rsidRPr="00312BDF">
        <w:rPr>
          <w:rFonts w:ascii="Times New Roman" w:hAnsi="Times New Roman" w:cs="Times New Roman"/>
          <w:sz w:val="18"/>
          <w:szCs w:val="18"/>
        </w:rPr>
        <w:t>Top</w:t>
      </w:r>
      <w:r w:rsidR="00312BDF" w:rsidRPr="00312BDF">
        <w:rPr>
          <w:rFonts w:ascii="Times New Roman" w:hAnsi="Times New Roman" w:cs="Times New Roman"/>
          <w:sz w:val="18"/>
          <w:szCs w:val="18"/>
        </w:rPr>
        <w:noBreakHyphen/>
        <w:t>k segments for the privacy</w:t>
      </w:r>
      <w:r w:rsidR="00312BDF" w:rsidRPr="00312BDF">
        <w:rPr>
          <w:rFonts w:ascii="Times New Roman" w:hAnsi="Times New Roman" w:cs="Times New Roman"/>
          <w:sz w:val="18"/>
          <w:szCs w:val="18"/>
        </w:rPr>
        <w:noBreakHyphen/>
        <w:t>and</w:t>
      </w:r>
      <w:r w:rsidR="00312BDF" w:rsidRPr="00312BDF">
        <w:rPr>
          <w:rFonts w:ascii="Times New Roman" w:hAnsi="Times New Roman" w:cs="Times New Roman"/>
          <w:sz w:val="18"/>
          <w:szCs w:val="18"/>
        </w:rPr>
        <w:noBreakHyphen/>
        <w:t>reputation case involving offensive online expression, correctly classified as "violation".</w:t>
      </w: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82"/>
        <w:gridCol w:w="4965"/>
        <w:gridCol w:w="777"/>
        <w:gridCol w:w="1182"/>
      </w:tblGrid>
      <w:tr w:rsidR="004E7F94" w:rsidRPr="00F02BAF" w14:paraId="780E46D3" w14:textId="77777777" w:rsidTr="00531194">
        <w:tc>
          <w:tcPr>
            <w:tcW w:w="841" w:type="pct"/>
            <w:tcBorders>
              <w:top w:val="nil"/>
              <w:bottom w:val="single" w:sz="12" w:space="0" w:color="2E74B5"/>
            </w:tcBorders>
            <w:vAlign w:val="center"/>
          </w:tcPr>
          <w:p w14:paraId="43556AA1" w14:textId="77777777" w:rsidR="004E7F94" w:rsidRPr="00F02BAF" w:rsidRDefault="004E7F94" w:rsidP="0098432F">
            <w:pPr>
              <w:spacing w:line="200" w:lineRule="exact"/>
              <w:rPr>
                <w:b/>
                <w:bCs/>
                <w:sz w:val="16"/>
                <w:szCs w:val="16"/>
              </w:rPr>
            </w:pPr>
            <w:r w:rsidRPr="00F02BAF">
              <w:rPr>
                <w:b/>
                <w:bCs/>
                <w:sz w:val="16"/>
                <w:szCs w:val="16"/>
              </w:rPr>
              <w:t>Rhetorical Role</w:t>
            </w:r>
          </w:p>
        </w:tc>
        <w:tc>
          <w:tcPr>
            <w:tcW w:w="2997" w:type="pct"/>
            <w:tcBorders>
              <w:top w:val="nil"/>
              <w:bottom w:val="single" w:sz="12" w:space="0" w:color="2E74B5"/>
            </w:tcBorders>
            <w:vAlign w:val="center"/>
          </w:tcPr>
          <w:p w14:paraId="3EE88159" w14:textId="77777777" w:rsidR="004E7F94" w:rsidRPr="00F02BAF" w:rsidRDefault="004E7F94" w:rsidP="0098432F">
            <w:pPr>
              <w:spacing w:line="200" w:lineRule="exact"/>
              <w:rPr>
                <w:b/>
                <w:bCs/>
                <w:sz w:val="16"/>
                <w:szCs w:val="16"/>
              </w:rPr>
            </w:pPr>
            <w:r w:rsidRPr="00F02BAF">
              <w:rPr>
                <w:b/>
                <w:bCs/>
                <w:sz w:val="16"/>
                <w:szCs w:val="16"/>
              </w:rPr>
              <w:t>Segment Text</w:t>
            </w:r>
          </w:p>
        </w:tc>
        <w:tc>
          <w:tcPr>
            <w:tcW w:w="442" w:type="pct"/>
            <w:tcBorders>
              <w:top w:val="nil"/>
              <w:bottom w:val="single" w:sz="12" w:space="0" w:color="2E74B5"/>
            </w:tcBorders>
            <w:vAlign w:val="center"/>
          </w:tcPr>
          <w:p w14:paraId="78B70B85" w14:textId="77777777" w:rsidR="004E7F94" w:rsidRPr="00F02BAF" w:rsidRDefault="004E7F94" w:rsidP="0098432F">
            <w:pPr>
              <w:spacing w:line="200" w:lineRule="exact"/>
              <w:rPr>
                <w:b/>
                <w:bCs/>
                <w:sz w:val="16"/>
                <w:szCs w:val="16"/>
              </w:rPr>
            </w:pPr>
            <w:r w:rsidRPr="00F02BAF">
              <w:rPr>
                <w:b/>
                <w:bCs/>
                <w:sz w:val="16"/>
                <w:szCs w:val="16"/>
              </w:rPr>
              <w:t>Support</w:t>
            </w:r>
            <w:r w:rsidRPr="00F02BAF">
              <w:rPr>
                <w:b/>
                <w:bCs/>
                <w:sz w:val="16"/>
                <w:szCs w:val="16"/>
              </w:rPr>
              <w:br/>
              <w:t>Class</w:t>
            </w:r>
          </w:p>
        </w:tc>
        <w:tc>
          <w:tcPr>
            <w:tcW w:w="720" w:type="pct"/>
            <w:tcBorders>
              <w:top w:val="nil"/>
              <w:bottom w:val="single" w:sz="12" w:space="0" w:color="2E74B5"/>
            </w:tcBorders>
            <w:vAlign w:val="center"/>
          </w:tcPr>
          <w:p w14:paraId="2141E581" w14:textId="77777777" w:rsidR="004E7F94" w:rsidRPr="00F02BAF" w:rsidRDefault="004E7F94" w:rsidP="0098432F">
            <w:pPr>
              <w:spacing w:line="200" w:lineRule="exact"/>
              <w:rPr>
                <w:b/>
                <w:bCs/>
                <w:sz w:val="16"/>
                <w:szCs w:val="16"/>
              </w:rPr>
            </w:pPr>
            <w:r w:rsidRPr="00F02BAF">
              <w:rPr>
                <w:b/>
                <w:bCs/>
                <w:sz w:val="16"/>
                <w:szCs w:val="16"/>
              </w:rPr>
              <w:t>Strength</w:t>
            </w:r>
          </w:p>
        </w:tc>
      </w:tr>
      <w:tr w:rsidR="004E7F94" w:rsidRPr="00F02BAF" w14:paraId="73449A2F" w14:textId="77777777" w:rsidTr="00531194">
        <w:tc>
          <w:tcPr>
            <w:tcW w:w="841" w:type="pct"/>
            <w:tcBorders>
              <w:top w:val="single" w:sz="12" w:space="0" w:color="2E74B5"/>
            </w:tcBorders>
          </w:tcPr>
          <w:p w14:paraId="56BFF8FF" w14:textId="77777777" w:rsidR="004E7F94" w:rsidRPr="00F02BAF" w:rsidRDefault="004E7F94" w:rsidP="0098432F">
            <w:pPr>
              <w:spacing w:line="200" w:lineRule="exact"/>
              <w:rPr>
                <w:b/>
                <w:bCs/>
                <w:sz w:val="16"/>
                <w:szCs w:val="16"/>
              </w:rPr>
            </w:pPr>
            <w:r w:rsidRPr="00F02BAF">
              <w:rPr>
                <w:b/>
                <w:bCs/>
                <w:sz w:val="16"/>
                <w:szCs w:val="16"/>
              </w:rPr>
              <w:t>Fact</w:t>
            </w:r>
          </w:p>
        </w:tc>
        <w:tc>
          <w:tcPr>
            <w:tcW w:w="2997" w:type="pct"/>
            <w:tcBorders>
              <w:top w:val="single" w:sz="12" w:space="0" w:color="2E74B5"/>
            </w:tcBorders>
          </w:tcPr>
          <w:p w14:paraId="1DC041A7" w14:textId="77777777" w:rsidR="004E7F94" w:rsidRPr="00F02BAF" w:rsidRDefault="004E7F94" w:rsidP="0098432F">
            <w:pPr>
              <w:spacing w:line="200" w:lineRule="exact"/>
              <w:jc w:val="both"/>
              <w:rPr>
                <w:sz w:val="16"/>
                <w:szCs w:val="16"/>
              </w:rPr>
            </w:pPr>
            <w:r w:rsidRPr="00F02BAF">
              <w:rPr>
                <w:sz w:val="16"/>
                <w:szCs w:val="16"/>
              </w:rPr>
              <w:t xml:space="preserve">11. On 26 November 2012 the applicant’s lawyer sent a letter to X requesting that he withdraw his statement, </w:t>
            </w:r>
            <w:proofErr w:type="spellStart"/>
            <w:r w:rsidRPr="00F02BAF">
              <w:rPr>
                <w:sz w:val="16"/>
                <w:szCs w:val="16"/>
              </w:rPr>
              <w:t>apologise</w:t>
            </w:r>
            <w:proofErr w:type="spellEnd"/>
            <w:r w:rsidRPr="00F02BAF">
              <w:rPr>
                <w:sz w:val="16"/>
                <w:szCs w:val="16"/>
              </w:rPr>
              <w:t xml:space="preserve"> </w:t>
            </w:r>
            <w:proofErr w:type="gramStart"/>
            <w:r w:rsidRPr="00F02BAF">
              <w:rPr>
                <w:sz w:val="16"/>
                <w:szCs w:val="16"/>
              </w:rPr>
              <w:t>in</w:t>
            </w:r>
            <w:proofErr w:type="gramEnd"/>
            <w:r w:rsidRPr="00F02BAF">
              <w:rPr>
                <w:sz w:val="16"/>
                <w:szCs w:val="16"/>
              </w:rPr>
              <w:t xml:space="preserve"> the media and pay the applicant punitive damages.</w:t>
            </w:r>
          </w:p>
        </w:tc>
        <w:tc>
          <w:tcPr>
            <w:tcW w:w="442" w:type="pct"/>
            <w:tcBorders>
              <w:top w:val="single" w:sz="12" w:space="0" w:color="2E74B5"/>
            </w:tcBorders>
          </w:tcPr>
          <w:p w14:paraId="73A37689" w14:textId="77777777" w:rsidR="004E7F94" w:rsidRPr="00F02BAF" w:rsidRDefault="004E7F94" w:rsidP="0098432F">
            <w:pPr>
              <w:spacing w:line="200" w:lineRule="exact"/>
              <w:rPr>
                <w:sz w:val="16"/>
                <w:szCs w:val="16"/>
              </w:rPr>
            </w:pPr>
            <w:r w:rsidRPr="00F02BAF">
              <w:rPr>
                <w:sz w:val="16"/>
                <w:szCs w:val="16"/>
              </w:rPr>
              <w:t>Yes</w:t>
            </w:r>
          </w:p>
        </w:tc>
        <w:tc>
          <w:tcPr>
            <w:tcW w:w="720" w:type="pct"/>
            <w:tcBorders>
              <w:top w:val="single" w:sz="12" w:space="0" w:color="2E74B5"/>
            </w:tcBorders>
          </w:tcPr>
          <w:p w14:paraId="610761ED" w14:textId="77777777" w:rsidR="004E7F94" w:rsidRPr="00F02BAF" w:rsidRDefault="004E7F94" w:rsidP="0098432F">
            <w:pPr>
              <w:spacing w:line="200" w:lineRule="exact"/>
              <w:rPr>
                <w:sz w:val="16"/>
                <w:szCs w:val="16"/>
              </w:rPr>
            </w:pPr>
            <w:r w:rsidRPr="00F02BAF">
              <w:rPr>
                <w:sz w:val="16"/>
                <w:szCs w:val="16"/>
              </w:rPr>
              <w:t>Strong</w:t>
            </w:r>
          </w:p>
        </w:tc>
      </w:tr>
      <w:tr w:rsidR="004E7F94" w:rsidRPr="00F02BAF" w14:paraId="60CEC7DF" w14:textId="77777777" w:rsidTr="00531194">
        <w:tc>
          <w:tcPr>
            <w:tcW w:w="841" w:type="pct"/>
          </w:tcPr>
          <w:p w14:paraId="29DBFC27" w14:textId="77777777" w:rsidR="004E7F94" w:rsidRPr="00F02BAF" w:rsidRDefault="004E7F94" w:rsidP="0098432F">
            <w:pPr>
              <w:spacing w:line="200" w:lineRule="exact"/>
              <w:rPr>
                <w:b/>
                <w:bCs/>
                <w:sz w:val="16"/>
                <w:szCs w:val="16"/>
              </w:rPr>
            </w:pPr>
            <w:r w:rsidRPr="00F02BAF">
              <w:rPr>
                <w:b/>
                <w:bCs/>
                <w:sz w:val="16"/>
                <w:szCs w:val="16"/>
              </w:rPr>
              <w:t>Precedent</w:t>
            </w:r>
          </w:p>
        </w:tc>
        <w:tc>
          <w:tcPr>
            <w:tcW w:w="2997" w:type="pct"/>
          </w:tcPr>
          <w:p w14:paraId="77654067" w14:textId="77777777" w:rsidR="004E7F94" w:rsidRPr="00F02BAF" w:rsidRDefault="004E7F94" w:rsidP="0098432F">
            <w:pPr>
              <w:spacing w:line="200" w:lineRule="exact"/>
              <w:jc w:val="both"/>
              <w:rPr>
                <w:sz w:val="16"/>
                <w:szCs w:val="16"/>
              </w:rPr>
            </w:pPr>
            <w:r w:rsidRPr="00F02BAF">
              <w:rPr>
                <w:sz w:val="16"/>
                <w:szCs w:val="16"/>
              </w:rPr>
              <w:t>In this context, it makes a difference, even though this alone is not decisive for the conclusion, that [X] did not maintain that the [applicant] had thus committed a criminal offence against someone else, named or unnamed.</w:t>
            </w:r>
          </w:p>
        </w:tc>
        <w:tc>
          <w:tcPr>
            <w:tcW w:w="442" w:type="pct"/>
          </w:tcPr>
          <w:p w14:paraId="0264A044" w14:textId="77777777" w:rsidR="004E7F94" w:rsidRPr="00F02BAF" w:rsidRDefault="004E7F94" w:rsidP="0098432F">
            <w:pPr>
              <w:spacing w:line="200" w:lineRule="exact"/>
              <w:rPr>
                <w:sz w:val="16"/>
                <w:szCs w:val="16"/>
              </w:rPr>
            </w:pPr>
            <w:r w:rsidRPr="00F02BAF">
              <w:rPr>
                <w:sz w:val="16"/>
                <w:szCs w:val="16"/>
              </w:rPr>
              <w:t>No</w:t>
            </w:r>
          </w:p>
        </w:tc>
        <w:tc>
          <w:tcPr>
            <w:tcW w:w="720" w:type="pct"/>
          </w:tcPr>
          <w:p w14:paraId="6964F318" w14:textId="77777777" w:rsidR="004E7F94" w:rsidRPr="00F02BAF" w:rsidRDefault="004E7F94" w:rsidP="0098432F">
            <w:pPr>
              <w:spacing w:line="200" w:lineRule="exact"/>
              <w:rPr>
                <w:sz w:val="16"/>
                <w:szCs w:val="16"/>
              </w:rPr>
            </w:pPr>
            <w:r w:rsidRPr="00F02BAF">
              <w:rPr>
                <w:sz w:val="16"/>
                <w:szCs w:val="16"/>
              </w:rPr>
              <w:t>Strong</w:t>
            </w:r>
          </w:p>
        </w:tc>
      </w:tr>
      <w:tr w:rsidR="004E7F94" w:rsidRPr="00F02BAF" w14:paraId="20AC3D91" w14:textId="77777777" w:rsidTr="00531194">
        <w:tc>
          <w:tcPr>
            <w:tcW w:w="841" w:type="pct"/>
          </w:tcPr>
          <w:p w14:paraId="77D692EB" w14:textId="77777777" w:rsidR="004E7F94" w:rsidRPr="00F02BAF" w:rsidRDefault="004E7F94" w:rsidP="0098432F">
            <w:pPr>
              <w:spacing w:line="200" w:lineRule="exact"/>
              <w:rPr>
                <w:b/>
                <w:bCs/>
                <w:sz w:val="16"/>
                <w:szCs w:val="16"/>
              </w:rPr>
            </w:pPr>
            <w:r w:rsidRPr="00F02BAF">
              <w:rPr>
                <w:b/>
                <w:bCs/>
                <w:sz w:val="16"/>
                <w:szCs w:val="16"/>
              </w:rPr>
              <w:t>Argument</w:t>
            </w:r>
          </w:p>
        </w:tc>
        <w:tc>
          <w:tcPr>
            <w:tcW w:w="2997" w:type="pct"/>
          </w:tcPr>
          <w:p w14:paraId="7DCF4A90" w14:textId="77777777" w:rsidR="004E7F94" w:rsidRPr="00F02BAF" w:rsidRDefault="004E7F94" w:rsidP="0098432F">
            <w:pPr>
              <w:spacing w:line="200" w:lineRule="exact"/>
              <w:jc w:val="both"/>
              <w:rPr>
                <w:sz w:val="16"/>
                <w:szCs w:val="16"/>
              </w:rPr>
            </w:pPr>
            <w:r w:rsidRPr="00F02BAF">
              <w:rPr>
                <w:sz w:val="16"/>
                <w:szCs w:val="16"/>
              </w:rPr>
              <w:t xml:space="preserve">The documents of the case reveal that there were instances when his criticism had been directed towards named individuals, often women, and in some cases his words could be construed to mean that he was in fact recommending that they should be </w:t>
            </w:r>
            <w:proofErr w:type="spellStart"/>
            <w:r w:rsidRPr="00F02BAF">
              <w:rPr>
                <w:sz w:val="16"/>
                <w:szCs w:val="16"/>
              </w:rPr>
              <w:t>subjec</w:t>
            </w:r>
            <w:proofErr w:type="spellEnd"/>
            <w:r w:rsidRPr="00F02BAF">
              <w:rPr>
                <w:sz w:val="16"/>
                <w:szCs w:val="16"/>
              </w:rPr>
              <w:t>...</w:t>
            </w:r>
          </w:p>
        </w:tc>
        <w:tc>
          <w:tcPr>
            <w:tcW w:w="442" w:type="pct"/>
          </w:tcPr>
          <w:p w14:paraId="146C66A2" w14:textId="77777777" w:rsidR="004E7F94" w:rsidRPr="00F02BAF" w:rsidRDefault="004E7F94" w:rsidP="0098432F">
            <w:pPr>
              <w:spacing w:line="200" w:lineRule="exact"/>
              <w:rPr>
                <w:sz w:val="16"/>
                <w:szCs w:val="16"/>
              </w:rPr>
            </w:pPr>
            <w:r w:rsidRPr="00F02BAF">
              <w:rPr>
                <w:sz w:val="16"/>
                <w:szCs w:val="16"/>
              </w:rPr>
              <w:t>Yes</w:t>
            </w:r>
          </w:p>
        </w:tc>
        <w:tc>
          <w:tcPr>
            <w:tcW w:w="720" w:type="pct"/>
          </w:tcPr>
          <w:p w14:paraId="1DAA131F" w14:textId="77777777" w:rsidR="004E7F94" w:rsidRPr="00F02BAF" w:rsidRDefault="004E7F94" w:rsidP="0098432F">
            <w:pPr>
              <w:spacing w:line="200" w:lineRule="exact"/>
              <w:rPr>
                <w:sz w:val="16"/>
                <w:szCs w:val="16"/>
              </w:rPr>
            </w:pPr>
            <w:r w:rsidRPr="00F02BAF">
              <w:rPr>
                <w:sz w:val="16"/>
                <w:szCs w:val="16"/>
              </w:rPr>
              <w:t>Medium</w:t>
            </w:r>
          </w:p>
        </w:tc>
      </w:tr>
      <w:tr w:rsidR="004E7F94" w:rsidRPr="00F02BAF" w14:paraId="37822EB1" w14:textId="77777777" w:rsidTr="00531194">
        <w:tc>
          <w:tcPr>
            <w:tcW w:w="841" w:type="pct"/>
          </w:tcPr>
          <w:p w14:paraId="0AC2AB16" w14:textId="77777777" w:rsidR="004E7F94" w:rsidRPr="00F02BAF" w:rsidRDefault="004E7F94" w:rsidP="0098432F">
            <w:pPr>
              <w:spacing w:line="200" w:lineRule="exact"/>
              <w:rPr>
                <w:b/>
                <w:bCs/>
                <w:sz w:val="16"/>
                <w:szCs w:val="16"/>
              </w:rPr>
            </w:pPr>
            <w:r w:rsidRPr="00F02BAF">
              <w:rPr>
                <w:b/>
                <w:bCs/>
                <w:sz w:val="16"/>
                <w:szCs w:val="16"/>
              </w:rPr>
              <w:t>Argument</w:t>
            </w:r>
          </w:p>
        </w:tc>
        <w:tc>
          <w:tcPr>
            <w:tcW w:w="2997" w:type="pct"/>
          </w:tcPr>
          <w:p w14:paraId="692A2270" w14:textId="77777777" w:rsidR="004E7F94" w:rsidRPr="00F02BAF" w:rsidRDefault="004E7F94" w:rsidP="0098432F">
            <w:pPr>
              <w:spacing w:line="200" w:lineRule="exact"/>
              <w:jc w:val="both"/>
              <w:rPr>
                <w:sz w:val="16"/>
                <w:szCs w:val="16"/>
              </w:rPr>
            </w:pPr>
            <w:r w:rsidRPr="00F02BAF">
              <w:rPr>
                <w:sz w:val="16"/>
                <w:szCs w:val="16"/>
              </w:rPr>
              <w:t>Before the Supreme Court the applicant reiterated his argument that X’s Instagram account had been an “open” account, meaning that the picture had been accessible not only to his followers but to all Instagram users, over 100,000,000 people at the ma...</w:t>
            </w:r>
          </w:p>
        </w:tc>
        <w:tc>
          <w:tcPr>
            <w:tcW w:w="442" w:type="pct"/>
          </w:tcPr>
          <w:p w14:paraId="10780C6A" w14:textId="77777777" w:rsidR="004E7F94" w:rsidRPr="00F02BAF" w:rsidRDefault="004E7F94" w:rsidP="0098432F">
            <w:pPr>
              <w:spacing w:line="200" w:lineRule="exact"/>
              <w:rPr>
                <w:sz w:val="16"/>
                <w:szCs w:val="16"/>
              </w:rPr>
            </w:pPr>
            <w:r w:rsidRPr="00F02BAF">
              <w:rPr>
                <w:sz w:val="16"/>
                <w:szCs w:val="16"/>
              </w:rPr>
              <w:t>No</w:t>
            </w:r>
          </w:p>
        </w:tc>
        <w:tc>
          <w:tcPr>
            <w:tcW w:w="720" w:type="pct"/>
          </w:tcPr>
          <w:p w14:paraId="6880FD4C" w14:textId="77777777" w:rsidR="004E7F94" w:rsidRPr="00F02BAF" w:rsidRDefault="004E7F94" w:rsidP="0098432F">
            <w:pPr>
              <w:spacing w:line="200" w:lineRule="exact"/>
              <w:rPr>
                <w:sz w:val="16"/>
                <w:szCs w:val="16"/>
              </w:rPr>
            </w:pPr>
            <w:r w:rsidRPr="00F02BAF">
              <w:rPr>
                <w:sz w:val="16"/>
                <w:szCs w:val="16"/>
              </w:rPr>
              <w:t>Medium</w:t>
            </w:r>
          </w:p>
        </w:tc>
      </w:tr>
      <w:tr w:rsidR="004E7F94" w:rsidRPr="00F02BAF" w14:paraId="4630C12E" w14:textId="77777777" w:rsidTr="00531194">
        <w:tc>
          <w:tcPr>
            <w:tcW w:w="841" w:type="pct"/>
          </w:tcPr>
          <w:p w14:paraId="18460D3A" w14:textId="77777777" w:rsidR="004E7F94" w:rsidRPr="00F02BAF" w:rsidRDefault="004E7F94" w:rsidP="0098432F">
            <w:pPr>
              <w:spacing w:line="200" w:lineRule="exact"/>
              <w:rPr>
                <w:b/>
                <w:bCs/>
                <w:sz w:val="16"/>
                <w:szCs w:val="16"/>
              </w:rPr>
            </w:pPr>
            <w:r w:rsidRPr="00F02BAF">
              <w:rPr>
                <w:b/>
                <w:bCs/>
                <w:sz w:val="16"/>
                <w:szCs w:val="16"/>
              </w:rPr>
              <w:t>Argument</w:t>
            </w:r>
          </w:p>
        </w:tc>
        <w:tc>
          <w:tcPr>
            <w:tcW w:w="2997" w:type="pct"/>
          </w:tcPr>
          <w:p w14:paraId="52762424" w14:textId="77777777" w:rsidR="004E7F94" w:rsidRPr="00F02BAF" w:rsidRDefault="004E7F94" w:rsidP="0098432F">
            <w:pPr>
              <w:spacing w:line="200" w:lineRule="exact"/>
              <w:jc w:val="both"/>
              <w:rPr>
                <w:sz w:val="16"/>
                <w:szCs w:val="16"/>
              </w:rPr>
            </w:pPr>
            <w:r w:rsidRPr="00F02BAF">
              <w:rPr>
                <w:sz w:val="16"/>
                <w:szCs w:val="16"/>
              </w:rPr>
              <w:t>In the same manner, he must take responsibility for the material he produces, irrespective of what name he chooses to use.</w:t>
            </w:r>
          </w:p>
        </w:tc>
        <w:tc>
          <w:tcPr>
            <w:tcW w:w="442" w:type="pct"/>
          </w:tcPr>
          <w:p w14:paraId="19554A27" w14:textId="77777777" w:rsidR="004E7F94" w:rsidRPr="00F02BAF" w:rsidRDefault="004E7F94" w:rsidP="0098432F">
            <w:pPr>
              <w:spacing w:line="200" w:lineRule="exact"/>
              <w:rPr>
                <w:sz w:val="16"/>
                <w:szCs w:val="16"/>
              </w:rPr>
            </w:pPr>
            <w:r w:rsidRPr="00F02BAF">
              <w:rPr>
                <w:sz w:val="16"/>
                <w:szCs w:val="16"/>
              </w:rPr>
              <w:t>No</w:t>
            </w:r>
          </w:p>
        </w:tc>
        <w:tc>
          <w:tcPr>
            <w:tcW w:w="720" w:type="pct"/>
          </w:tcPr>
          <w:p w14:paraId="780A822C" w14:textId="77777777" w:rsidR="004E7F94" w:rsidRPr="00F02BAF" w:rsidRDefault="004E7F94" w:rsidP="0098432F">
            <w:pPr>
              <w:spacing w:line="200" w:lineRule="exact"/>
              <w:rPr>
                <w:sz w:val="16"/>
                <w:szCs w:val="16"/>
              </w:rPr>
            </w:pPr>
            <w:r w:rsidRPr="00F02BAF">
              <w:rPr>
                <w:sz w:val="16"/>
                <w:szCs w:val="16"/>
              </w:rPr>
              <w:t>Weak</w:t>
            </w:r>
          </w:p>
        </w:tc>
      </w:tr>
      <w:tr w:rsidR="004E7F94" w:rsidRPr="00F02BAF" w14:paraId="0CDF578E" w14:textId="77777777" w:rsidTr="00531194">
        <w:tc>
          <w:tcPr>
            <w:tcW w:w="841" w:type="pct"/>
          </w:tcPr>
          <w:p w14:paraId="576FCA77" w14:textId="77777777" w:rsidR="004E7F94" w:rsidRPr="00F02BAF" w:rsidRDefault="004E7F94" w:rsidP="0098432F">
            <w:pPr>
              <w:spacing w:line="200" w:lineRule="exact"/>
              <w:rPr>
                <w:b/>
                <w:bCs/>
                <w:sz w:val="16"/>
                <w:szCs w:val="16"/>
              </w:rPr>
            </w:pPr>
            <w:r w:rsidRPr="00F02BAF">
              <w:rPr>
                <w:b/>
                <w:bCs/>
                <w:sz w:val="16"/>
                <w:szCs w:val="16"/>
              </w:rPr>
              <w:t>Fact</w:t>
            </w:r>
          </w:p>
        </w:tc>
        <w:tc>
          <w:tcPr>
            <w:tcW w:w="2997" w:type="pct"/>
          </w:tcPr>
          <w:p w14:paraId="76B71F61" w14:textId="77777777" w:rsidR="004E7F94" w:rsidRPr="00F02BAF" w:rsidRDefault="004E7F94" w:rsidP="0098432F">
            <w:pPr>
              <w:spacing w:line="200" w:lineRule="exact"/>
              <w:jc w:val="both"/>
              <w:rPr>
                <w:sz w:val="16"/>
                <w:szCs w:val="16"/>
              </w:rPr>
            </w:pPr>
            <w:r w:rsidRPr="00F02BAF">
              <w:rPr>
                <w:sz w:val="16"/>
                <w:szCs w:val="16"/>
              </w:rPr>
              <w:t>He submitted further documents to support his argument.</w:t>
            </w:r>
          </w:p>
        </w:tc>
        <w:tc>
          <w:tcPr>
            <w:tcW w:w="442" w:type="pct"/>
          </w:tcPr>
          <w:p w14:paraId="6A3BB882" w14:textId="77777777" w:rsidR="004E7F94" w:rsidRPr="00F02BAF" w:rsidRDefault="004E7F94" w:rsidP="0098432F">
            <w:pPr>
              <w:spacing w:line="200" w:lineRule="exact"/>
              <w:rPr>
                <w:sz w:val="16"/>
                <w:szCs w:val="16"/>
              </w:rPr>
            </w:pPr>
            <w:r w:rsidRPr="00F02BAF">
              <w:rPr>
                <w:sz w:val="16"/>
                <w:szCs w:val="16"/>
              </w:rPr>
              <w:t>No</w:t>
            </w:r>
          </w:p>
        </w:tc>
        <w:tc>
          <w:tcPr>
            <w:tcW w:w="720" w:type="pct"/>
          </w:tcPr>
          <w:p w14:paraId="10223F34" w14:textId="77777777" w:rsidR="004E7F94" w:rsidRPr="00F02BAF" w:rsidRDefault="004E7F94" w:rsidP="0098432F">
            <w:pPr>
              <w:spacing w:line="200" w:lineRule="exact"/>
              <w:rPr>
                <w:sz w:val="16"/>
                <w:szCs w:val="16"/>
              </w:rPr>
            </w:pPr>
            <w:r w:rsidRPr="00F02BAF">
              <w:rPr>
                <w:sz w:val="16"/>
                <w:szCs w:val="16"/>
              </w:rPr>
              <w:t>Weak</w:t>
            </w:r>
          </w:p>
        </w:tc>
      </w:tr>
      <w:tr w:rsidR="004E7F94" w:rsidRPr="00F02BAF" w14:paraId="2FC6B811" w14:textId="77777777" w:rsidTr="00531194">
        <w:tc>
          <w:tcPr>
            <w:tcW w:w="841" w:type="pct"/>
          </w:tcPr>
          <w:p w14:paraId="6F2E95C2" w14:textId="77777777" w:rsidR="004E7F94" w:rsidRPr="00F02BAF" w:rsidRDefault="004E7F94" w:rsidP="0098432F">
            <w:pPr>
              <w:spacing w:line="200" w:lineRule="exact"/>
              <w:rPr>
                <w:b/>
                <w:bCs/>
                <w:sz w:val="16"/>
                <w:szCs w:val="16"/>
              </w:rPr>
            </w:pPr>
            <w:r w:rsidRPr="00F02BAF">
              <w:rPr>
                <w:b/>
                <w:bCs/>
                <w:sz w:val="16"/>
                <w:szCs w:val="16"/>
              </w:rPr>
              <w:t>Fact</w:t>
            </w:r>
          </w:p>
        </w:tc>
        <w:tc>
          <w:tcPr>
            <w:tcW w:w="2997" w:type="pct"/>
          </w:tcPr>
          <w:p w14:paraId="69343600" w14:textId="77777777" w:rsidR="004E7F94" w:rsidRPr="00F02BAF" w:rsidRDefault="004E7F94" w:rsidP="0098432F">
            <w:pPr>
              <w:spacing w:line="200" w:lineRule="exact"/>
              <w:jc w:val="both"/>
              <w:rPr>
                <w:sz w:val="16"/>
                <w:szCs w:val="16"/>
              </w:rPr>
            </w:pPr>
            <w:r w:rsidRPr="00F02BAF">
              <w:rPr>
                <w:sz w:val="16"/>
                <w:szCs w:val="16"/>
              </w:rPr>
              <w:t>Article 166 of Act No 91/1991 on Civil Procedure, legal costs before both court instances will be cancelled.” 17.</w:t>
            </w:r>
          </w:p>
        </w:tc>
        <w:tc>
          <w:tcPr>
            <w:tcW w:w="442" w:type="pct"/>
          </w:tcPr>
          <w:p w14:paraId="13088807" w14:textId="77777777" w:rsidR="004E7F94" w:rsidRPr="00F02BAF" w:rsidRDefault="004E7F94" w:rsidP="0098432F">
            <w:pPr>
              <w:spacing w:line="200" w:lineRule="exact"/>
              <w:rPr>
                <w:sz w:val="16"/>
                <w:szCs w:val="16"/>
              </w:rPr>
            </w:pPr>
            <w:r w:rsidRPr="00F02BAF">
              <w:rPr>
                <w:sz w:val="16"/>
                <w:szCs w:val="16"/>
              </w:rPr>
              <w:t>Yes</w:t>
            </w:r>
          </w:p>
        </w:tc>
        <w:tc>
          <w:tcPr>
            <w:tcW w:w="720" w:type="pct"/>
          </w:tcPr>
          <w:p w14:paraId="495728D8" w14:textId="77777777" w:rsidR="004E7F94" w:rsidRPr="00F02BAF" w:rsidRDefault="004E7F94" w:rsidP="0098432F">
            <w:pPr>
              <w:spacing w:line="200" w:lineRule="exact"/>
              <w:rPr>
                <w:sz w:val="16"/>
                <w:szCs w:val="16"/>
              </w:rPr>
            </w:pPr>
            <w:r w:rsidRPr="00F02BAF">
              <w:rPr>
                <w:sz w:val="16"/>
                <w:szCs w:val="16"/>
              </w:rPr>
              <w:t>Weak</w:t>
            </w:r>
          </w:p>
        </w:tc>
      </w:tr>
      <w:tr w:rsidR="004E7F94" w:rsidRPr="00F02BAF" w14:paraId="249DAC53" w14:textId="77777777" w:rsidTr="00531194">
        <w:tc>
          <w:tcPr>
            <w:tcW w:w="841" w:type="pct"/>
            <w:tcBorders>
              <w:bottom w:val="dashSmallGap" w:sz="4" w:space="0" w:color="000000" w:themeColor="text1"/>
            </w:tcBorders>
          </w:tcPr>
          <w:p w14:paraId="75903698" w14:textId="77777777" w:rsidR="004E7F94" w:rsidRPr="00F02BAF" w:rsidRDefault="004E7F94" w:rsidP="0098432F">
            <w:pPr>
              <w:spacing w:line="200" w:lineRule="exact"/>
              <w:rPr>
                <w:b/>
                <w:bCs/>
                <w:sz w:val="16"/>
                <w:szCs w:val="16"/>
              </w:rPr>
            </w:pPr>
            <w:r w:rsidRPr="00F02BAF">
              <w:rPr>
                <w:b/>
                <w:bCs/>
                <w:sz w:val="16"/>
                <w:szCs w:val="16"/>
              </w:rPr>
              <w:t>Fact</w:t>
            </w:r>
          </w:p>
        </w:tc>
        <w:tc>
          <w:tcPr>
            <w:tcW w:w="2997" w:type="pct"/>
            <w:tcBorders>
              <w:bottom w:val="dashSmallGap" w:sz="4" w:space="0" w:color="000000" w:themeColor="text1"/>
            </w:tcBorders>
          </w:tcPr>
          <w:p w14:paraId="388B5DEE" w14:textId="77777777" w:rsidR="004E7F94" w:rsidRPr="00F02BAF" w:rsidRDefault="004E7F94" w:rsidP="0098432F">
            <w:pPr>
              <w:spacing w:line="200" w:lineRule="exact"/>
              <w:jc w:val="both"/>
              <w:rPr>
                <w:sz w:val="16"/>
                <w:szCs w:val="16"/>
              </w:rPr>
            </w:pPr>
            <w:r w:rsidRPr="00F02BAF">
              <w:rPr>
                <w:sz w:val="16"/>
                <w:szCs w:val="16"/>
              </w:rPr>
              <w:t>The Supreme Court agrees with the District Court that the [applicant] enjoys the personal protection provided for by law, under Article 71 of the Constitution and Article 8(1) of the European Convention of Human Rights, cf.</w:t>
            </w:r>
          </w:p>
        </w:tc>
        <w:tc>
          <w:tcPr>
            <w:tcW w:w="442" w:type="pct"/>
            <w:tcBorders>
              <w:bottom w:val="dashSmallGap" w:sz="4" w:space="0" w:color="000000" w:themeColor="text1"/>
            </w:tcBorders>
          </w:tcPr>
          <w:p w14:paraId="559F3EEA" w14:textId="77777777" w:rsidR="004E7F94" w:rsidRPr="00F02BAF" w:rsidRDefault="004E7F94" w:rsidP="0098432F">
            <w:pPr>
              <w:spacing w:line="200" w:lineRule="exact"/>
              <w:rPr>
                <w:sz w:val="16"/>
                <w:szCs w:val="16"/>
              </w:rPr>
            </w:pPr>
            <w:r w:rsidRPr="00F02BAF">
              <w:rPr>
                <w:sz w:val="16"/>
                <w:szCs w:val="16"/>
              </w:rPr>
              <w:t>No</w:t>
            </w:r>
          </w:p>
        </w:tc>
        <w:tc>
          <w:tcPr>
            <w:tcW w:w="720" w:type="pct"/>
            <w:tcBorders>
              <w:bottom w:val="dashSmallGap" w:sz="4" w:space="0" w:color="000000" w:themeColor="text1"/>
            </w:tcBorders>
          </w:tcPr>
          <w:p w14:paraId="593D6D79" w14:textId="77777777" w:rsidR="004E7F94" w:rsidRPr="00F02BAF" w:rsidRDefault="004E7F94" w:rsidP="0098432F">
            <w:pPr>
              <w:spacing w:line="200" w:lineRule="exact"/>
              <w:rPr>
                <w:sz w:val="16"/>
                <w:szCs w:val="16"/>
              </w:rPr>
            </w:pPr>
            <w:r w:rsidRPr="00F02BAF">
              <w:rPr>
                <w:sz w:val="16"/>
                <w:szCs w:val="16"/>
              </w:rPr>
              <w:t>Weak</w:t>
            </w:r>
          </w:p>
        </w:tc>
      </w:tr>
    </w:tbl>
    <w:p w14:paraId="4FE8BF2C" w14:textId="45E853CB" w:rsidR="004E7F94" w:rsidRPr="00F02BAF" w:rsidRDefault="004E7F94" w:rsidP="00531194">
      <w:pPr>
        <w:spacing w:beforeLines="50" w:before="180"/>
        <w:jc w:val="both"/>
      </w:pPr>
      <w:r w:rsidRPr="003008B1">
        <w:rPr>
          <w:lang w:eastAsia="zh-TW"/>
        </w:rPr>
        <w:t xml:space="preserve">In </w:t>
      </w:r>
      <w:r w:rsidR="003008B1" w:rsidRPr="003008B1">
        <w:fldChar w:fldCharType="begin"/>
      </w:r>
      <w:r w:rsidR="003008B1" w:rsidRPr="003008B1">
        <w:rPr>
          <w:lang w:eastAsia="zh-TW"/>
        </w:rPr>
        <w:instrText xml:space="preserve"> REF _Ref236770600 \h </w:instrText>
      </w:r>
      <w:r w:rsidR="003008B1" w:rsidRPr="003008B1">
        <w:instrText xml:space="preserve"> \* MERGEFORMAT </w:instrText>
      </w:r>
      <w:r w:rsidR="003008B1" w:rsidRPr="003008B1">
        <w:fldChar w:fldCharType="separate"/>
      </w:r>
      <w:r w:rsidR="00B230F2" w:rsidRPr="00B230F2">
        <w:t xml:space="preserve">Table </w:t>
      </w:r>
      <w:r w:rsidR="00B230F2" w:rsidRPr="00B230F2">
        <w:rPr>
          <w:noProof/>
        </w:rPr>
        <w:t>13</w:t>
      </w:r>
      <w:r w:rsidR="003008B1" w:rsidRPr="003008B1">
        <w:fldChar w:fldCharType="end"/>
      </w:r>
      <w:r w:rsidR="00A72C8F" w:rsidRPr="00A72C8F">
        <w:t>, we present the segment</w:t>
      </w:r>
      <w:r w:rsidR="00A72C8F" w:rsidRPr="00A72C8F">
        <w:noBreakHyphen/>
        <w:t>level top</w:t>
      </w:r>
      <w:r w:rsidR="00A72C8F" w:rsidRPr="00A72C8F">
        <w:noBreakHyphen/>
        <w:t>k SPS</w:t>
      </w:r>
      <w:r w:rsidR="00A72C8F" w:rsidRPr="00A72C8F">
        <w:noBreakHyphen/>
        <w:t>LIME explanation for this correctly classified violation case. The selected segments are predominantly labeled as Fact and Argument, with one Precedent segment, and most of them either support or do not support the violation classification with medium or weak strength values. These passages focus on the applicant’s request for withdrawal of the statement and apology, his claim for damages, the description of the social</w:t>
      </w:r>
      <w:r w:rsidR="00A72C8F" w:rsidRPr="00A72C8F">
        <w:noBreakHyphen/>
        <w:t xml:space="preserve">media account as publicly </w:t>
      </w:r>
      <w:r w:rsidR="00A72C8F" w:rsidRPr="00A72C8F">
        <w:lastRenderedPageBreak/>
        <w:t xml:space="preserve">accessible to a very large number of users, and the courts’ treatment of legal costs and the applicant’s personal protection under domestic law and </w:t>
      </w:r>
      <w:proofErr w:type="gramStart"/>
      <w:r w:rsidR="00A72C8F" w:rsidRPr="00A72C8F">
        <w:t>fundamental</w:t>
      </w:r>
      <w:r w:rsidR="00A72C8F" w:rsidRPr="00A72C8F">
        <w:noBreakHyphen/>
        <w:t>rights</w:t>
      </w:r>
      <w:proofErr w:type="gramEnd"/>
      <w:r w:rsidR="00A72C8F" w:rsidRPr="00A72C8F">
        <w:t xml:space="preserve"> provisions. This pattern suggests that SPS</w:t>
      </w:r>
      <w:r w:rsidR="00A72C8F" w:rsidRPr="00A72C8F">
        <w:noBreakHyphen/>
        <w:t>LIME builds its explanation by highlighting factual and argumentative material about the public nature and impact of the impugned expression, rather than by relying on abstract doctrinal formulations of proportionality analysis, thereby aligning the explanation with the case outcome while still privileging narrative over formal legal reasoning. The corresponding SPS</w:t>
      </w:r>
      <w:r w:rsidR="00A72C8F" w:rsidRPr="00A72C8F">
        <w:noBreakHyphen/>
        <w:t>LIME explanation heatmap for this case is shown in</w:t>
      </w:r>
      <w:r w:rsidR="00A72C8F">
        <w:rPr>
          <w:rFonts w:hint="eastAsia"/>
          <w:lang w:eastAsia="zh-TW"/>
        </w:rPr>
        <w:t xml:space="preserve"> </w:t>
      </w:r>
      <w:r w:rsidRPr="00F02BAF">
        <w:rPr>
          <w:noProof/>
        </w:rPr>
        <w:fldChar w:fldCharType="begin"/>
      </w:r>
      <w:r w:rsidRPr="00F02BAF">
        <w:rPr>
          <w:noProof/>
        </w:rPr>
        <w:instrText xml:space="preserve"> REF _Ref236166982 \h  \* MERGEFORMAT </w:instrText>
      </w:r>
      <w:r w:rsidRPr="00F02BAF">
        <w:rPr>
          <w:noProof/>
        </w:rPr>
      </w:r>
      <w:r w:rsidRPr="00F02BAF">
        <w:rPr>
          <w:noProof/>
        </w:rPr>
        <w:fldChar w:fldCharType="separate"/>
      </w:r>
      <w:r w:rsidR="00B230F2" w:rsidRPr="00B230F2">
        <w:t xml:space="preserve">Fig. </w:t>
      </w:r>
      <w:r w:rsidR="00B230F2" w:rsidRPr="00B230F2">
        <w:rPr>
          <w:noProof/>
        </w:rPr>
        <w:t>10</w:t>
      </w:r>
      <w:r w:rsidRPr="00F02BAF">
        <w:rPr>
          <w:noProof/>
        </w:rPr>
        <w:fldChar w:fldCharType="end"/>
      </w:r>
      <w:r w:rsidRPr="00F02BAF">
        <w:rPr>
          <w:noProof/>
        </w:rPr>
        <w:t>.</w:t>
      </w:r>
    </w:p>
    <w:p w14:paraId="2EFADEB7" w14:textId="77777777" w:rsidR="004E7F94" w:rsidRPr="00F02BAF" w:rsidRDefault="004E7F94" w:rsidP="001E3548">
      <w:pPr>
        <w:jc w:val="center"/>
      </w:pPr>
      <w:r w:rsidRPr="00F02BAF">
        <w:rPr>
          <w:noProof/>
        </w:rPr>
        <w:drawing>
          <wp:inline distT="0" distB="0" distL="0" distR="0" wp14:anchorId="3F3BFD0A" wp14:editId="0D3B489D">
            <wp:extent cx="3481200" cy="5987461"/>
            <wp:effectExtent l="0" t="0" r="5080" b="0"/>
            <wp:docPr id="4426345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34515" name="Picture 442634515"/>
                    <pic:cNvPicPr/>
                  </pic:nvPicPr>
                  <pic:blipFill rotWithShape="1">
                    <a:blip r:embed="rId10" cstate="print">
                      <a:extLst>
                        <a:ext uri="{28A0092B-C50C-407E-A947-70E740481C1C}">
                          <a14:useLocalDpi xmlns:a14="http://schemas.microsoft.com/office/drawing/2010/main" val="0"/>
                        </a:ext>
                      </a:extLst>
                    </a:blip>
                    <a:srcRect r="1381" b="1011"/>
                    <a:stretch>
                      <a:fillRect/>
                    </a:stretch>
                  </pic:blipFill>
                  <pic:spPr bwMode="auto">
                    <a:xfrm>
                      <a:off x="0" y="0"/>
                      <a:ext cx="3481200" cy="5987461"/>
                    </a:xfrm>
                    <a:prstGeom prst="rect">
                      <a:avLst/>
                    </a:prstGeom>
                    <a:ln>
                      <a:noFill/>
                    </a:ln>
                    <a:extLst>
                      <a:ext uri="{53640926-AAD7-44D8-BBD7-CCE9431645EC}">
                        <a14:shadowObscured xmlns:a14="http://schemas.microsoft.com/office/drawing/2010/main"/>
                      </a:ext>
                    </a:extLst>
                  </pic:spPr>
                </pic:pic>
              </a:graphicData>
            </a:graphic>
          </wp:inline>
        </w:drawing>
      </w:r>
    </w:p>
    <w:p w14:paraId="693EE340" w14:textId="11606519" w:rsidR="004E7F94" w:rsidRPr="00B230F2" w:rsidRDefault="004E7F94" w:rsidP="003008B1">
      <w:pPr>
        <w:pStyle w:val="Caption"/>
        <w:spacing w:line="240" w:lineRule="exact"/>
        <w:jc w:val="both"/>
        <w:rPr>
          <w:rFonts w:ascii="Times New Roman" w:hAnsi="Times New Roman" w:cs="Times New Roman"/>
          <w:sz w:val="18"/>
          <w:szCs w:val="18"/>
        </w:rPr>
      </w:pPr>
      <w:bookmarkStart w:id="7" w:name="_Ref236166982"/>
      <w:r w:rsidRPr="00B230F2">
        <w:rPr>
          <w:rFonts w:ascii="Times New Roman" w:hAnsi="Times New Roman" w:cs="Times New Roman"/>
          <w:b/>
          <w:bCs/>
          <w:sz w:val="18"/>
          <w:szCs w:val="18"/>
        </w:rPr>
        <w:t xml:space="preserve">Fig. </w:t>
      </w:r>
      <w:r w:rsidRPr="00B230F2">
        <w:rPr>
          <w:rFonts w:ascii="Times New Roman" w:hAnsi="Times New Roman" w:cs="Times New Roman"/>
          <w:b/>
          <w:bCs/>
          <w:sz w:val="18"/>
          <w:szCs w:val="18"/>
        </w:rPr>
        <w:fldChar w:fldCharType="begin"/>
      </w:r>
      <w:r w:rsidRPr="00B230F2">
        <w:rPr>
          <w:rFonts w:ascii="Times New Roman" w:hAnsi="Times New Roman" w:cs="Times New Roman"/>
          <w:b/>
          <w:bCs/>
          <w:sz w:val="18"/>
          <w:szCs w:val="18"/>
        </w:rPr>
        <w:instrText xml:space="preserve"> SEQ Figure \* ARABIC </w:instrText>
      </w:r>
      <w:r w:rsidRPr="00B230F2">
        <w:rPr>
          <w:rFonts w:ascii="Times New Roman" w:hAnsi="Times New Roman" w:cs="Times New Roman"/>
          <w:b/>
          <w:bCs/>
          <w:sz w:val="18"/>
          <w:szCs w:val="18"/>
        </w:rPr>
        <w:fldChar w:fldCharType="separate"/>
      </w:r>
      <w:r w:rsidR="00B230F2" w:rsidRPr="00B230F2">
        <w:rPr>
          <w:rFonts w:ascii="Times New Roman" w:hAnsi="Times New Roman" w:cs="Times New Roman"/>
          <w:b/>
          <w:bCs/>
          <w:noProof/>
          <w:sz w:val="18"/>
          <w:szCs w:val="18"/>
        </w:rPr>
        <w:t>10</w:t>
      </w:r>
      <w:r w:rsidRPr="00B230F2">
        <w:rPr>
          <w:rFonts w:ascii="Times New Roman" w:hAnsi="Times New Roman" w:cs="Times New Roman"/>
          <w:b/>
          <w:bCs/>
          <w:sz w:val="18"/>
          <w:szCs w:val="18"/>
        </w:rPr>
        <w:fldChar w:fldCharType="end"/>
      </w:r>
      <w:bookmarkEnd w:id="7"/>
      <w:r w:rsidRPr="00B230F2">
        <w:rPr>
          <w:rFonts w:ascii="Times New Roman" w:hAnsi="Times New Roman" w:cs="Times New Roman"/>
          <w:b/>
          <w:bCs/>
          <w:sz w:val="18"/>
          <w:szCs w:val="18"/>
        </w:rPr>
        <w:t>.</w:t>
      </w:r>
      <w:r w:rsidRPr="00B230F2">
        <w:rPr>
          <w:rFonts w:ascii="Times New Roman" w:hAnsi="Times New Roman" w:cs="Times New Roman"/>
          <w:sz w:val="18"/>
          <w:szCs w:val="18"/>
        </w:rPr>
        <w:t xml:space="preserve"> </w:t>
      </w:r>
      <w:r w:rsidR="00312BDF" w:rsidRPr="00312BDF">
        <w:rPr>
          <w:rFonts w:ascii="Times New Roman" w:hAnsi="Times New Roman" w:cs="Times New Roman"/>
          <w:sz w:val="18"/>
          <w:szCs w:val="18"/>
        </w:rPr>
        <w:t>SPS</w:t>
      </w:r>
      <w:r w:rsidR="00312BDF" w:rsidRPr="00312BDF">
        <w:rPr>
          <w:rFonts w:ascii="Times New Roman" w:hAnsi="Times New Roman" w:cs="Times New Roman"/>
          <w:sz w:val="18"/>
          <w:szCs w:val="18"/>
        </w:rPr>
        <w:noBreakHyphen/>
        <w:t>LIME explanation heatmap for the correctly classified privacy</w:t>
      </w:r>
      <w:r w:rsidR="00312BDF" w:rsidRPr="00312BDF">
        <w:rPr>
          <w:rFonts w:ascii="Times New Roman" w:hAnsi="Times New Roman" w:cs="Times New Roman"/>
          <w:sz w:val="18"/>
          <w:szCs w:val="18"/>
        </w:rPr>
        <w:noBreakHyphen/>
        <w:t>and</w:t>
      </w:r>
      <w:r w:rsidR="00312BDF" w:rsidRPr="00312BDF">
        <w:rPr>
          <w:rFonts w:ascii="Times New Roman" w:hAnsi="Times New Roman" w:cs="Times New Roman"/>
          <w:sz w:val="18"/>
          <w:szCs w:val="18"/>
        </w:rPr>
        <w:noBreakHyphen/>
        <w:t>reputation case, illustrating the textual regions that most strongly support the finding of a violation of the right to respect for private life.</w:t>
      </w:r>
    </w:p>
    <w:p w14:paraId="2CA1071C" w14:textId="7F50EEE9" w:rsidR="004E7F94" w:rsidRPr="00F02BAF" w:rsidRDefault="004E7F94" w:rsidP="003008B1">
      <w:pPr>
        <w:jc w:val="both"/>
      </w:pPr>
      <w:r w:rsidRPr="00F02BAF">
        <w:t xml:space="preserve">In </w:t>
      </w:r>
      <w:r w:rsidRPr="00F02BAF">
        <w:fldChar w:fldCharType="begin"/>
      </w:r>
      <w:r w:rsidRPr="00F02BAF">
        <w:instrText xml:space="preserve"> REF _Ref236166982 \h  \* MERGEFORMAT </w:instrText>
      </w:r>
      <w:r w:rsidRPr="00F02BAF">
        <w:fldChar w:fldCharType="separate"/>
      </w:r>
      <w:r w:rsidR="00B230F2" w:rsidRPr="00B230F2">
        <w:t xml:space="preserve">Fig. </w:t>
      </w:r>
      <w:r w:rsidR="00B230F2" w:rsidRPr="00B230F2">
        <w:rPr>
          <w:noProof/>
        </w:rPr>
        <w:t>10</w:t>
      </w:r>
      <w:r w:rsidRPr="00F02BAF">
        <w:fldChar w:fldCharType="end"/>
      </w:r>
      <w:r w:rsidR="00A72C8F" w:rsidRPr="00A72C8F">
        <w:t>, the SPS</w:t>
      </w:r>
      <w:r w:rsidR="00A72C8F" w:rsidRPr="00A72C8F">
        <w:noBreakHyphen/>
        <w:t>LIME heatmap highlights as very supportive the passages describing the insulting description of the applicant as a rapist, the applicant’s request for damages, and the wide dissemination of the altered picture via an open social</w:t>
      </w:r>
      <w:r w:rsidR="00A72C8F" w:rsidRPr="00A72C8F">
        <w:noBreakHyphen/>
        <w:t xml:space="preserve">media account, all of which underpin the court’s finding of a </w:t>
      </w:r>
      <w:r w:rsidR="00A72C8F" w:rsidRPr="00A72C8F">
        <w:lastRenderedPageBreak/>
        <w:t>violation of privacy and reputation. By marking entire, semantically coherent segments rather than isolated words, SPS</w:t>
      </w:r>
      <w:r w:rsidR="00A72C8F" w:rsidRPr="00A72C8F">
        <w:noBreakHyphen/>
        <w:t>LIME preserves the narrative context of the impugned conduct and the concrete forms of reputational and personal harm, which is crucial for assessing violations and is consistent with the high LRA score reported earlier.</w:t>
      </w:r>
    </w:p>
    <w:p w14:paraId="389A967D" w14:textId="55BCF95F" w:rsidR="004E7F94" w:rsidRPr="00B230F2" w:rsidRDefault="004E7F94" w:rsidP="00B230F2">
      <w:pPr>
        <w:pStyle w:val="heading2"/>
        <w:numPr>
          <w:ilvl w:val="0"/>
          <w:numId w:val="0"/>
        </w:numPr>
        <w:spacing w:beforeLines="50" w:before="180"/>
        <w:ind w:left="567" w:hanging="567"/>
        <w:rPr>
          <w:bCs/>
        </w:rPr>
      </w:pPr>
      <w:r w:rsidRPr="00B230F2">
        <w:rPr>
          <w:bCs/>
        </w:rPr>
        <w:t xml:space="preserve">Case Study 4: Incorrect </w:t>
      </w:r>
      <w:r w:rsidRPr="00B230F2">
        <w:rPr>
          <w:rFonts w:hint="eastAsia"/>
          <w:bCs/>
        </w:rPr>
        <w:t xml:space="preserve">Classification </w:t>
      </w:r>
      <w:r w:rsidRPr="00B230F2">
        <w:rPr>
          <w:bCs/>
        </w:rPr>
        <w:t>on ECtHR</w:t>
      </w:r>
    </w:p>
    <w:p w14:paraId="2E7A268C" w14:textId="77777777" w:rsidR="00312BDF" w:rsidRPr="00312BDF" w:rsidRDefault="00312BDF" w:rsidP="00312BDF">
      <w:pPr>
        <w:jc w:val="both"/>
      </w:pPr>
      <w:r w:rsidRPr="00312BDF">
        <w:t>The fourth case is a failure example involving fair</w:t>
      </w:r>
      <w:r w:rsidRPr="00312BDF">
        <w:noBreakHyphen/>
        <w:t xml:space="preserve">trial guarantees in judicial disciplinary proceedings, where the true label is </w:t>
      </w:r>
      <w:proofErr w:type="gramStart"/>
      <w:r w:rsidRPr="00312BDF">
        <w:rPr>
          <w:b/>
          <w:bCs/>
        </w:rPr>
        <w:t>violation</w:t>
      </w:r>
      <w:proofErr w:type="gramEnd"/>
      <w:r w:rsidRPr="00312BDF">
        <w:t xml:space="preserve"> but the model predicted </w:t>
      </w:r>
      <w:r w:rsidRPr="00312BDF">
        <w:rPr>
          <w:b/>
          <w:bCs/>
        </w:rPr>
        <w:t>non</w:t>
      </w:r>
      <w:r w:rsidRPr="00312BDF">
        <w:rPr>
          <w:b/>
          <w:bCs/>
        </w:rPr>
        <w:noBreakHyphen/>
        <w:t>violation</w:t>
      </w:r>
      <w:r w:rsidRPr="00312BDF">
        <w:t>. The decision examines whether disciplinary proceedings against a judge complied with fundamental procedural</w:t>
      </w:r>
      <w:r w:rsidRPr="00312BDF">
        <w:noBreakHyphen/>
        <w:t>fairness standards.</w:t>
      </w:r>
    </w:p>
    <w:p w14:paraId="1F026FFF" w14:textId="3D3FFB4E" w:rsidR="004E7F94" w:rsidRPr="00F02BAF" w:rsidRDefault="00312BDF" w:rsidP="004E7F94">
      <w:pPr>
        <w:jc w:val="both"/>
      </w:pPr>
      <w:r w:rsidRPr="00312BDF">
        <w:t xml:space="preserve">This case focuses on the impartiality and fairness of judicial disciplinary proceedings. The court found a violation of </w:t>
      </w:r>
      <w:proofErr w:type="gramStart"/>
      <w:r w:rsidRPr="00312BDF">
        <w:t>fair</w:t>
      </w:r>
      <w:r w:rsidRPr="00312BDF">
        <w:noBreakHyphen/>
        <w:t>trial</w:t>
      </w:r>
      <w:proofErr w:type="gramEnd"/>
      <w:r w:rsidRPr="00312BDF">
        <w:t xml:space="preserve"> rights because the same judicial body had participated in both drafting the disciplinary charges and later adjudicating them, and its decision was final with no further judicial review available. The case is therefore useful for examining whether the model can identify procedural</w:t>
      </w:r>
      <w:r w:rsidRPr="00312BDF">
        <w:noBreakHyphen/>
        <w:t>fairness issues and distinguish genuinely impartial disciplinary structures from those where the concentration of functions undermines the right to a fair hearing. The top</w:t>
      </w:r>
      <w:r w:rsidRPr="00312BDF">
        <w:noBreakHyphen/>
        <w:t>k segments identified by SPS</w:t>
      </w:r>
      <w:r w:rsidRPr="00312BDF">
        <w:noBreakHyphen/>
        <w:t xml:space="preserve">LIME are shown in </w:t>
      </w:r>
      <w:r w:rsidR="00A54A1B" w:rsidRPr="00A54A1B">
        <w:fldChar w:fldCharType="begin"/>
      </w:r>
      <w:r w:rsidR="00A54A1B" w:rsidRPr="00A54A1B">
        <w:instrText xml:space="preserve"> </w:instrText>
      </w:r>
      <w:r w:rsidR="00A54A1B" w:rsidRPr="00A54A1B">
        <w:rPr>
          <w:rFonts w:hint="eastAsia"/>
        </w:rPr>
        <w:instrText>REF _Ref236770873 \h</w:instrText>
      </w:r>
      <w:r w:rsidR="00A54A1B" w:rsidRPr="00A54A1B">
        <w:instrText xml:space="preserve">  \* MERGEFORMAT </w:instrText>
      </w:r>
      <w:r w:rsidR="00A54A1B" w:rsidRPr="00A54A1B">
        <w:fldChar w:fldCharType="separate"/>
      </w:r>
      <w:r w:rsidR="00B230F2" w:rsidRPr="00B230F2">
        <w:t xml:space="preserve">Table </w:t>
      </w:r>
      <w:r w:rsidR="00B230F2" w:rsidRPr="00B230F2">
        <w:rPr>
          <w:noProof/>
        </w:rPr>
        <w:t>14</w:t>
      </w:r>
      <w:r w:rsidR="00A54A1B" w:rsidRPr="00A54A1B">
        <w:fldChar w:fldCharType="end"/>
      </w:r>
      <w:r w:rsidR="004E7F94" w:rsidRPr="00A54A1B">
        <w:rPr>
          <w:rFonts w:hint="eastAsia"/>
        </w:rPr>
        <w:t>.</w:t>
      </w:r>
    </w:p>
    <w:p w14:paraId="3B8F553D" w14:textId="17159ED0" w:rsidR="004E7F94" w:rsidRPr="00A54A1B" w:rsidRDefault="00A54A1B" w:rsidP="003008B1">
      <w:pPr>
        <w:pStyle w:val="Caption"/>
        <w:keepNext/>
        <w:spacing w:beforeLines="50" w:before="180" w:after="0"/>
        <w:rPr>
          <w:rFonts w:ascii="Times New Roman" w:hAnsi="Times New Roman" w:cs="Times New Roman"/>
          <w:kern w:val="0"/>
          <w:sz w:val="18"/>
          <w:szCs w:val="18"/>
          <w:lang w:eastAsia="en-US"/>
          <w14:ligatures w14:val="none"/>
        </w:rPr>
      </w:pPr>
      <w:bookmarkStart w:id="8" w:name="_Ref236770873"/>
      <w:r w:rsidRPr="00A54A1B">
        <w:rPr>
          <w:rFonts w:ascii="Times New Roman" w:hAnsi="Times New Roman" w:cs="Times New Roman"/>
          <w:b/>
          <w:bCs/>
          <w:sz w:val="18"/>
          <w:szCs w:val="18"/>
        </w:rPr>
        <w:t xml:space="preserve">Table </w:t>
      </w:r>
      <w:r w:rsidRPr="00A54A1B">
        <w:rPr>
          <w:rFonts w:ascii="Times New Roman" w:hAnsi="Times New Roman" w:cs="Times New Roman"/>
          <w:b/>
          <w:bCs/>
          <w:sz w:val="18"/>
          <w:szCs w:val="18"/>
        </w:rPr>
        <w:fldChar w:fldCharType="begin"/>
      </w:r>
      <w:r w:rsidRPr="00A54A1B">
        <w:rPr>
          <w:rFonts w:ascii="Times New Roman" w:hAnsi="Times New Roman" w:cs="Times New Roman"/>
          <w:b/>
          <w:bCs/>
          <w:sz w:val="18"/>
          <w:szCs w:val="18"/>
        </w:rPr>
        <w:instrText xml:space="preserve"> SEQ Table \* ARABIC </w:instrText>
      </w:r>
      <w:r w:rsidRPr="00A54A1B">
        <w:rPr>
          <w:rFonts w:ascii="Times New Roman" w:hAnsi="Times New Roman" w:cs="Times New Roman"/>
          <w:b/>
          <w:bCs/>
          <w:sz w:val="18"/>
          <w:szCs w:val="18"/>
        </w:rPr>
        <w:fldChar w:fldCharType="separate"/>
      </w:r>
      <w:r w:rsidR="00B230F2">
        <w:rPr>
          <w:rFonts w:ascii="Times New Roman" w:hAnsi="Times New Roman" w:cs="Times New Roman"/>
          <w:b/>
          <w:bCs/>
          <w:noProof/>
          <w:sz w:val="18"/>
          <w:szCs w:val="18"/>
        </w:rPr>
        <w:t>14</w:t>
      </w:r>
      <w:r w:rsidRPr="00A54A1B">
        <w:rPr>
          <w:rFonts w:ascii="Times New Roman" w:hAnsi="Times New Roman" w:cs="Times New Roman"/>
          <w:b/>
          <w:bCs/>
          <w:sz w:val="18"/>
          <w:szCs w:val="18"/>
        </w:rPr>
        <w:fldChar w:fldCharType="end"/>
      </w:r>
      <w:bookmarkEnd w:id="8"/>
      <w:r w:rsidRPr="00A54A1B">
        <w:rPr>
          <w:rFonts w:ascii="Times New Roman" w:hAnsi="Times New Roman" w:cs="Times New Roman"/>
          <w:sz w:val="18"/>
          <w:szCs w:val="18"/>
          <w:lang w:eastAsia="en-US"/>
        </w:rPr>
        <w:t xml:space="preserve"> </w:t>
      </w:r>
      <w:r w:rsidR="00312BDF" w:rsidRPr="00312BDF">
        <w:rPr>
          <w:rFonts w:ascii="Times New Roman" w:hAnsi="Times New Roman" w:cs="Times New Roman"/>
          <w:kern w:val="0"/>
          <w:sz w:val="18"/>
          <w:szCs w:val="18"/>
          <w:lang w:eastAsia="en-US"/>
          <w14:ligatures w14:val="none"/>
        </w:rPr>
        <w:t>Top</w:t>
      </w:r>
      <w:r w:rsidR="00312BDF" w:rsidRPr="00312BDF">
        <w:rPr>
          <w:rFonts w:ascii="Times New Roman" w:hAnsi="Times New Roman" w:cs="Times New Roman"/>
          <w:kern w:val="0"/>
          <w:sz w:val="18"/>
          <w:szCs w:val="18"/>
          <w:lang w:eastAsia="en-US"/>
          <w14:ligatures w14:val="none"/>
        </w:rPr>
        <w:noBreakHyphen/>
        <w:t>k segments for the judicial</w:t>
      </w:r>
      <w:r w:rsidR="00312BDF" w:rsidRPr="00312BDF">
        <w:rPr>
          <w:rFonts w:ascii="Times New Roman" w:hAnsi="Times New Roman" w:cs="Times New Roman"/>
          <w:kern w:val="0"/>
          <w:sz w:val="18"/>
          <w:szCs w:val="18"/>
          <w:lang w:eastAsia="en-US"/>
          <w14:ligatures w14:val="none"/>
        </w:rPr>
        <w:noBreakHyphen/>
        <w:t>disciplinary fair</w:t>
      </w:r>
      <w:r w:rsidR="00312BDF" w:rsidRPr="00312BDF">
        <w:rPr>
          <w:rFonts w:ascii="Times New Roman" w:hAnsi="Times New Roman" w:cs="Times New Roman"/>
          <w:kern w:val="0"/>
          <w:sz w:val="18"/>
          <w:szCs w:val="18"/>
          <w:lang w:eastAsia="en-US"/>
          <w14:ligatures w14:val="none"/>
        </w:rPr>
        <w:noBreakHyphen/>
        <w:t>trial case, misclassified as "non</w:t>
      </w:r>
      <w:r w:rsidR="00312BDF" w:rsidRPr="00312BDF">
        <w:rPr>
          <w:rFonts w:ascii="Times New Roman" w:hAnsi="Times New Roman" w:cs="Times New Roman"/>
          <w:kern w:val="0"/>
          <w:sz w:val="18"/>
          <w:szCs w:val="18"/>
          <w:lang w:eastAsia="en-US"/>
          <w14:ligatures w14:val="none"/>
        </w:rPr>
        <w:noBreakHyphen/>
        <w:t>violation".</w:t>
      </w: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29"/>
        <w:gridCol w:w="4878"/>
        <w:gridCol w:w="777"/>
        <w:gridCol w:w="1222"/>
      </w:tblGrid>
      <w:tr w:rsidR="004E7F94" w:rsidRPr="00F02BAF" w14:paraId="292EFCBA" w14:textId="77777777" w:rsidTr="00477C89">
        <w:tc>
          <w:tcPr>
            <w:tcW w:w="865" w:type="pct"/>
            <w:tcBorders>
              <w:top w:val="nil"/>
              <w:bottom w:val="single" w:sz="12" w:space="0" w:color="0F4761" w:themeColor="accent1" w:themeShade="BF"/>
            </w:tcBorders>
            <w:vAlign w:val="center"/>
          </w:tcPr>
          <w:p w14:paraId="04C5E991" w14:textId="77777777" w:rsidR="004E7F94" w:rsidRPr="00F02BAF" w:rsidRDefault="004E7F94" w:rsidP="0098432F">
            <w:pPr>
              <w:spacing w:line="220" w:lineRule="exact"/>
              <w:rPr>
                <w:b/>
                <w:bCs/>
                <w:sz w:val="16"/>
                <w:szCs w:val="16"/>
              </w:rPr>
            </w:pPr>
            <w:r w:rsidRPr="00F02BAF">
              <w:rPr>
                <w:b/>
                <w:bCs/>
                <w:sz w:val="16"/>
                <w:szCs w:val="16"/>
              </w:rPr>
              <w:t>Rhetorical Role</w:t>
            </w:r>
          </w:p>
        </w:tc>
        <w:tc>
          <w:tcPr>
            <w:tcW w:w="2941" w:type="pct"/>
            <w:tcBorders>
              <w:top w:val="nil"/>
              <w:bottom w:val="single" w:sz="12" w:space="0" w:color="0F4761" w:themeColor="accent1" w:themeShade="BF"/>
            </w:tcBorders>
            <w:vAlign w:val="center"/>
          </w:tcPr>
          <w:p w14:paraId="379E2270" w14:textId="77777777" w:rsidR="004E7F94" w:rsidRPr="00F02BAF" w:rsidRDefault="004E7F94" w:rsidP="0098432F">
            <w:pPr>
              <w:spacing w:line="220" w:lineRule="exact"/>
              <w:rPr>
                <w:b/>
                <w:bCs/>
                <w:sz w:val="16"/>
                <w:szCs w:val="16"/>
              </w:rPr>
            </w:pPr>
            <w:r w:rsidRPr="00F02BAF">
              <w:rPr>
                <w:b/>
                <w:bCs/>
                <w:sz w:val="16"/>
                <w:szCs w:val="16"/>
              </w:rPr>
              <w:t>Segment Text</w:t>
            </w:r>
          </w:p>
        </w:tc>
        <w:tc>
          <w:tcPr>
            <w:tcW w:w="454" w:type="pct"/>
            <w:tcBorders>
              <w:top w:val="nil"/>
              <w:bottom w:val="single" w:sz="12" w:space="0" w:color="0F4761" w:themeColor="accent1" w:themeShade="BF"/>
            </w:tcBorders>
            <w:vAlign w:val="center"/>
          </w:tcPr>
          <w:p w14:paraId="489BF675" w14:textId="77777777" w:rsidR="004E7F94" w:rsidRPr="00F02BAF" w:rsidRDefault="004E7F94" w:rsidP="0098432F">
            <w:pPr>
              <w:spacing w:line="220" w:lineRule="exact"/>
              <w:rPr>
                <w:b/>
                <w:bCs/>
                <w:sz w:val="16"/>
                <w:szCs w:val="16"/>
              </w:rPr>
            </w:pPr>
            <w:r w:rsidRPr="00F02BAF">
              <w:rPr>
                <w:b/>
                <w:bCs/>
                <w:sz w:val="16"/>
                <w:szCs w:val="16"/>
              </w:rPr>
              <w:t>Support Class</w:t>
            </w:r>
          </w:p>
        </w:tc>
        <w:tc>
          <w:tcPr>
            <w:tcW w:w="740" w:type="pct"/>
            <w:tcBorders>
              <w:top w:val="nil"/>
              <w:bottom w:val="single" w:sz="12" w:space="0" w:color="0F4761" w:themeColor="accent1" w:themeShade="BF"/>
            </w:tcBorders>
            <w:vAlign w:val="center"/>
          </w:tcPr>
          <w:p w14:paraId="224AC331" w14:textId="77777777" w:rsidR="004E7F94" w:rsidRPr="00F02BAF" w:rsidRDefault="004E7F94" w:rsidP="0098432F">
            <w:pPr>
              <w:spacing w:line="220" w:lineRule="exact"/>
              <w:rPr>
                <w:b/>
                <w:bCs/>
                <w:sz w:val="16"/>
                <w:szCs w:val="16"/>
              </w:rPr>
            </w:pPr>
            <w:r w:rsidRPr="00F02BAF">
              <w:rPr>
                <w:b/>
                <w:bCs/>
                <w:sz w:val="16"/>
                <w:szCs w:val="16"/>
              </w:rPr>
              <w:t>Strength</w:t>
            </w:r>
          </w:p>
        </w:tc>
      </w:tr>
      <w:tr w:rsidR="004E7F94" w:rsidRPr="00F02BAF" w14:paraId="1433D6B6" w14:textId="77777777" w:rsidTr="00477C89">
        <w:tc>
          <w:tcPr>
            <w:tcW w:w="865" w:type="pct"/>
            <w:tcBorders>
              <w:top w:val="single" w:sz="12" w:space="0" w:color="0F4761" w:themeColor="accent1" w:themeShade="BF"/>
            </w:tcBorders>
          </w:tcPr>
          <w:p w14:paraId="0AA241D1" w14:textId="77777777" w:rsidR="004E7F94" w:rsidRPr="00F02BAF" w:rsidRDefault="004E7F94" w:rsidP="0098432F">
            <w:pPr>
              <w:spacing w:line="220" w:lineRule="exact"/>
              <w:rPr>
                <w:b/>
                <w:bCs/>
                <w:sz w:val="16"/>
                <w:szCs w:val="16"/>
              </w:rPr>
            </w:pPr>
            <w:r w:rsidRPr="00F02BAF">
              <w:rPr>
                <w:b/>
                <w:bCs/>
                <w:sz w:val="16"/>
                <w:szCs w:val="16"/>
              </w:rPr>
              <w:t>Fact</w:t>
            </w:r>
          </w:p>
        </w:tc>
        <w:tc>
          <w:tcPr>
            <w:tcW w:w="2941" w:type="pct"/>
            <w:tcBorders>
              <w:top w:val="single" w:sz="12" w:space="0" w:color="0F4761" w:themeColor="accent1" w:themeShade="BF"/>
            </w:tcBorders>
          </w:tcPr>
          <w:p w14:paraId="0DC3A507" w14:textId="77777777" w:rsidR="004E7F94" w:rsidRPr="00F02BAF" w:rsidRDefault="004E7F94" w:rsidP="0098432F">
            <w:pPr>
              <w:spacing w:line="220" w:lineRule="exact"/>
              <w:jc w:val="both"/>
              <w:rPr>
                <w:sz w:val="16"/>
                <w:szCs w:val="16"/>
              </w:rPr>
            </w:pPr>
            <w:r w:rsidRPr="00F02BAF">
              <w:rPr>
                <w:sz w:val="16"/>
                <w:szCs w:val="16"/>
              </w:rPr>
              <w:t>He informed the applicant that the proceedings would not be held in public unless he so wished and that, pending the proceedings, he would have to refrain from carrying out his duties.</w:t>
            </w:r>
          </w:p>
        </w:tc>
        <w:tc>
          <w:tcPr>
            <w:tcW w:w="454" w:type="pct"/>
            <w:tcBorders>
              <w:top w:val="single" w:sz="12" w:space="0" w:color="0F4761" w:themeColor="accent1" w:themeShade="BF"/>
            </w:tcBorders>
          </w:tcPr>
          <w:p w14:paraId="259EB691" w14:textId="77777777" w:rsidR="004E7F94" w:rsidRPr="00F02BAF" w:rsidRDefault="004E7F94" w:rsidP="0098432F">
            <w:pPr>
              <w:spacing w:line="220" w:lineRule="exact"/>
              <w:rPr>
                <w:sz w:val="16"/>
                <w:szCs w:val="16"/>
              </w:rPr>
            </w:pPr>
            <w:r w:rsidRPr="00F02BAF">
              <w:rPr>
                <w:sz w:val="16"/>
                <w:szCs w:val="16"/>
              </w:rPr>
              <w:t>No</w:t>
            </w:r>
          </w:p>
        </w:tc>
        <w:tc>
          <w:tcPr>
            <w:tcW w:w="740" w:type="pct"/>
            <w:tcBorders>
              <w:top w:val="single" w:sz="12" w:space="0" w:color="0F4761" w:themeColor="accent1" w:themeShade="BF"/>
            </w:tcBorders>
          </w:tcPr>
          <w:p w14:paraId="54CE94EB" w14:textId="77777777" w:rsidR="004E7F94" w:rsidRPr="00F02BAF" w:rsidRDefault="004E7F94" w:rsidP="0098432F">
            <w:pPr>
              <w:spacing w:line="220" w:lineRule="exact"/>
              <w:rPr>
                <w:sz w:val="16"/>
                <w:szCs w:val="16"/>
              </w:rPr>
            </w:pPr>
            <w:r w:rsidRPr="00F02BAF">
              <w:rPr>
                <w:sz w:val="16"/>
                <w:szCs w:val="16"/>
              </w:rPr>
              <w:t>Strong</w:t>
            </w:r>
          </w:p>
        </w:tc>
      </w:tr>
      <w:tr w:rsidR="004E7F94" w:rsidRPr="00F02BAF" w14:paraId="6A9D3A20" w14:textId="77777777" w:rsidTr="00477C89">
        <w:tc>
          <w:tcPr>
            <w:tcW w:w="865" w:type="pct"/>
          </w:tcPr>
          <w:p w14:paraId="23C0C7B4" w14:textId="77777777" w:rsidR="004E7F94" w:rsidRPr="00F02BAF" w:rsidRDefault="004E7F94" w:rsidP="0098432F">
            <w:pPr>
              <w:spacing w:line="220" w:lineRule="exact"/>
              <w:rPr>
                <w:b/>
                <w:bCs/>
                <w:sz w:val="16"/>
                <w:szCs w:val="16"/>
              </w:rPr>
            </w:pPr>
            <w:r w:rsidRPr="00F02BAF">
              <w:rPr>
                <w:b/>
                <w:bCs/>
                <w:sz w:val="16"/>
                <w:szCs w:val="16"/>
              </w:rPr>
              <w:t>Precedent</w:t>
            </w:r>
          </w:p>
        </w:tc>
        <w:tc>
          <w:tcPr>
            <w:tcW w:w="2941" w:type="pct"/>
          </w:tcPr>
          <w:p w14:paraId="35BA1816" w14:textId="77777777" w:rsidR="004E7F94" w:rsidRPr="00F02BAF" w:rsidRDefault="004E7F94" w:rsidP="0098432F">
            <w:pPr>
              <w:spacing w:line="220" w:lineRule="exact"/>
              <w:jc w:val="both"/>
              <w:rPr>
                <w:sz w:val="16"/>
                <w:szCs w:val="16"/>
              </w:rPr>
            </w:pPr>
            <w:r w:rsidRPr="00F02BAF">
              <w:rPr>
                <w:sz w:val="16"/>
                <w:szCs w:val="16"/>
              </w:rPr>
              <w:t>Furthermore, with regard to the investigation and the object of the hearing, he observed: “A judicial official with the duties of prosecutor was not appointed, a possibility which is referred to in Rule 16, and we adopted the following approach: ever...</w:t>
            </w:r>
          </w:p>
        </w:tc>
        <w:tc>
          <w:tcPr>
            <w:tcW w:w="454" w:type="pct"/>
          </w:tcPr>
          <w:p w14:paraId="3F3AD9B6" w14:textId="77777777" w:rsidR="004E7F94" w:rsidRPr="00F02BAF" w:rsidRDefault="004E7F94" w:rsidP="0098432F">
            <w:pPr>
              <w:spacing w:line="220" w:lineRule="exact"/>
              <w:rPr>
                <w:sz w:val="16"/>
                <w:szCs w:val="16"/>
              </w:rPr>
            </w:pPr>
            <w:r w:rsidRPr="00F02BAF">
              <w:rPr>
                <w:sz w:val="16"/>
                <w:szCs w:val="16"/>
              </w:rPr>
              <w:t>Yes</w:t>
            </w:r>
          </w:p>
        </w:tc>
        <w:tc>
          <w:tcPr>
            <w:tcW w:w="740" w:type="pct"/>
          </w:tcPr>
          <w:p w14:paraId="4FBEED2A" w14:textId="77777777" w:rsidR="004E7F94" w:rsidRPr="00F02BAF" w:rsidRDefault="004E7F94" w:rsidP="0098432F">
            <w:pPr>
              <w:spacing w:line="220" w:lineRule="exact"/>
              <w:rPr>
                <w:sz w:val="16"/>
                <w:szCs w:val="16"/>
              </w:rPr>
            </w:pPr>
            <w:r w:rsidRPr="00F02BAF">
              <w:rPr>
                <w:sz w:val="16"/>
                <w:szCs w:val="16"/>
              </w:rPr>
              <w:t>Strong</w:t>
            </w:r>
          </w:p>
        </w:tc>
      </w:tr>
      <w:tr w:rsidR="004E7F94" w:rsidRPr="00F02BAF" w14:paraId="1B5AF443" w14:textId="77777777" w:rsidTr="00477C89">
        <w:tc>
          <w:tcPr>
            <w:tcW w:w="865" w:type="pct"/>
          </w:tcPr>
          <w:p w14:paraId="2CCBBD9C" w14:textId="77777777" w:rsidR="004E7F94" w:rsidRPr="00F02BAF" w:rsidRDefault="004E7F94" w:rsidP="0098432F">
            <w:pPr>
              <w:spacing w:line="220" w:lineRule="exact"/>
              <w:rPr>
                <w:b/>
                <w:bCs/>
                <w:sz w:val="16"/>
                <w:szCs w:val="16"/>
              </w:rPr>
            </w:pPr>
            <w:r w:rsidRPr="00F02BAF">
              <w:rPr>
                <w:b/>
                <w:bCs/>
                <w:sz w:val="16"/>
                <w:szCs w:val="16"/>
              </w:rPr>
              <w:t>Ratio of the Decision</w:t>
            </w:r>
          </w:p>
        </w:tc>
        <w:tc>
          <w:tcPr>
            <w:tcW w:w="2941" w:type="pct"/>
          </w:tcPr>
          <w:p w14:paraId="1F35D74D" w14:textId="77777777" w:rsidR="004E7F94" w:rsidRPr="00F02BAF" w:rsidRDefault="004E7F94" w:rsidP="0098432F">
            <w:pPr>
              <w:spacing w:line="220" w:lineRule="exact"/>
              <w:jc w:val="both"/>
              <w:rPr>
                <w:sz w:val="16"/>
                <w:szCs w:val="16"/>
              </w:rPr>
            </w:pPr>
            <w:r w:rsidRPr="00F02BAF">
              <w:rPr>
                <w:sz w:val="16"/>
                <w:szCs w:val="16"/>
              </w:rPr>
              <w:t>He was paid a retirement lump sum and started receiving his pension.</w:t>
            </w:r>
          </w:p>
        </w:tc>
        <w:tc>
          <w:tcPr>
            <w:tcW w:w="454" w:type="pct"/>
          </w:tcPr>
          <w:p w14:paraId="6F915F57" w14:textId="77777777" w:rsidR="004E7F94" w:rsidRPr="00F02BAF" w:rsidRDefault="004E7F94" w:rsidP="0098432F">
            <w:pPr>
              <w:spacing w:line="220" w:lineRule="exact"/>
              <w:rPr>
                <w:sz w:val="16"/>
                <w:szCs w:val="16"/>
              </w:rPr>
            </w:pPr>
            <w:r w:rsidRPr="00F02BAF">
              <w:rPr>
                <w:sz w:val="16"/>
                <w:szCs w:val="16"/>
              </w:rPr>
              <w:t>Yes</w:t>
            </w:r>
          </w:p>
        </w:tc>
        <w:tc>
          <w:tcPr>
            <w:tcW w:w="740" w:type="pct"/>
          </w:tcPr>
          <w:p w14:paraId="3703798D" w14:textId="77777777" w:rsidR="004E7F94" w:rsidRPr="00F02BAF" w:rsidRDefault="004E7F94" w:rsidP="0098432F">
            <w:pPr>
              <w:spacing w:line="220" w:lineRule="exact"/>
              <w:rPr>
                <w:sz w:val="16"/>
                <w:szCs w:val="16"/>
              </w:rPr>
            </w:pPr>
            <w:r w:rsidRPr="00F02BAF">
              <w:rPr>
                <w:sz w:val="16"/>
                <w:szCs w:val="16"/>
              </w:rPr>
              <w:t>Strong</w:t>
            </w:r>
          </w:p>
        </w:tc>
      </w:tr>
      <w:tr w:rsidR="004E7F94" w:rsidRPr="00F02BAF" w14:paraId="0A169695" w14:textId="77777777" w:rsidTr="00477C89">
        <w:tc>
          <w:tcPr>
            <w:tcW w:w="865" w:type="pct"/>
          </w:tcPr>
          <w:p w14:paraId="0B59603F" w14:textId="77777777" w:rsidR="004E7F94" w:rsidRPr="00F02BAF" w:rsidRDefault="004E7F94" w:rsidP="0098432F">
            <w:pPr>
              <w:spacing w:line="220" w:lineRule="exact"/>
              <w:rPr>
                <w:b/>
                <w:bCs/>
                <w:sz w:val="16"/>
                <w:szCs w:val="16"/>
              </w:rPr>
            </w:pPr>
            <w:r w:rsidRPr="00F02BAF">
              <w:rPr>
                <w:b/>
                <w:bCs/>
                <w:sz w:val="16"/>
                <w:szCs w:val="16"/>
              </w:rPr>
              <w:t>Fact</w:t>
            </w:r>
          </w:p>
        </w:tc>
        <w:tc>
          <w:tcPr>
            <w:tcW w:w="2941" w:type="pct"/>
          </w:tcPr>
          <w:p w14:paraId="7ECE034F" w14:textId="77777777" w:rsidR="004E7F94" w:rsidRPr="00F02BAF" w:rsidRDefault="004E7F94" w:rsidP="0098432F">
            <w:pPr>
              <w:spacing w:line="220" w:lineRule="exact"/>
              <w:jc w:val="both"/>
              <w:rPr>
                <w:sz w:val="16"/>
                <w:szCs w:val="16"/>
              </w:rPr>
            </w:pPr>
            <w:r w:rsidRPr="00F02BAF">
              <w:rPr>
                <w:sz w:val="16"/>
                <w:szCs w:val="16"/>
              </w:rPr>
              <w:t>He argued that that was contrary to the rules of natural justice and the right to a fair trial.</w:t>
            </w:r>
          </w:p>
        </w:tc>
        <w:tc>
          <w:tcPr>
            <w:tcW w:w="454" w:type="pct"/>
          </w:tcPr>
          <w:p w14:paraId="4061F745" w14:textId="77777777" w:rsidR="004E7F94" w:rsidRPr="00F02BAF" w:rsidRDefault="004E7F94" w:rsidP="0098432F">
            <w:pPr>
              <w:spacing w:line="220" w:lineRule="exact"/>
              <w:rPr>
                <w:sz w:val="16"/>
                <w:szCs w:val="16"/>
              </w:rPr>
            </w:pPr>
            <w:r w:rsidRPr="00F02BAF">
              <w:rPr>
                <w:sz w:val="16"/>
                <w:szCs w:val="16"/>
              </w:rPr>
              <w:t>Yes</w:t>
            </w:r>
          </w:p>
        </w:tc>
        <w:tc>
          <w:tcPr>
            <w:tcW w:w="740" w:type="pct"/>
          </w:tcPr>
          <w:p w14:paraId="0957D86E" w14:textId="77777777" w:rsidR="004E7F94" w:rsidRPr="00F02BAF" w:rsidRDefault="004E7F94" w:rsidP="0098432F">
            <w:pPr>
              <w:spacing w:line="220" w:lineRule="exact"/>
              <w:rPr>
                <w:sz w:val="16"/>
                <w:szCs w:val="16"/>
              </w:rPr>
            </w:pPr>
            <w:r w:rsidRPr="00F02BAF">
              <w:rPr>
                <w:sz w:val="16"/>
                <w:szCs w:val="16"/>
              </w:rPr>
              <w:t>Medium</w:t>
            </w:r>
          </w:p>
        </w:tc>
      </w:tr>
      <w:tr w:rsidR="004E7F94" w:rsidRPr="00F02BAF" w14:paraId="738A69BD" w14:textId="77777777" w:rsidTr="00477C89">
        <w:tc>
          <w:tcPr>
            <w:tcW w:w="865" w:type="pct"/>
          </w:tcPr>
          <w:p w14:paraId="1F9B8276" w14:textId="77777777" w:rsidR="004E7F94" w:rsidRPr="00F02BAF" w:rsidRDefault="004E7F94" w:rsidP="0098432F">
            <w:pPr>
              <w:spacing w:line="220" w:lineRule="exact"/>
              <w:rPr>
                <w:b/>
                <w:bCs/>
                <w:sz w:val="16"/>
                <w:szCs w:val="16"/>
              </w:rPr>
            </w:pPr>
            <w:r w:rsidRPr="00F02BAF">
              <w:rPr>
                <w:b/>
                <w:bCs/>
                <w:sz w:val="16"/>
                <w:szCs w:val="16"/>
              </w:rPr>
              <w:t>Argument</w:t>
            </w:r>
          </w:p>
        </w:tc>
        <w:tc>
          <w:tcPr>
            <w:tcW w:w="2941" w:type="pct"/>
          </w:tcPr>
          <w:p w14:paraId="2BE8A26A" w14:textId="77777777" w:rsidR="004E7F94" w:rsidRPr="00F02BAF" w:rsidRDefault="004E7F94" w:rsidP="0098432F">
            <w:pPr>
              <w:spacing w:line="220" w:lineRule="exact"/>
              <w:jc w:val="both"/>
              <w:rPr>
                <w:sz w:val="16"/>
                <w:szCs w:val="16"/>
              </w:rPr>
            </w:pPr>
            <w:r w:rsidRPr="00F02BAF">
              <w:rPr>
                <w:sz w:val="16"/>
                <w:szCs w:val="16"/>
              </w:rPr>
              <w:t xml:space="preserve">In brief, </w:t>
            </w:r>
            <w:proofErr w:type="spellStart"/>
            <w:r w:rsidRPr="00F02BAF">
              <w:rPr>
                <w:sz w:val="16"/>
                <w:szCs w:val="16"/>
              </w:rPr>
              <w:t>Mr</w:t>
            </w:r>
            <w:proofErr w:type="spellEnd"/>
            <w:r w:rsidRPr="00F02BAF">
              <w:rPr>
                <w:sz w:val="16"/>
                <w:szCs w:val="16"/>
              </w:rPr>
              <w:t xml:space="preserve"> Efstathiou not only accepted but also praised as correct the competence, arising from the Constitution, of the Supreme Council of Judicature, which is made up of the full bench of the Members of the Supreme Court, the highest judicial au...</w:t>
            </w:r>
          </w:p>
        </w:tc>
        <w:tc>
          <w:tcPr>
            <w:tcW w:w="454" w:type="pct"/>
          </w:tcPr>
          <w:p w14:paraId="16AB832B" w14:textId="77777777" w:rsidR="004E7F94" w:rsidRPr="00F02BAF" w:rsidRDefault="004E7F94" w:rsidP="0098432F">
            <w:pPr>
              <w:spacing w:line="220" w:lineRule="exact"/>
              <w:rPr>
                <w:sz w:val="16"/>
                <w:szCs w:val="16"/>
              </w:rPr>
            </w:pPr>
            <w:r w:rsidRPr="00F02BAF">
              <w:rPr>
                <w:sz w:val="16"/>
                <w:szCs w:val="16"/>
              </w:rPr>
              <w:t>Yes</w:t>
            </w:r>
          </w:p>
        </w:tc>
        <w:tc>
          <w:tcPr>
            <w:tcW w:w="740" w:type="pct"/>
          </w:tcPr>
          <w:p w14:paraId="4CD3C71C" w14:textId="77777777" w:rsidR="004E7F94" w:rsidRPr="00F02BAF" w:rsidRDefault="004E7F94" w:rsidP="0098432F">
            <w:pPr>
              <w:spacing w:line="220" w:lineRule="exact"/>
              <w:rPr>
                <w:sz w:val="16"/>
                <w:szCs w:val="16"/>
              </w:rPr>
            </w:pPr>
            <w:r w:rsidRPr="00F02BAF">
              <w:rPr>
                <w:sz w:val="16"/>
                <w:szCs w:val="16"/>
              </w:rPr>
              <w:t>Medium</w:t>
            </w:r>
          </w:p>
        </w:tc>
      </w:tr>
      <w:tr w:rsidR="004E7F94" w:rsidRPr="00F02BAF" w14:paraId="073C0D65" w14:textId="77777777" w:rsidTr="00477C89">
        <w:tc>
          <w:tcPr>
            <w:tcW w:w="865" w:type="pct"/>
          </w:tcPr>
          <w:p w14:paraId="20077F6F" w14:textId="77777777" w:rsidR="004E7F94" w:rsidRPr="00F02BAF" w:rsidRDefault="004E7F94" w:rsidP="0098432F">
            <w:pPr>
              <w:spacing w:line="220" w:lineRule="exact"/>
              <w:rPr>
                <w:b/>
                <w:bCs/>
                <w:sz w:val="16"/>
                <w:szCs w:val="16"/>
              </w:rPr>
            </w:pPr>
            <w:r w:rsidRPr="00F02BAF">
              <w:rPr>
                <w:b/>
                <w:bCs/>
                <w:sz w:val="16"/>
                <w:szCs w:val="16"/>
              </w:rPr>
              <w:t>Fact</w:t>
            </w:r>
          </w:p>
        </w:tc>
        <w:tc>
          <w:tcPr>
            <w:tcW w:w="2941" w:type="pct"/>
          </w:tcPr>
          <w:p w14:paraId="5AB07DE5" w14:textId="77777777" w:rsidR="004E7F94" w:rsidRPr="00F02BAF" w:rsidRDefault="004E7F94" w:rsidP="0098432F">
            <w:pPr>
              <w:spacing w:line="220" w:lineRule="exact"/>
              <w:jc w:val="both"/>
              <w:rPr>
                <w:sz w:val="16"/>
                <w:szCs w:val="16"/>
              </w:rPr>
            </w:pPr>
            <w:r w:rsidRPr="00F02BAF">
              <w:rPr>
                <w:sz w:val="16"/>
                <w:szCs w:val="16"/>
              </w:rPr>
              <w:t xml:space="preserve">That constitutional provision secures the well-known rights that an accused has in a criminal trial and are identical to those secured under Articles 6 §§ 2 and 3 of the European Convention on Human Rights, which was ratified by the House of </w:t>
            </w:r>
            <w:proofErr w:type="spellStart"/>
            <w:r w:rsidRPr="00F02BAF">
              <w:rPr>
                <w:sz w:val="16"/>
                <w:szCs w:val="16"/>
              </w:rPr>
              <w:t>Represen</w:t>
            </w:r>
            <w:proofErr w:type="spellEnd"/>
            <w:r w:rsidRPr="00F02BAF">
              <w:rPr>
                <w:sz w:val="16"/>
                <w:szCs w:val="16"/>
              </w:rPr>
              <w:t>...</w:t>
            </w:r>
          </w:p>
        </w:tc>
        <w:tc>
          <w:tcPr>
            <w:tcW w:w="454" w:type="pct"/>
          </w:tcPr>
          <w:p w14:paraId="3FDA995A" w14:textId="77777777" w:rsidR="004E7F94" w:rsidRPr="00F02BAF" w:rsidRDefault="004E7F94" w:rsidP="0098432F">
            <w:pPr>
              <w:spacing w:line="220" w:lineRule="exact"/>
              <w:rPr>
                <w:sz w:val="16"/>
                <w:szCs w:val="16"/>
              </w:rPr>
            </w:pPr>
            <w:r w:rsidRPr="00F02BAF">
              <w:rPr>
                <w:sz w:val="16"/>
                <w:szCs w:val="16"/>
              </w:rPr>
              <w:t>No</w:t>
            </w:r>
          </w:p>
        </w:tc>
        <w:tc>
          <w:tcPr>
            <w:tcW w:w="740" w:type="pct"/>
          </w:tcPr>
          <w:p w14:paraId="4039DF65" w14:textId="77777777" w:rsidR="004E7F94" w:rsidRPr="00F02BAF" w:rsidRDefault="004E7F94" w:rsidP="0098432F">
            <w:pPr>
              <w:spacing w:line="220" w:lineRule="exact"/>
              <w:rPr>
                <w:sz w:val="16"/>
                <w:szCs w:val="16"/>
              </w:rPr>
            </w:pPr>
            <w:r w:rsidRPr="00F02BAF">
              <w:rPr>
                <w:sz w:val="16"/>
                <w:szCs w:val="16"/>
              </w:rPr>
              <w:t>Medium</w:t>
            </w:r>
          </w:p>
        </w:tc>
      </w:tr>
      <w:tr w:rsidR="004E7F94" w:rsidRPr="00F02BAF" w14:paraId="27E5BF9B" w14:textId="77777777" w:rsidTr="00477C89">
        <w:tc>
          <w:tcPr>
            <w:tcW w:w="865" w:type="pct"/>
          </w:tcPr>
          <w:p w14:paraId="25DA9E28" w14:textId="77777777" w:rsidR="004E7F94" w:rsidRPr="00F02BAF" w:rsidRDefault="004E7F94" w:rsidP="0098432F">
            <w:pPr>
              <w:spacing w:line="220" w:lineRule="exact"/>
              <w:rPr>
                <w:b/>
                <w:bCs/>
                <w:sz w:val="16"/>
                <w:szCs w:val="16"/>
              </w:rPr>
            </w:pPr>
            <w:r w:rsidRPr="00F02BAF">
              <w:rPr>
                <w:b/>
                <w:bCs/>
                <w:sz w:val="16"/>
                <w:szCs w:val="16"/>
              </w:rPr>
              <w:t>Ruling by Present Court</w:t>
            </w:r>
          </w:p>
        </w:tc>
        <w:tc>
          <w:tcPr>
            <w:tcW w:w="2941" w:type="pct"/>
          </w:tcPr>
          <w:p w14:paraId="4EF21C6D" w14:textId="77777777" w:rsidR="004E7F94" w:rsidRPr="00F02BAF" w:rsidRDefault="004E7F94" w:rsidP="0098432F">
            <w:pPr>
              <w:spacing w:line="220" w:lineRule="exact"/>
              <w:jc w:val="both"/>
              <w:rPr>
                <w:sz w:val="16"/>
                <w:szCs w:val="16"/>
              </w:rPr>
            </w:pPr>
            <w:r w:rsidRPr="00F02BAF">
              <w:rPr>
                <w:sz w:val="16"/>
                <w:szCs w:val="16"/>
              </w:rPr>
              <w:t xml:space="preserve">It therefore called the applicant to put forward his </w:t>
            </w:r>
            <w:proofErr w:type="spellStart"/>
            <w:r w:rsidRPr="00F02BAF">
              <w:rPr>
                <w:sz w:val="16"/>
                <w:szCs w:val="16"/>
              </w:rPr>
              <w:t>defence</w:t>
            </w:r>
            <w:proofErr w:type="spellEnd"/>
            <w:r w:rsidRPr="00F02BAF">
              <w:rPr>
                <w:sz w:val="16"/>
                <w:szCs w:val="16"/>
              </w:rPr>
              <w:t>.</w:t>
            </w:r>
          </w:p>
        </w:tc>
        <w:tc>
          <w:tcPr>
            <w:tcW w:w="454" w:type="pct"/>
          </w:tcPr>
          <w:p w14:paraId="39396EC5" w14:textId="77777777" w:rsidR="004E7F94" w:rsidRPr="00F02BAF" w:rsidRDefault="004E7F94" w:rsidP="0098432F">
            <w:pPr>
              <w:spacing w:line="220" w:lineRule="exact"/>
              <w:rPr>
                <w:sz w:val="16"/>
                <w:szCs w:val="16"/>
              </w:rPr>
            </w:pPr>
            <w:r w:rsidRPr="00F02BAF">
              <w:rPr>
                <w:sz w:val="16"/>
                <w:szCs w:val="16"/>
              </w:rPr>
              <w:t>No</w:t>
            </w:r>
          </w:p>
        </w:tc>
        <w:tc>
          <w:tcPr>
            <w:tcW w:w="740" w:type="pct"/>
          </w:tcPr>
          <w:p w14:paraId="6B5B47FE" w14:textId="77777777" w:rsidR="004E7F94" w:rsidRPr="00F02BAF" w:rsidRDefault="004E7F94" w:rsidP="0098432F">
            <w:pPr>
              <w:spacing w:line="220" w:lineRule="exact"/>
              <w:rPr>
                <w:sz w:val="16"/>
                <w:szCs w:val="16"/>
              </w:rPr>
            </w:pPr>
            <w:r w:rsidRPr="00F02BAF">
              <w:rPr>
                <w:sz w:val="16"/>
                <w:szCs w:val="16"/>
              </w:rPr>
              <w:t>Weak</w:t>
            </w:r>
          </w:p>
        </w:tc>
      </w:tr>
      <w:tr w:rsidR="004E7F94" w:rsidRPr="00F02BAF" w14:paraId="13495B20" w14:textId="77777777" w:rsidTr="00477C89">
        <w:tc>
          <w:tcPr>
            <w:tcW w:w="865" w:type="pct"/>
            <w:tcBorders>
              <w:bottom w:val="dashSmallGap" w:sz="4" w:space="0" w:color="000000" w:themeColor="text1"/>
            </w:tcBorders>
          </w:tcPr>
          <w:p w14:paraId="33F4592D" w14:textId="77777777" w:rsidR="004E7F94" w:rsidRPr="00F02BAF" w:rsidRDefault="004E7F94" w:rsidP="0098432F">
            <w:pPr>
              <w:spacing w:line="220" w:lineRule="exact"/>
              <w:rPr>
                <w:b/>
                <w:bCs/>
                <w:sz w:val="16"/>
                <w:szCs w:val="16"/>
              </w:rPr>
            </w:pPr>
            <w:r w:rsidRPr="00F02BAF">
              <w:rPr>
                <w:b/>
                <w:bCs/>
                <w:sz w:val="16"/>
                <w:szCs w:val="16"/>
              </w:rPr>
              <w:t>Ruling by Present Court</w:t>
            </w:r>
          </w:p>
        </w:tc>
        <w:tc>
          <w:tcPr>
            <w:tcW w:w="2941" w:type="pct"/>
            <w:tcBorders>
              <w:bottom w:val="dashSmallGap" w:sz="4" w:space="0" w:color="000000" w:themeColor="text1"/>
            </w:tcBorders>
          </w:tcPr>
          <w:p w14:paraId="400DF235" w14:textId="77777777" w:rsidR="004E7F94" w:rsidRPr="00F02BAF" w:rsidRDefault="004E7F94" w:rsidP="0098432F">
            <w:pPr>
              <w:spacing w:line="220" w:lineRule="exact"/>
              <w:jc w:val="both"/>
              <w:rPr>
                <w:sz w:val="16"/>
                <w:szCs w:val="16"/>
              </w:rPr>
            </w:pPr>
            <w:r w:rsidRPr="00F02BAF">
              <w:rPr>
                <w:sz w:val="16"/>
                <w:szCs w:val="16"/>
              </w:rPr>
              <w:t>Clarifying his position, he said that that is inferred from the fact that the President and Members of the Supreme Council of Judicature put questions to the witnesses.</w:t>
            </w:r>
          </w:p>
        </w:tc>
        <w:tc>
          <w:tcPr>
            <w:tcW w:w="454" w:type="pct"/>
            <w:tcBorders>
              <w:bottom w:val="dashSmallGap" w:sz="4" w:space="0" w:color="000000" w:themeColor="text1"/>
            </w:tcBorders>
          </w:tcPr>
          <w:p w14:paraId="7211B371" w14:textId="77777777" w:rsidR="004E7F94" w:rsidRPr="00F02BAF" w:rsidRDefault="004E7F94" w:rsidP="0098432F">
            <w:pPr>
              <w:spacing w:line="220" w:lineRule="exact"/>
              <w:rPr>
                <w:sz w:val="16"/>
                <w:szCs w:val="16"/>
              </w:rPr>
            </w:pPr>
            <w:r w:rsidRPr="00F02BAF">
              <w:rPr>
                <w:sz w:val="16"/>
                <w:szCs w:val="16"/>
              </w:rPr>
              <w:t>Yes</w:t>
            </w:r>
          </w:p>
        </w:tc>
        <w:tc>
          <w:tcPr>
            <w:tcW w:w="740" w:type="pct"/>
            <w:tcBorders>
              <w:bottom w:val="dashSmallGap" w:sz="4" w:space="0" w:color="000000" w:themeColor="text1"/>
            </w:tcBorders>
          </w:tcPr>
          <w:p w14:paraId="2C1DEE3D" w14:textId="77777777" w:rsidR="004E7F94" w:rsidRPr="00F02BAF" w:rsidRDefault="004E7F94" w:rsidP="0098432F">
            <w:pPr>
              <w:spacing w:line="220" w:lineRule="exact"/>
              <w:rPr>
                <w:sz w:val="16"/>
                <w:szCs w:val="16"/>
              </w:rPr>
            </w:pPr>
            <w:r w:rsidRPr="00F02BAF">
              <w:rPr>
                <w:sz w:val="16"/>
                <w:szCs w:val="16"/>
              </w:rPr>
              <w:t>Weak</w:t>
            </w:r>
          </w:p>
        </w:tc>
      </w:tr>
    </w:tbl>
    <w:p w14:paraId="0039A09D" w14:textId="24478CAE" w:rsidR="004E7F94" w:rsidRPr="00F02BAF" w:rsidRDefault="004E7F94" w:rsidP="00A54A1B">
      <w:pPr>
        <w:spacing w:beforeLines="50" w:before="180"/>
        <w:jc w:val="both"/>
      </w:pPr>
      <w:r w:rsidRPr="00A54A1B">
        <w:rPr>
          <w:lang w:eastAsia="zh-TW"/>
        </w:rPr>
        <w:t>In</w:t>
      </w:r>
      <w:r w:rsidRPr="00A54A1B">
        <w:rPr>
          <w:rFonts w:hint="eastAsia"/>
          <w:lang w:eastAsia="zh-TW"/>
        </w:rPr>
        <w:t xml:space="preserve"> </w:t>
      </w:r>
      <w:r w:rsidR="00A54A1B" w:rsidRPr="00A54A1B">
        <w:fldChar w:fldCharType="begin"/>
      </w:r>
      <w:r w:rsidR="00A54A1B" w:rsidRPr="00A54A1B">
        <w:rPr>
          <w:lang w:eastAsia="zh-TW"/>
        </w:rPr>
        <w:instrText xml:space="preserve"> </w:instrText>
      </w:r>
      <w:r w:rsidR="00A54A1B" w:rsidRPr="00A54A1B">
        <w:rPr>
          <w:rFonts w:hint="eastAsia"/>
          <w:lang w:eastAsia="zh-TW"/>
        </w:rPr>
        <w:instrText>REF _Ref236770873 \h</w:instrText>
      </w:r>
      <w:r w:rsidR="00A54A1B" w:rsidRPr="00A54A1B">
        <w:rPr>
          <w:lang w:eastAsia="zh-TW"/>
        </w:rPr>
        <w:instrText xml:space="preserve"> </w:instrText>
      </w:r>
      <w:r w:rsidR="00A54A1B" w:rsidRPr="00A54A1B">
        <w:instrText xml:space="preserve"> \* MERGEFORMAT </w:instrText>
      </w:r>
      <w:r w:rsidR="00A54A1B" w:rsidRPr="00A54A1B">
        <w:fldChar w:fldCharType="separate"/>
      </w:r>
      <w:r w:rsidR="00B230F2" w:rsidRPr="00B230F2">
        <w:t xml:space="preserve">Table </w:t>
      </w:r>
      <w:r w:rsidR="00B230F2" w:rsidRPr="00B230F2">
        <w:rPr>
          <w:noProof/>
        </w:rPr>
        <w:t>14</w:t>
      </w:r>
      <w:r w:rsidR="00A54A1B" w:rsidRPr="00A54A1B">
        <w:fldChar w:fldCharType="end"/>
      </w:r>
      <w:r w:rsidR="00312BDF" w:rsidRPr="00312BDF">
        <w:t>, we show the segment</w:t>
      </w:r>
      <w:r w:rsidR="00312BDF" w:rsidRPr="00312BDF">
        <w:noBreakHyphen/>
        <w:t>level top</w:t>
      </w:r>
      <w:r w:rsidR="00312BDF" w:rsidRPr="00312BDF">
        <w:noBreakHyphen/>
        <w:t>k SPS</w:t>
      </w:r>
      <w:r w:rsidR="00312BDF" w:rsidRPr="00312BDF">
        <w:noBreakHyphen/>
        <w:t>LIME explanation for this fair</w:t>
      </w:r>
      <w:r w:rsidR="00312BDF" w:rsidRPr="00312BDF">
        <w:noBreakHyphen/>
        <w:t>trial case, which our model incorrectly classified as non</w:t>
      </w:r>
      <w:r w:rsidR="00312BDF" w:rsidRPr="00312BDF">
        <w:noBreakHyphen/>
        <w:t xml:space="preserve">violation. The selected segments span Fact, Precedent, Ratio of the Decision, Argument, and Ruling by Present Court (RPC) roles, and most are marked as supporting the predicted label with strong or medium strength values. These passages describe the applicant’s removal </w:t>
      </w:r>
      <w:r w:rsidR="00312BDF" w:rsidRPr="00312BDF">
        <w:lastRenderedPageBreak/>
        <w:t>from judicial duties, his complaint that the proceedings were contrary to natural justice and the right to a fair trial, the constitutional and fundamental</w:t>
      </w:r>
      <w:r w:rsidR="00312BDF" w:rsidRPr="00312BDF">
        <w:noBreakHyphen/>
        <w:t>rights provisions securing fair</w:t>
      </w:r>
      <w:r w:rsidR="00312BDF" w:rsidRPr="00312BDF">
        <w:noBreakHyphen/>
        <w:t>trial guarantees, and the court’s reasoning on competence and institutional structure, indicating that SPS</w:t>
      </w:r>
      <w:r w:rsidR="00312BDF" w:rsidRPr="00312BDF">
        <w:noBreakHyphen/>
        <w:t>LIME successfully surfaces the doctrinal and institutional context of the case even though the model’s final classification is wrong. The corresponding explanation heatmap for this case is shown in</w:t>
      </w:r>
      <w:r w:rsidRPr="00F02BAF">
        <w:t xml:space="preserve"> </w:t>
      </w:r>
      <w:r w:rsidRPr="00F02BAF">
        <w:fldChar w:fldCharType="begin"/>
      </w:r>
      <w:r w:rsidRPr="00F02BAF">
        <w:instrText xml:space="preserve"> REF _Ref236167283 \h  \* MERGEFORMAT </w:instrText>
      </w:r>
      <w:r w:rsidRPr="00F02BAF">
        <w:fldChar w:fldCharType="separate"/>
      </w:r>
      <w:r w:rsidR="00B230F2" w:rsidRPr="00B230F2">
        <w:t>Fig</w:t>
      </w:r>
      <w:r w:rsidR="00B230F2" w:rsidRPr="00B230F2">
        <w:rPr>
          <w:rFonts w:hint="eastAsia"/>
        </w:rPr>
        <w:t>.</w:t>
      </w:r>
      <w:r w:rsidR="00B230F2" w:rsidRPr="00B230F2">
        <w:t xml:space="preserve"> </w:t>
      </w:r>
      <w:r w:rsidR="00B230F2" w:rsidRPr="00B230F2">
        <w:rPr>
          <w:noProof/>
        </w:rPr>
        <w:t>11</w:t>
      </w:r>
      <w:r w:rsidRPr="00F02BAF">
        <w:fldChar w:fldCharType="end"/>
      </w:r>
      <w:r w:rsidRPr="00F02BAF">
        <w:t>.</w:t>
      </w:r>
    </w:p>
    <w:p w14:paraId="3DD34D2D" w14:textId="357905AB" w:rsidR="004E7F94" w:rsidRPr="00F02BAF" w:rsidRDefault="008109D0" w:rsidP="001E3548">
      <w:pPr>
        <w:jc w:val="center"/>
        <w:rPr>
          <w:lang w:eastAsia="zh-TW"/>
        </w:rPr>
      </w:pPr>
      <w:r>
        <w:rPr>
          <w:noProof/>
          <w:lang w:eastAsia="zh-TW"/>
          <w14:ligatures w14:val="standardContextual"/>
        </w:rPr>
        <w:drawing>
          <wp:inline distT="0" distB="0" distL="0" distR="0" wp14:anchorId="7EDB30F5" wp14:editId="2A0566E1">
            <wp:extent cx="3480873" cy="4084320"/>
            <wp:effectExtent l="0" t="0" r="5715" b="0"/>
            <wp:docPr id="1100398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98252" name="Picture 1100398252"/>
                    <pic:cNvPicPr/>
                  </pic:nvPicPr>
                  <pic:blipFill rotWithShape="1">
                    <a:blip r:embed="rId11" cstate="print">
                      <a:extLst>
                        <a:ext uri="{28A0092B-C50C-407E-A947-70E740481C1C}">
                          <a14:useLocalDpi xmlns:a14="http://schemas.microsoft.com/office/drawing/2010/main" val="0"/>
                        </a:ext>
                      </a:extLst>
                    </a:blip>
                    <a:srcRect b="1076"/>
                    <a:stretch>
                      <a:fillRect/>
                    </a:stretch>
                  </pic:blipFill>
                  <pic:spPr bwMode="auto">
                    <a:xfrm>
                      <a:off x="0" y="0"/>
                      <a:ext cx="3481200" cy="4084704"/>
                    </a:xfrm>
                    <a:prstGeom prst="rect">
                      <a:avLst/>
                    </a:prstGeom>
                    <a:ln>
                      <a:noFill/>
                    </a:ln>
                    <a:extLst>
                      <a:ext uri="{53640926-AAD7-44D8-BBD7-CCE9431645EC}">
                        <a14:shadowObscured xmlns:a14="http://schemas.microsoft.com/office/drawing/2010/main"/>
                      </a:ext>
                    </a:extLst>
                  </pic:spPr>
                </pic:pic>
              </a:graphicData>
            </a:graphic>
          </wp:inline>
        </w:drawing>
      </w:r>
    </w:p>
    <w:p w14:paraId="6E447C48" w14:textId="7B72040B" w:rsidR="004E7F94" w:rsidRPr="00531194" w:rsidRDefault="004E7F94" w:rsidP="00A54A1B">
      <w:pPr>
        <w:pStyle w:val="Caption"/>
        <w:spacing w:line="240" w:lineRule="exact"/>
        <w:jc w:val="both"/>
        <w:rPr>
          <w:rFonts w:ascii="Times New Roman" w:hAnsi="Times New Roman" w:cs="Times New Roman"/>
          <w:sz w:val="18"/>
          <w:szCs w:val="18"/>
        </w:rPr>
      </w:pPr>
      <w:bookmarkStart w:id="9" w:name="_Ref236167283"/>
      <w:r w:rsidRPr="00531194">
        <w:rPr>
          <w:rFonts w:ascii="Times New Roman" w:hAnsi="Times New Roman" w:cs="Times New Roman"/>
          <w:b/>
          <w:bCs/>
          <w:sz w:val="18"/>
          <w:szCs w:val="18"/>
        </w:rPr>
        <w:t>Fig</w:t>
      </w:r>
      <w:r w:rsidRPr="00531194">
        <w:rPr>
          <w:rFonts w:ascii="Times New Roman" w:hAnsi="Times New Roman" w:cs="Times New Roman" w:hint="eastAsia"/>
          <w:b/>
          <w:bCs/>
          <w:sz w:val="18"/>
          <w:szCs w:val="18"/>
        </w:rPr>
        <w:t>.</w:t>
      </w:r>
      <w:r w:rsidRPr="00531194">
        <w:rPr>
          <w:rFonts w:ascii="Times New Roman" w:hAnsi="Times New Roman" w:cs="Times New Roman"/>
          <w:b/>
          <w:bCs/>
          <w:sz w:val="18"/>
          <w:szCs w:val="18"/>
        </w:rPr>
        <w:t xml:space="preserve"> </w:t>
      </w:r>
      <w:r w:rsidRPr="00531194">
        <w:rPr>
          <w:rFonts w:ascii="Times New Roman" w:hAnsi="Times New Roman" w:cs="Times New Roman"/>
          <w:b/>
          <w:bCs/>
          <w:sz w:val="18"/>
          <w:szCs w:val="18"/>
        </w:rPr>
        <w:fldChar w:fldCharType="begin"/>
      </w:r>
      <w:r w:rsidRPr="00531194">
        <w:rPr>
          <w:rFonts w:ascii="Times New Roman" w:hAnsi="Times New Roman" w:cs="Times New Roman"/>
          <w:b/>
          <w:bCs/>
          <w:sz w:val="18"/>
          <w:szCs w:val="18"/>
        </w:rPr>
        <w:instrText xml:space="preserve"> SEQ Figure \* ARABIC </w:instrText>
      </w:r>
      <w:r w:rsidRPr="00531194">
        <w:rPr>
          <w:rFonts w:ascii="Times New Roman" w:hAnsi="Times New Roman" w:cs="Times New Roman"/>
          <w:b/>
          <w:bCs/>
          <w:sz w:val="18"/>
          <w:szCs w:val="18"/>
        </w:rPr>
        <w:fldChar w:fldCharType="separate"/>
      </w:r>
      <w:r w:rsidR="00B230F2" w:rsidRPr="00531194">
        <w:rPr>
          <w:rFonts w:ascii="Times New Roman" w:hAnsi="Times New Roman" w:cs="Times New Roman"/>
          <w:b/>
          <w:bCs/>
          <w:noProof/>
          <w:sz w:val="18"/>
          <w:szCs w:val="18"/>
        </w:rPr>
        <w:t>11</w:t>
      </w:r>
      <w:r w:rsidRPr="00531194">
        <w:rPr>
          <w:rFonts w:ascii="Times New Roman" w:hAnsi="Times New Roman" w:cs="Times New Roman"/>
          <w:b/>
          <w:bCs/>
          <w:sz w:val="18"/>
          <w:szCs w:val="18"/>
        </w:rPr>
        <w:fldChar w:fldCharType="end"/>
      </w:r>
      <w:bookmarkEnd w:id="9"/>
      <w:r w:rsidRPr="00531194">
        <w:rPr>
          <w:rFonts w:ascii="Times New Roman" w:hAnsi="Times New Roman" w:cs="Times New Roman"/>
          <w:b/>
          <w:bCs/>
          <w:sz w:val="18"/>
          <w:szCs w:val="18"/>
        </w:rPr>
        <w:t>.</w:t>
      </w:r>
      <w:r w:rsidRPr="00531194">
        <w:rPr>
          <w:rFonts w:ascii="Times New Roman" w:hAnsi="Times New Roman" w:cs="Times New Roman"/>
          <w:sz w:val="18"/>
          <w:szCs w:val="18"/>
        </w:rPr>
        <w:t xml:space="preserve"> </w:t>
      </w:r>
      <w:r w:rsidR="00312BDF" w:rsidRPr="00312BDF">
        <w:rPr>
          <w:rFonts w:ascii="Times New Roman" w:hAnsi="Times New Roman" w:cs="Times New Roman"/>
          <w:sz w:val="18"/>
          <w:szCs w:val="18"/>
        </w:rPr>
        <w:t>SPS</w:t>
      </w:r>
      <w:r w:rsidR="00312BDF" w:rsidRPr="00312BDF">
        <w:rPr>
          <w:rFonts w:ascii="Times New Roman" w:hAnsi="Times New Roman" w:cs="Times New Roman"/>
          <w:sz w:val="18"/>
          <w:szCs w:val="18"/>
        </w:rPr>
        <w:noBreakHyphen/>
        <w:t>LIME explanation heatmap for the fair</w:t>
      </w:r>
      <w:r w:rsidR="00312BDF" w:rsidRPr="00312BDF">
        <w:rPr>
          <w:rFonts w:ascii="Times New Roman" w:hAnsi="Times New Roman" w:cs="Times New Roman"/>
          <w:sz w:val="18"/>
          <w:szCs w:val="18"/>
        </w:rPr>
        <w:noBreakHyphen/>
        <w:t>trial judicial</w:t>
      </w:r>
      <w:r w:rsidR="00312BDF" w:rsidRPr="00312BDF">
        <w:rPr>
          <w:rFonts w:ascii="Times New Roman" w:hAnsi="Times New Roman" w:cs="Times New Roman"/>
          <w:sz w:val="18"/>
          <w:szCs w:val="18"/>
        </w:rPr>
        <w:noBreakHyphen/>
        <w:t>disciplinary case misclassified as "non</w:t>
      </w:r>
      <w:r w:rsidR="00312BDF" w:rsidRPr="00312BDF">
        <w:rPr>
          <w:rFonts w:ascii="Times New Roman" w:hAnsi="Times New Roman" w:cs="Times New Roman"/>
          <w:sz w:val="18"/>
          <w:szCs w:val="18"/>
        </w:rPr>
        <w:noBreakHyphen/>
        <w:t>violation", showing the influential textual regions underlying the erroneous decision.</w:t>
      </w:r>
    </w:p>
    <w:p w14:paraId="5460C294" w14:textId="77017A28" w:rsidR="00444D6D" w:rsidRDefault="004E7F94" w:rsidP="00A54A1B">
      <w:pPr>
        <w:jc w:val="both"/>
      </w:pPr>
      <w:r w:rsidRPr="00F02BAF">
        <w:t xml:space="preserve">In </w:t>
      </w:r>
      <w:r w:rsidRPr="00F02BAF">
        <w:fldChar w:fldCharType="begin"/>
      </w:r>
      <w:r w:rsidRPr="00F02BAF">
        <w:instrText xml:space="preserve"> REF _Ref236167283 \h  \* MERGEFORMAT </w:instrText>
      </w:r>
      <w:r w:rsidRPr="00F02BAF">
        <w:fldChar w:fldCharType="separate"/>
      </w:r>
      <w:r w:rsidR="00B230F2" w:rsidRPr="00B230F2">
        <w:t>Fig</w:t>
      </w:r>
      <w:r w:rsidR="00B230F2" w:rsidRPr="00B230F2">
        <w:rPr>
          <w:rFonts w:hint="eastAsia"/>
        </w:rPr>
        <w:t>.</w:t>
      </w:r>
      <w:r w:rsidR="00B230F2" w:rsidRPr="00B230F2">
        <w:t xml:space="preserve"> </w:t>
      </w:r>
      <w:r w:rsidR="00B230F2" w:rsidRPr="00B230F2">
        <w:rPr>
          <w:noProof/>
        </w:rPr>
        <w:t>11</w:t>
      </w:r>
      <w:r w:rsidRPr="00F02BAF">
        <w:fldChar w:fldCharType="end"/>
      </w:r>
      <w:r w:rsidR="00312BDF" w:rsidRPr="00312BDF">
        <w:t>, the SPS</w:t>
      </w:r>
      <w:r w:rsidR="00312BDF" w:rsidRPr="00312BDF">
        <w:noBreakHyphen/>
        <w:t>LIME heatmap highlights as supportive extended passages that list the misconduct charges, refer to fair</w:t>
      </w:r>
      <w:r w:rsidR="00312BDF" w:rsidRPr="00312BDF">
        <w:noBreakHyphen/>
        <w:t>trial rights under domestic constitutional law and international human</w:t>
      </w:r>
      <w:r w:rsidR="00312BDF" w:rsidRPr="00312BDF">
        <w:noBreakHyphen/>
        <w:t xml:space="preserve">rights standards, and describe the institutional safeguards of the courts. The classifier thus reacts strongly to </w:t>
      </w:r>
      <w:proofErr w:type="gramStart"/>
      <w:r w:rsidR="00312BDF" w:rsidRPr="00312BDF">
        <w:t>rights</w:t>
      </w:r>
      <w:r w:rsidR="00312BDF" w:rsidRPr="00312BDF">
        <w:noBreakHyphen/>
      </w:r>
      <w:proofErr w:type="gramEnd"/>
      <w:r w:rsidR="00312BDF" w:rsidRPr="00312BDF">
        <w:t xml:space="preserve">related keywords and formal </w:t>
      </w:r>
      <w:proofErr w:type="gramStart"/>
      <w:r w:rsidR="00312BDF" w:rsidRPr="00312BDF">
        <w:t>guarantees, but</w:t>
      </w:r>
      <w:proofErr w:type="gramEnd"/>
      <w:r w:rsidR="00312BDF" w:rsidRPr="00312BDF">
        <w:t xml:space="preserve"> fails to register that the court’s overall assessment of these guarantees is critical and leads to a finding of violation, illustrating its difficulty with semantic reversal and multiple strands of reasoning in complex </w:t>
      </w:r>
      <w:proofErr w:type="gramStart"/>
      <w:r w:rsidR="00312BDF" w:rsidRPr="00312BDF">
        <w:t>fair</w:t>
      </w:r>
      <w:r w:rsidR="00312BDF" w:rsidRPr="00312BDF">
        <w:noBreakHyphen/>
        <w:t>trial</w:t>
      </w:r>
      <w:proofErr w:type="gramEnd"/>
      <w:r w:rsidR="00312BDF" w:rsidRPr="00312BDF">
        <w:t xml:space="preserve"> cases. SPS</w:t>
      </w:r>
      <w:r w:rsidR="00312BDF" w:rsidRPr="00312BDF">
        <w:noBreakHyphen/>
        <w:t>LIME makes this limitation visible by faithfully reflecting the model’s reliance on surface rights vocabulary while revealing its misreading of the judgment’s negative and dismissive context.</w:t>
      </w:r>
    </w:p>
    <w:sectPr w:rsidR="00444D6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3E7F4" w14:textId="77777777" w:rsidR="007A6D4D" w:rsidRDefault="007A6D4D" w:rsidP="00901E1F">
      <w:r>
        <w:separator/>
      </w:r>
    </w:p>
  </w:endnote>
  <w:endnote w:type="continuationSeparator" w:id="0">
    <w:p w14:paraId="2DC44CCF" w14:textId="77777777" w:rsidR="007A6D4D" w:rsidRDefault="007A6D4D" w:rsidP="00901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6BFE" w14:textId="77777777" w:rsidR="007A6D4D" w:rsidRDefault="007A6D4D" w:rsidP="00901E1F">
      <w:r>
        <w:separator/>
      </w:r>
    </w:p>
  </w:footnote>
  <w:footnote w:type="continuationSeparator" w:id="0">
    <w:p w14:paraId="4E1D77DB" w14:textId="77777777" w:rsidR="007A6D4D" w:rsidRDefault="007A6D4D" w:rsidP="00901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965233015">
    <w:abstractNumId w:val="0"/>
  </w:num>
  <w:num w:numId="2" w16cid:durableId="281421629">
    <w:abstractNumId w:val="0"/>
  </w:num>
  <w:num w:numId="3" w16cid:durableId="37097683">
    <w:abstractNumId w:val="0"/>
  </w:num>
  <w:num w:numId="4" w16cid:durableId="1481582763">
    <w:abstractNumId w:val="0"/>
  </w:num>
  <w:num w:numId="5" w16cid:durableId="1566791542">
    <w:abstractNumId w:val="0"/>
  </w:num>
  <w:num w:numId="6" w16cid:durableId="1197544640">
    <w:abstractNumId w:val="0"/>
  </w:num>
  <w:num w:numId="7" w16cid:durableId="1139497436">
    <w:abstractNumId w:val="0"/>
  </w:num>
  <w:num w:numId="8" w16cid:durableId="148136638">
    <w:abstractNumId w:val="0"/>
  </w:num>
  <w:num w:numId="9" w16cid:durableId="369571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94"/>
    <w:rsid w:val="000A078A"/>
    <w:rsid w:val="001E3548"/>
    <w:rsid w:val="003008B1"/>
    <w:rsid w:val="00312BDF"/>
    <w:rsid w:val="003D05C4"/>
    <w:rsid w:val="004155DF"/>
    <w:rsid w:val="00444D6D"/>
    <w:rsid w:val="00477C89"/>
    <w:rsid w:val="004E7F94"/>
    <w:rsid w:val="00531194"/>
    <w:rsid w:val="005D72AD"/>
    <w:rsid w:val="00605B58"/>
    <w:rsid w:val="0076793A"/>
    <w:rsid w:val="007A6D4D"/>
    <w:rsid w:val="008109D0"/>
    <w:rsid w:val="00884642"/>
    <w:rsid w:val="008B67C3"/>
    <w:rsid w:val="00901E1F"/>
    <w:rsid w:val="009C4A7B"/>
    <w:rsid w:val="00A54A1B"/>
    <w:rsid w:val="00A72C8F"/>
    <w:rsid w:val="00A84073"/>
    <w:rsid w:val="00AE117A"/>
    <w:rsid w:val="00B13AD2"/>
    <w:rsid w:val="00B230F2"/>
    <w:rsid w:val="00B446FE"/>
    <w:rsid w:val="00BB52D5"/>
    <w:rsid w:val="00C6273A"/>
    <w:rsid w:val="00D81769"/>
    <w:rsid w:val="00DD6CB2"/>
    <w:rsid w:val="00FC7D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FBFDA"/>
  <w15:chartTrackingRefBased/>
  <w15:docId w15:val="{96624C59-1867-46F7-A057-7E0480B3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F94"/>
    <w:pPr>
      <w:spacing w:after="0" w:line="240" w:lineRule="auto"/>
    </w:pPr>
    <w:rPr>
      <w:rFonts w:ascii="Times New Roman" w:hAnsi="Times New Roman" w:cs="Times New Roman"/>
      <w:kern w:val="0"/>
      <w:sz w:val="20"/>
      <w:szCs w:val="20"/>
      <w:lang w:eastAsia="en-US"/>
      <w14:ligatures w14:val="none"/>
    </w:rPr>
  </w:style>
  <w:style w:type="paragraph" w:styleId="Heading10">
    <w:name w:val="heading 1"/>
    <w:basedOn w:val="Normal"/>
    <w:next w:val="Normal"/>
    <w:link w:val="Heading1Char"/>
    <w:uiPriority w:val="9"/>
    <w:qFormat/>
    <w:rsid w:val="004E7F9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0">
    <w:name w:val="heading 2"/>
    <w:basedOn w:val="Normal"/>
    <w:next w:val="Normal"/>
    <w:link w:val="Heading2Char"/>
    <w:uiPriority w:val="9"/>
    <w:unhideWhenUsed/>
    <w:qFormat/>
    <w:rsid w:val="004E7F9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4E7F94"/>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4E7F94"/>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4E7F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F94"/>
    <w:pPr>
      <w:keepNext/>
      <w:keepLines/>
      <w:spacing w:before="4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rsid w:val="004E7F94"/>
    <w:pPr>
      <w:keepNext/>
      <w:keepLines/>
      <w:spacing w:before="4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E7F94"/>
    <w:pPr>
      <w:keepNext/>
      <w:keepLines/>
      <w:spacing w:before="4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rsid w:val="004E7F94"/>
    <w:pPr>
      <w:keepNext/>
      <w:keepLines/>
      <w:spacing w:before="4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4E7F94"/>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0"/>
    <w:uiPriority w:val="9"/>
    <w:rsid w:val="004E7F94"/>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4E7F94"/>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4E7F94"/>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4E7F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F94"/>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4E7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F94"/>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4E7F94"/>
    <w:rPr>
      <w:rFonts w:eastAsiaTheme="majorEastAsia" w:cstheme="majorBidi"/>
      <w:color w:val="272727" w:themeColor="text1" w:themeTint="D8"/>
    </w:rPr>
  </w:style>
  <w:style w:type="paragraph" w:styleId="Title">
    <w:name w:val="Title"/>
    <w:basedOn w:val="Normal"/>
    <w:next w:val="Normal"/>
    <w:link w:val="TitleChar"/>
    <w:uiPriority w:val="10"/>
    <w:qFormat/>
    <w:rsid w:val="004E7F94"/>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F9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F9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4E7F94"/>
    <w:pPr>
      <w:spacing w:before="160"/>
      <w:jc w:val="center"/>
    </w:pPr>
    <w:rPr>
      <w:i/>
      <w:iCs/>
      <w:color w:val="404040" w:themeColor="text1" w:themeTint="BF"/>
    </w:rPr>
  </w:style>
  <w:style w:type="character" w:customStyle="1" w:styleId="QuoteChar">
    <w:name w:val="Quote Char"/>
    <w:basedOn w:val="DefaultParagraphFont"/>
    <w:link w:val="Quote"/>
    <w:uiPriority w:val="29"/>
    <w:rsid w:val="004E7F94"/>
    <w:rPr>
      <w:i/>
      <w:iCs/>
      <w:color w:val="404040" w:themeColor="text1" w:themeTint="BF"/>
    </w:rPr>
  </w:style>
  <w:style w:type="paragraph" w:styleId="ListParagraph">
    <w:name w:val="List Paragraph"/>
    <w:basedOn w:val="Normal"/>
    <w:uiPriority w:val="34"/>
    <w:qFormat/>
    <w:rsid w:val="004E7F94"/>
    <w:pPr>
      <w:ind w:left="720"/>
      <w:contextualSpacing/>
    </w:pPr>
  </w:style>
  <w:style w:type="character" w:styleId="IntenseEmphasis">
    <w:name w:val="Intense Emphasis"/>
    <w:basedOn w:val="DefaultParagraphFont"/>
    <w:uiPriority w:val="21"/>
    <w:qFormat/>
    <w:rsid w:val="004E7F94"/>
    <w:rPr>
      <w:i/>
      <w:iCs/>
      <w:color w:val="0F4761" w:themeColor="accent1" w:themeShade="BF"/>
    </w:rPr>
  </w:style>
  <w:style w:type="paragraph" w:styleId="IntenseQuote">
    <w:name w:val="Intense Quote"/>
    <w:basedOn w:val="Normal"/>
    <w:next w:val="Normal"/>
    <w:link w:val="IntenseQuoteChar"/>
    <w:uiPriority w:val="30"/>
    <w:qFormat/>
    <w:rsid w:val="004E7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F94"/>
    <w:rPr>
      <w:i/>
      <w:iCs/>
      <w:color w:val="0F4761" w:themeColor="accent1" w:themeShade="BF"/>
    </w:rPr>
  </w:style>
  <w:style w:type="character" w:styleId="IntenseReference">
    <w:name w:val="Intense Reference"/>
    <w:basedOn w:val="DefaultParagraphFont"/>
    <w:uiPriority w:val="32"/>
    <w:qFormat/>
    <w:rsid w:val="004E7F94"/>
    <w:rPr>
      <w:b/>
      <w:bCs/>
      <w:smallCaps/>
      <w:color w:val="0F4761" w:themeColor="accent1" w:themeShade="BF"/>
      <w:spacing w:val="5"/>
    </w:rPr>
  </w:style>
  <w:style w:type="table" w:styleId="TableGrid">
    <w:name w:val="Table Grid"/>
    <w:basedOn w:val="TableNormal"/>
    <w:uiPriority w:val="39"/>
    <w:rsid w:val="004E7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E7F94"/>
    <w:pPr>
      <w:widowControl w:val="0"/>
      <w:spacing w:after="160" w:line="278" w:lineRule="auto"/>
    </w:pPr>
    <w:rPr>
      <w:rFonts w:asciiTheme="minorHAnsi" w:hAnsiTheme="minorHAnsi" w:cstheme="minorBidi"/>
      <w:kern w:val="2"/>
      <w:lang w:eastAsia="zh-TW"/>
      <w14:ligatures w14:val="standardContextual"/>
    </w:rPr>
  </w:style>
  <w:style w:type="paragraph" w:styleId="Header">
    <w:name w:val="header"/>
    <w:basedOn w:val="Normal"/>
    <w:link w:val="HeaderChar"/>
    <w:uiPriority w:val="99"/>
    <w:unhideWhenUsed/>
    <w:rsid w:val="00901E1F"/>
    <w:pPr>
      <w:tabs>
        <w:tab w:val="center" w:pos="4153"/>
        <w:tab w:val="right" w:pos="8306"/>
      </w:tabs>
      <w:snapToGrid w:val="0"/>
    </w:pPr>
  </w:style>
  <w:style w:type="character" w:customStyle="1" w:styleId="HeaderChar">
    <w:name w:val="Header Char"/>
    <w:basedOn w:val="DefaultParagraphFont"/>
    <w:link w:val="Header"/>
    <w:uiPriority w:val="99"/>
    <w:rsid w:val="00901E1F"/>
    <w:rPr>
      <w:rFonts w:ascii="Times New Roman" w:hAnsi="Times New Roman" w:cs="Times New Roman"/>
      <w:kern w:val="0"/>
      <w:sz w:val="20"/>
      <w:szCs w:val="20"/>
      <w:lang w:eastAsia="en-US"/>
      <w14:ligatures w14:val="none"/>
    </w:rPr>
  </w:style>
  <w:style w:type="paragraph" w:styleId="Footer">
    <w:name w:val="footer"/>
    <w:basedOn w:val="Normal"/>
    <w:link w:val="FooterChar"/>
    <w:uiPriority w:val="99"/>
    <w:unhideWhenUsed/>
    <w:rsid w:val="00901E1F"/>
    <w:pPr>
      <w:tabs>
        <w:tab w:val="center" w:pos="4153"/>
        <w:tab w:val="right" w:pos="8306"/>
      </w:tabs>
      <w:snapToGrid w:val="0"/>
    </w:pPr>
  </w:style>
  <w:style w:type="character" w:customStyle="1" w:styleId="FooterChar">
    <w:name w:val="Footer Char"/>
    <w:basedOn w:val="DefaultParagraphFont"/>
    <w:link w:val="Footer"/>
    <w:uiPriority w:val="99"/>
    <w:rsid w:val="00901E1F"/>
    <w:rPr>
      <w:rFonts w:ascii="Times New Roman" w:hAnsi="Times New Roman" w:cs="Times New Roman"/>
      <w:kern w:val="0"/>
      <w:sz w:val="20"/>
      <w:szCs w:val="20"/>
      <w:lang w:eastAsia="en-US"/>
      <w14:ligatures w14:val="none"/>
    </w:rPr>
  </w:style>
  <w:style w:type="paragraph" w:customStyle="1" w:styleId="heading1">
    <w:name w:val="heading1"/>
    <w:basedOn w:val="Normal"/>
    <w:next w:val="Normal"/>
    <w:qFormat/>
    <w:rsid w:val="00901E1F"/>
    <w:pPr>
      <w:keepNext/>
      <w:keepLines/>
      <w:numPr>
        <w:numId w:val="1"/>
      </w:numPr>
      <w:suppressAutoHyphens/>
      <w:overflowPunct w:val="0"/>
      <w:autoSpaceDE w:val="0"/>
      <w:autoSpaceDN w:val="0"/>
      <w:adjustRightInd w:val="0"/>
      <w:spacing w:before="360" w:after="240" w:line="300" w:lineRule="atLeast"/>
      <w:textAlignment w:val="baseline"/>
      <w:outlineLvl w:val="0"/>
    </w:pPr>
    <w:rPr>
      <w:b/>
      <w:sz w:val="24"/>
    </w:rPr>
  </w:style>
  <w:style w:type="paragraph" w:customStyle="1" w:styleId="heading2">
    <w:name w:val="heading2"/>
    <w:basedOn w:val="Normal"/>
    <w:next w:val="Normal"/>
    <w:qFormat/>
    <w:rsid w:val="00901E1F"/>
    <w:pPr>
      <w:keepNext/>
      <w:keepLines/>
      <w:numPr>
        <w:ilvl w:val="1"/>
        <w:numId w:val="1"/>
      </w:numPr>
      <w:suppressAutoHyphens/>
      <w:overflowPunct w:val="0"/>
      <w:autoSpaceDE w:val="0"/>
      <w:autoSpaceDN w:val="0"/>
      <w:adjustRightInd w:val="0"/>
      <w:spacing w:before="360" w:after="160" w:line="240" w:lineRule="atLeast"/>
      <w:textAlignment w:val="baseline"/>
      <w:outlineLvl w:val="1"/>
    </w:pPr>
    <w:rPr>
      <w:b/>
    </w:rPr>
  </w:style>
  <w:style w:type="numbering" w:customStyle="1" w:styleId="headings">
    <w:name w:val="headings"/>
    <w:basedOn w:val="NoList"/>
    <w:rsid w:val="00901E1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92391-3671-428C-984C-69ADF1804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3025</Words>
  <Characters>17244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吳孟倫</dc:creator>
  <cp:keywords/>
  <dc:description/>
  <cp:lastModifiedBy>吳孟倫</cp:lastModifiedBy>
  <cp:revision>15</cp:revision>
  <cp:lastPrinted>2026-08-05T15:55:00Z</cp:lastPrinted>
  <dcterms:created xsi:type="dcterms:W3CDTF">2026-08-03T10:32:00Z</dcterms:created>
  <dcterms:modified xsi:type="dcterms:W3CDTF">2026-08-05T15:57:00Z</dcterms:modified>
</cp:coreProperties>
</file>