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68455">
      <w:pPr>
        <w:spacing w:line="360" w:lineRule="auto"/>
        <w:jc w:val="center"/>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 xml:space="preserve">Synergistic </w:t>
      </w:r>
      <w:r>
        <w:rPr>
          <w:rFonts w:hint="eastAsia" w:ascii="Times New Roman" w:hAnsi="Times New Roman" w:cs="Times New Roman"/>
          <w:b/>
          <w:bCs/>
          <w:sz w:val="28"/>
          <w:szCs w:val="36"/>
          <w:lang w:val="en-US" w:eastAsia="zh-CN"/>
        </w:rPr>
        <w:t>C</w:t>
      </w:r>
      <w:r>
        <w:rPr>
          <w:rFonts w:hint="default" w:ascii="Times New Roman" w:hAnsi="Times New Roman" w:cs="Times New Roman"/>
          <w:b/>
          <w:bCs/>
          <w:sz w:val="28"/>
          <w:szCs w:val="36"/>
          <w:lang w:val="en-US" w:eastAsia="zh-CN"/>
        </w:rPr>
        <w:t xml:space="preserve">onvergence of </w:t>
      </w:r>
      <w:r>
        <w:rPr>
          <w:rFonts w:hint="eastAsia" w:ascii="Times New Roman" w:hAnsi="Times New Roman" w:cs="Times New Roman"/>
          <w:b/>
          <w:bCs/>
          <w:sz w:val="28"/>
          <w:szCs w:val="36"/>
          <w:lang w:val="en-US" w:eastAsia="zh-CN"/>
        </w:rPr>
        <w:t>M</w:t>
      </w:r>
      <w:r>
        <w:rPr>
          <w:rFonts w:hint="default" w:ascii="Times New Roman" w:hAnsi="Times New Roman" w:cs="Times New Roman"/>
          <w:b/>
          <w:bCs/>
          <w:sz w:val="28"/>
          <w:szCs w:val="36"/>
          <w:lang w:val="en-US" w:eastAsia="zh-CN"/>
        </w:rPr>
        <w:t xml:space="preserve">ultiple </w:t>
      </w:r>
      <w:r>
        <w:rPr>
          <w:rFonts w:hint="eastAsia" w:ascii="Times New Roman" w:hAnsi="Times New Roman" w:cs="Times New Roman"/>
          <w:b/>
          <w:bCs/>
          <w:sz w:val="28"/>
          <w:szCs w:val="36"/>
          <w:lang w:val="en-US" w:eastAsia="zh-CN"/>
        </w:rPr>
        <w:t>E</w:t>
      </w:r>
      <w:r>
        <w:rPr>
          <w:rFonts w:hint="default" w:ascii="Times New Roman" w:hAnsi="Times New Roman" w:cs="Times New Roman"/>
          <w:b/>
          <w:bCs/>
          <w:sz w:val="28"/>
          <w:szCs w:val="36"/>
          <w:lang w:val="en-US" w:eastAsia="zh-CN"/>
        </w:rPr>
        <w:t xml:space="preserve">nvironmental </w:t>
      </w:r>
      <w:r>
        <w:rPr>
          <w:rFonts w:hint="eastAsia" w:ascii="Times New Roman" w:hAnsi="Times New Roman" w:cs="Times New Roman"/>
          <w:b/>
          <w:bCs/>
          <w:sz w:val="28"/>
          <w:szCs w:val="36"/>
          <w:lang w:val="en-US" w:eastAsia="zh-CN"/>
        </w:rPr>
        <w:t>D</w:t>
      </w:r>
      <w:r>
        <w:rPr>
          <w:rFonts w:hint="default" w:ascii="Times New Roman" w:hAnsi="Times New Roman" w:cs="Times New Roman"/>
          <w:b/>
          <w:bCs/>
          <w:sz w:val="28"/>
          <w:szCs w:val="36"/>
          <w:lang w:val="en-US" w:eastAsia="zh-CN"/>
        </w:rPr>
        <w:t xml:space="preserve">rivers </w:t>
      </w:r>
      <w:r>
        <w:rPr>
          <w:rFonts w:hint="eastAsia" w:ascii="Times New Roman" w:hAnsi="Times New Roman" w:cs="Times New Roman"/>
          <w:b/>
          <w:bCs/>
          <w:sz w:val="28"/>
          <w:szCs w:val="36"/>
          <w:lang w:val="en-US" w:eastAsia="zh-CN"/>
        </w:rPr>
        <w:t>T</w:t>
      </w:r>
      <w:r>
        <w:rPr>
          <w:rFonts w:hint="default" w:ascii="Times New Roman" w:hAnsi="Times New Roman" w:cs="Times New Roman"/>
          <w:b/>
          <w:bCs/>
          <w:sz w:val="28"/>
          <w:szCs w:val="36"/>
          <w:lang w:val="en-US" w:eastAsia="zh-CN"/>
        </w:rPr>
        <w:t xml:space="preserve">riggered a </w:t>
      </w:r>
      <w:r>
        <w:rPr>
          <w:rFonts w:hint="eastAsia" w:ascii="Times New Roman" w:hAnsi="Times New Roman" w:cs="Times New Roman"/>
          <w:b/>
          <w:bCs/>
          <w:sz w:val="28"/>
          <w:szCs w:val="36"/>
          <w:lang w:val="en-US" w:eastAsia="zh-CN"/>
        </w:rPr>
        <w:t>M</w:t>
      </w:r>
      <w:r>
        <w:rPr>
          <w:rFonts w:hint="default" w:ascii="Times New Roman" w:hAnsi="Times New Roman" w:cs="Times New Roman"/>
          <w:b/>
          <w:bCs/>
          <w:sz w:val="28"/>
          <w:szCs w:val="36"/>
          <w:lang w:val="en-US" w:eastAsia="zh-CN"/>
        </w:rPr>
        <w:t xml:space="preserve">ulti‑taxa </w:t>
      </w:r>
      <w:r>
        <w:rPr>
          <w:rFonts w:hint="eastAsia" w:ascii="Times New Roman" w:hAnsi="Times New Roman" w:cs="Times New Roman"/>
          <w:b/>
          <w:bCs/>
          <w:sz w:val="28"/>
          <w:szCs w:val="36"/>
          <w:lang w:val="en-US" w:eastAsia="zh-CN"/>
        </w:rPr>
        <w:t>R</w:t>
      </w:r>
      <w:r>
        <w:rPr>
          <w:rFonts w:hint="default" w:ascii="Times New Roman" w:hAnsi="Times New Roman" w:cs="Times New Roman"/>
          <w:b/>
          <w:bCs/>
          <w:sz w:val="28"/>
          <w:szCs w:val="36"/>
          <w:lang w:val="en-US" w:eastAsia="zh-CN"/>
        </w:rPr>
        <w:t xml:space="preserve">egime </w:t>
      </w:r>
      <w:r>
        <w:rPr>
          <w:rFonts w:hint="eastAsia" w:ascii="Times New Roman" w:hAnsi="Times New Roman" w:cs="Times New Roman"/>
          <w:b/>
          <w:bCs/>
          <w:sz w:val="28"/>
          <w:szCs w:val="36"/>
          <w:lang w:val="en-US" w:eastAsia="zh-CN"/>
        </w:rPr>
        <w:t>S</w:t>
      </w:r>
      <w:r>
        <w:rPr>
          <w:rFonts w:hint="default" w:ascii="Times New Roman" w:hAnsi="Times New Roman" w:cs="Times New Roman"/>
          <w:b/>
          <w:bCs/>
          <w:sz w:val="28"/>
          <w:szCs w:val="36"/>
          <w:lang w:val="en-US" w:eastAsia="zh-CN"/>
        </w:rPr>
        <w:t>hift in the Yangtze Estuary</w:t>
      </w:r>
    </w:p>
    <w:p w14:paraId="3A5DF6F8">
      <w:pPr>
        <w:spacing w:line="360" w:lineRule="auto"/>
        <w:jc w:val="both"/>
        <w:rPr>
          <w:rFonts w:hint="default" w:ascii="Times New Roman" w:hAnsi="Times New Roman" w:cs="Times New Roman"/>
          <w:sz w:val="24"/>
          <w:szCs w:val="32"/>
          <w:lang w:val="en-US" w:eastAsia="zh-CN"/>
        </w:rPr>
      </w:pPr>
    </w:p>
    <w:p w14:paraId="11071872">
      <w:pPr>
        <w:rPr>
          <w:rFonts w:hint="eastAsia" w:ascii="Times New Roman" w:hAnsi="Times New Roman" w:cs="Times New Roman"/>
          <w:sz w:val="24"/>
          <w:szCs w:val="32"/>
          <w:lang w:val="en-US" w:eastAsia="zh-CN"/>
        </w:rPr>
      </w:pPr>
      <w:r>
        <w:rPr>
          <w:rFonts w:hint="default" w:ascii="Times New Roman" w:hAnsi="Times New Roman" w:cs="Times New Roman"/>
          <w:sz w:val="24"/>
          <w:szCs w:val="32"/>
          <w:lang w:val="en-US" w:eastAsia="zh-CN"/>
        </w:rPr>
        <w:t>Danyun Ou, Yue Ni,</w:t>
      </w:r>
      <w:r>
        <w:rPr>
          <w:rFonts w:hint="eastAsia" w:ascii="Times New Roman" w:hAnsi="Times New Roman" w:cs="Times New Roman"/>
          <w:sz w:val="24"/>
          <w:szCs w:val="32"/>
          <w:lang w:val="en-US" w:eastAsia="zh-CN"/>
        </w:rPr>
        <w:t xml:space="preserve"> Xiangwen Bao, </w:t>
      </w:r>
      <w:r>
        <w:rPr>
          <w:rFonts w:hint="default" w:ascii="Times New Roman" w:hAnsi="Times New Roman" w:cs="Times New Roman"/>
          <w:sz w:val="24"/>
          <w:szCs w:val="32"/>
          <w:lang w:val="en-US" w:eastAsia="zh-CN"/>
        </w:rPr>
        <w:t>Ming Chen, Weiwen Li, Lei Wang, Hao Huang</w:t>
      </w:r>
      <w:r>
        <w:rPr>
          <w:rFonts w:hint="eastAsia" w:ascii="Times New Roman" w:hAnsi="Times New Roman" w:cs="Times New Roman"/>
          <w:sz w:val="24"/>
          <w:szCs w:val="32"/>
          <w:lang w:val="en-US" w:eastAsia="zh-CN"/>
        </w:rPr>
        <w:t>*</w:t>
      </w:r>
    </w:p>
    <w:p w14:paraId="6624BD0C">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br w:type="page"/>
      </w:r>
    </w:p>
    <w:p w14:paraId="6375A1E0">
      <w:pP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48275" cy="4262120"/>
            <wp:effectExtent l="0" t="0" r="9525" b="5080"/>
            <wp:docPr id="6" name="图片 6" descr="Fig. S1 physio-chemical variables from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1 physio-chemical variables from multiple sources"/>
                    <pic:cNvPicPr>
                      <a:picLocks noChangeAspect="1"/>
                    </pic:cNvPicPr>
                  </pic:nvPicPr>
                  <pic:blipFill>
                    <a:blip r:embed="rId4"/>
                    <a:stretch>
                      <a:fillRect/>
                    </a:stretch>
                  </pic:blipFill>
                  <pic:spPr>
                    <a:xfrm>
                      <a:off x="0" y="0"/>
                      <a:ext cx="5248275" cy="4262120"/>
                    </a:xfrm>
                    <a:prstGeom prst="rect">
                      <a:avLst/>
                    </a:prstGeom>
                  </pic:spPr>
                </pic:pic>
              </a:graphicData>
            </a:graphic>
          </wp:inline>
        </w:drawing>
      </w:r>
    </w:p>
    <w:p w14:paraId="5BC4A4A9">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S1 |</w:t>
      </w:r>
      <w:r>
        <w:rPr>
          <w:rFonts w:hint="default" w:ascii="Times New Roman" w:hAnsi="Times New Roman" w:cs="Times New Roman"/>
          <w:b/>
          <w:bCs/>
          <w:lang w:val="en-US" w:eastAsia="zh-CN"/>
        </w:rPr>
        <w:t> Inter</w:t>
      </w:r>
      <w:r>
        <w:rPr>
          <w:rFonts w:hint="default" w:ascii="Times New Roman" w:hAnsi="Times New Roman" w:cs="Times New Roman"/>
          <w:b/>
          <w:bCs/>
          <w:lang w:val="en-US" w:eastAsia="zh-CN"/>
        </w:rPr>
        <w:noBreakHyphen/>
      </w:r>
      <w:r>
        <w:rPr>
          <w:rFonts w:hint="default" w:ascii="Times New Roman" w:hAnsi="Times New Roman" w:cs="Times New Roman"/>
          <w:b/>
          <w:bCs/>
          <w:lang w:val="en-US" w:eastAsia="zh-CN"/>
        </w:rPr>
        <w:t xml:space="preserve">annual consistency of </w:t>
      </w:r>
      <w:r>
        <w:rPr>
          <w:rFonts w:hint="eastAsia" w:ascii="Times New Roman" w:hAnsi="Times New Roman" w:cs="Times New Roman"/>
          <w:b/>
          <w:bCs/>
          <w:lang w:val="en-US" w:eastAsia="zh-CN"/>
        </w:rPr>
        <w:t xml:space="preserve">summer </w:t>
      </w:r>
      <w:r>
        <w:rPr>
          <w:rFonts w:hint="default" w:ascii="Times New Roman" w:hAnsi="Times New Roman" w:cs="Times New Roman"/>
          <w:b/>
          <w:bCs/>
          <w:lang w:val="en-US" w:eastAsia="zh-CN"/>
        </w:rPr>
        <w:t xml:space="preserve">environmental variables derived from multiple data sources in the </w:t>
      </w:r>
      <w:r>
        <w:rPr>
          <w:rFonts w:hint="eastAsia" w:ascii="Times New Roman" w:hAnsi="Times New Roman" w:cs="Times New Roman"/>
          <w:b/>
          <w:bCs/>
          <w:lang w:val="en-US" w:eastAsia="zh-CN"/>
        </w:rPr>
        <w:t xml:space="preserve">surface water of the </w:t>
      </w:r>
      <w:r>
        <w:rPr>
          <w:rFonts w:hint="default" w:ascii="Times New Roman" w:hAnsi="Times New Roman" w:cs="Times New Roman"/>
          <w:b/>
          <w:bCs/>
          <w:lang w:val="en-US" w:eastAsia="zh-CN"/>
        </w:rPr>
        <w:t>Yangtze Estuary from 2004 to 2023.</w:t>
      </w:r>
    </w:p>
    <w:p w14:paraId="1944985C">
      <w:pPr>
        <w:spacing w:line="360" w:lineRule="auto"/>
        <w:jc w:val="both"/>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a</w:t>
      </w:r>
      <w:r>
        <w:rPr>
          <w:rFonts w:hint="eastAsia" w:ascii="Times New Roman" w:hAnsi="Times New Roman" w:cs="Times New Roman"/>
          <w:b w:val="0"/>
          <w:bCs w:val="0"/>
          <w:lang w:val="en-US" w:eastAsia="zh-CN"/>
        </w:rPr>
        <w:t xml:space="preserve"> Salinity from CMEMS and NMDIS, showing comparable inter-annual patterns. </w:t>
      </w:r>
      <w:r>
        <w:rPr>
          <w:rFonts w:hint="eastAsia" w:ascii="Times New Roman" w:hAnsi="Times New Roman" w:cs="Times New Roman"/>
          <w:b/>
          <w:bCs/>
          <w:lang w:val="en-US" w:eastAsia="zh-CN"/>
        </w:rPr>
        <w:t>b</w:t>
      </w:r>
      <w:r>
        <w:rPr>
          <w:rFonts w:hint="eastAsia" w:ascii="Times New Roman" w:hAnsi="Times New Roman" w:cs="Times New Roman"/>
          <w:b w:val="0"/>
          <w:bCs w:val="0"/>
          <w:lang w:val="en-US" w:eastAsia="zh-CN"/>
        </w:rPr>
        <w:t xml:space="preserve"> Dissolved oxygen (DO) concentration from CMEMS, NMDIS, and the Lin dataset, showing comparable inter-annual patterns. </w:t>
      </w:r>
      <w:r>
        <w:rPr>
          <w:rFonts w:hint="eastAsia" w:ascii="Times New Roman" w:hAnsi="Times New Roman" w:cs="Times New Roman"/>
          <w:b/>
          <w:bCs/>
          <w:lang w:val="en-US" w:eastAsia="zh-CN"/>
        </w:rPr>
        <w:t xml:space="preserve">c </w:t>
      </w:r>
      <w:r>
        <w:rPr>
          <w:rFonts w:hint="eastAsia" w:ascii="Times New Roman" w:hAnsi="Times New Roman" w:cs="Times New Roman"/>
          <w:b w:val="0"/>
          <w:bCs w:val="0"/>
          <w:lang w:val="en-US" w:eastAsia="zh-CN"/>
        </w:rPr>
        <w:t xml:space="preserve">Dissolved inorganic nitrogen (DIN) concentration from CMEMS, NMDIS, and the Lin dataset, showing comparable inter-annual patterns. </w:t>
      </w:r>
      <w:r>
        <w:rPr>
          <w:rFonts w:hint="eastAsia" w:ascii="Times New Roman" w:hAnsi="Times New Roman" w:cs="Times New Roman"/>
          <w:b/>
          <w:bCs/>
          <w:lang w:val="en-US" w:eastAsia="zh-CN"/>
        </w:rPr>
        <w:t>d</w:t>
      </w:r>
      <w:r>
        <w:rPr>
          <w:rFonts w:hint="eastAsia" w:ascii="Times New Roman" w:hAnsi="Times New Roman" w:cs="Times New Roman"/>
          <w:b w:val="0"/>
          <w:bCs w:val="0"/>
          <w:lang w:val="en-US" w:eastAsia="zh-CN"/>
        </w:rPr>
        <w:t xml:space="preserve"> Phosphate concentration from CMEMS, NMDIS, and the Lin dataset, showing comparable inter-annual patterns. </w:t>
      </w:r>
      <w:r>
        <w:rPr>
          <w:rFonts w:hint="eastAsia" w:ascii="Times New Roman" w:hAnsi="Times New Roman" w:cs="Times New Roman"/>
          <w:b/>
          <w:bCs/>
          <w:lang w:val="en-US" w:eastAsia="zh-CN"/>
        </w:rPr>
        <w:t>e</w:t>
      </w:r>
      <w:r>
        <w:rPr>
          <w:rFonts w:hint="eastAsia" w:ascii="Times New Roman" w:hAnsi="Times New Roman" w:cs="Times New Roman"/>
          <w:b w:val="0"/>
          <w:bCs w:val="0"/>
          <w:lang w:val="en-US" w:eastAsia="zh-CN"/>
        </w:rPr>
        <w:t xml:space="preserve"> Chlorophyll </w:t>
      </w:r>
      <w:r>
        <w:rPr>
          <w:rFonts w:hint="eastAsia" w:ascii="Times New Roman" w:hAnsi="Times New Roman" w:cs="Times New Roman"/>
          <w:b w:val="0"/>
          <w:bCs w:val="0"/>
          <w:i w:val="0"/>
          <w:iCs w:val="0"/>
          <w:lang w:val="en-US" w:eastAsia="zh-CN"/>
        </w:rPr>
        <w:t>a</w:t>
      </w:r>
      <w:r>
        <w:rPr>
          <w:rFonts w:hint="eastAsia" w:ascii="Times New Roman" w:hAnsi="Times New Roman" w:cs="Times New Roman"/>
          <w:b w:val="0"/>
          <w:bCs w:val="0"/>
          <w:lang w:val="en-US" w:eastAsia="zh-CN"/>
        </w:rPr>
        <w:t xml:space="preserve"> (Chl </w:t>
      </w:r>
      <w:bookmarkStart w:id="0" w:name="_GoBack"/>
      <w:r>
        <w:rPr>
          <w:rFonts w:hint="eastAsia" w:ascii="Times New Roman" w:hAnsi="Times New Roman" w:cs="Times New Roman"/>
          <w:b w:val="0"/>
          <w:bCs w:val="0"/>
          <w:i w:val="0"/>
          <w:iCs w:val="0"/>
          <w:lang w:val="en-US" w:eastAsia="zh-CN"/>
        </w:rPr>
        <w:t>a</w:t>
      </w:r>
      <w:bookmarkEnd w:id="0"/>
      <w:r>
        <w:rPr>
          <w:rFonts w:hint="eastAsia" w:ascii="Times New Roman" w:hAnsi="Times New Roman" w:cs="Times New Roman"/>
          <w:b w:val="0"/>
          <w:bCs w:val="0"/>
          <w:lang w:val="en-US" w:eastAsia="zh-CN"/>
        </w:rPr>
        <w:t>) from CMEMS and NMDIS, showing comparable inter-annual patterns.</w:t>
      </w:r>
    </w:p>
    <w:p w14:paraId="62A1AB00">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26C40736">
      <w:pPr>
        <w:rPr>
          <w:rFonts w:hint="eastAsia" w:ascii="Times New Roman" w:hAnsi="Times New Roman" w:cs="Times New Roman"/>
          <w:lang w:val="en-US" w:eastAsia="zh-CN"/>
        </w:rPr>
      </w:pPr>
    </w:p>
    <w:p w14:paraId="344F7A0E">
      <w:pPr>
        <w:spacing w:line="36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3959860" cy="5338445"/>
            <wp:effectExtent l="0" t="0" r="2540" b="8255"/>
            <wp:docPr id="8" name="图片 8" descr="Fig. S2 PCA_biplot_and_PC1_consensus_break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2 PCA_biplot_and_PC1_consensus_breakpoint"/>
                    <pic:cNvPicPr>
                      <a:picLocks noChangeAspect="1"/>
                    </pic:cNvPicPr>
                  </pic:nvPicPr>
                  <pic:blipFill>
                    <a:blip r:embed="rId5"/>
                    <a:stretch>
                      <a:fillRect/>
                    </a:stretch>
                  </pic:blipFill>
                  <pic:spPr>
                    <a:xfrm>
                      <a:off x="0" y="0"/>
                      <a:ext cx="3959860" cy="5338445"/>
                    </a:xfrm>
                    <a:prstGeom prst="rect">
                      <a:avLst/>
                    </a:prstGeom>
                  </pic:spPr>
                </pic:pic>
              </a:graphicData>
            </a:graphic>
          </wp:inline>
        </w:drawing>
      </w:r>
    </w:p>
    <w:p w14:paraId="205AD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S2 | PCA summary of multi-taxa community composition and PC1 breakpoint detection results.</w:t>
      </w:r>
    </w:p>
    <w:p w14:paraId="4183F0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PCA biplot of the multi-taxa community matrix showing the first two principal components.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PC1 time series from 2004 to 2023 with breakpoints detected by three independent methods.</w:t>
      </w:r>
    </w:p>
    <w:p w14:paraId="371C8A0F">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51A17D82">
      <w:pPr>
        <w:spacing w:line="360" w:lineRule="auto"/>
        <w:jc w:val="center"/>
        <w:rPr>
          <w:rFonts w:hint="default"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4509135" cy="5702300"/>
            <wp:effectExtent l="0" t="0" r="12065" b="0"/>
            <wp:docPr id="9" name="图片 9" descr="Fig. S3 Cluster_analysis_of_all_biotic_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 S3 Cluster_analysis_of_all_biotic_species"/>
                    <pic:cNvPicPr>
                      <a:picLocks noChangeAspect="1"/>
                    </pic:cNvPicPr>
                  </pic:nvPicPr>
                  <pic:blipFill>
                    <a:blip r:embed="rId6"/>
                    <a:stretch>
                      <a:fillRect/>
                    </a:stretch>
                  </pic:blipFill>
                  <pic:spPr>
                    <a:xfrm>
                      <a:off x="0" y="0"/>
                      <a:ext cx="4509135" cy="5702300"/>
                    </a:xfrm>
                    <a:prstGeom prst="rect">
                      <a:avLst/>
                    </a:prstGeom>
                  </pic:spPr>
                </pic:pic>
              </a:graphicData>
            </a:graphic>
          </wp:inline>
        </w:drawing>
      </w:r>
      <w:r>
        <w:rPr>
          <w:rFonts w:hint="eastAsia" w:ascii="Times New Roman" w:hAnsi="Times New Roman" w:cs="Times New Roman"/>
          <w:lang w:val="en-US" w:eastAsia="zh-CN"/>
        </w:rPr>
        <w:t xml:space="preserve"> </w:t>
      </w:r>
    </w:p>
    <w:p w14:paraId="5A36E830">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S3 | Hierarchical clustering validation of the multi‑taxa community matrix using Bray-Curtis distance and UPGMA.</w:t>
      </w:r>
    </w:p>
    <w:p w14:paraId="5940FA69">
      <w:pPr>
        <w:spacing w:line="360" w:lineRule="auto"/>
        <w:jc w:val="both"/>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Average silhouette width for different cluster numbers, with the optimal number identified as k = 2.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Temporal trajectory of cluster membership from 2004 to 2023, showing multiple shifts between Cluster 1 and Cluster 2. </w:t>
      </w:r>
    </w:p>
    <w:p w14:paraId="02D7DF1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4BAF9AC1">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92090" cy="3175635"/>
            <wp:effectExtent l="0" t="0" r="3810" b="12065"/>
            <wp:docPr id="10" name="图片 10" descr="Fig. S4 regime_shift_four_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 S4 regime_shift_four_groups"/>
                    <pic:cNvPicPr>
                      <a:picLocks noChangeAspect="1"/>
                    </pic:cNvPicPr>
                  </pic:nvPicPr>
                  <pic:blipFill>
                    <a:blip r:embed="rId7"/>
                    <a:stretch>
                      <a:fillRect/>
                    </a:stretch>
                  </pic:blipFill>
                  <pic:spPr>
                    <a:xfrm>
                      <a:off x="0" y="0"/>
                      <a:ext cx="5292090" cy="3175635"/>
                    </a:xfrm>
                    <a:prstGeom prst="rect">
                      <a:avLst/>
                    </a:prstGeom>
                  </pic:spPr>
                </pic:pic>
              </a:graphicData>
            </a:graphic>
          </wp:inline>
        </w:drawing>
      </w:r>
    </w:p>
    <w:p w14:paraId="0EE72141">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S4 | Comparison of PCA-derived breakpoints and cluster-based change points for individual biotic groups.</w:t>
      </w:r>
    </w:p>
    <w:p w14:paraId="59C5983E">
      <w:pPr>
        <w:spacing w:line="360" w:lineRule="auto"/>
        <w:jc w:val="both"/>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Phytoplankton, with a consensus breakpoint identified in 2017 from the overlap of PCA-derived breakpoints and cluster-based change points.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Zooplankton, with no consensus between tow methods.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Nekton, with no consensus between two methods. </w:t>
      </w:r>
      <w:r>
        <w:rPr>
          <w:rFonts w:hint="eastAsia" w:ascii="Times New Roman" w:hAnsi="Times New Roman" w:cs="Times New Roman"/>
          <w:b/>
          <w:bCs/>
          <w:lang w:val="en-US" w:eastAsia="zh-CN"/>
        </w:rPr>
        <w:t>d</w:t>
      </w:r>
      <w:r>
        <w:rPr>
          <w:rFonts w:hint="eastAsia" w:ascii="Times New Roman" w:hAnsi="Times New Roman" w:cs="Times New Roman"/>
          <w:lang w:val="en-US" w:eastAsia="zh-CN"/>
        </w:rPr>
        <w:t xml:space="preserve"> Benthos, with no PC1 breakpoints detected.</w:t>
      </w:r>
    </w:p>
    <w:p w14:paraId="3DDB132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368D2649">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92090" cy="4410710"/>
            <wp:effectExtent l="0" t="0" r="3810" b="8890"/>
            <wp:docPr id="11" name="图片 11" descr="Fig. S5 not_significant_varialbes_deriv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5 not_significant_varialbes_derivative"/>
                    <pic:cNvPicPr>
                      <a:picLocks noChangeAspect="1"/>
                    </pic:cNvPicPr>
                  </pic:nvPicPr>
                  <pic:blipFill>
                    <a:blip r:embed="rId8"/>
                    <a:stretch>
                      <a:fillRect/>
                    </a:stretch>
                  </pic:blipFill>
                  <pic:spPr>
                    <a:xfrm>
                      <a:off x="0" y="0"/>
                      <a:ext cx="5292090" cy="4410710"/>
                    </a:xfrm>
                    <a:prstGeom prst="rect">
                      <a:avLst/>
                    </a:prstGeom>
                  </pic:spPr>
                </pic:pic>
              </a:graphicData>
            </a:graphic>
          </wp:inline>
        </w:drawing>
      </w:r>
    </w:p>
    <w:p w14:paraId="2252628E">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S5 | Environmental variables with no significant thresholds detected by the derivative method.</w:t>
      </w:r>
    </w:p>
    <w:p w14:paraId="71382351">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t>For each variables, the bootstrap confidence intervals of the derivatives contained zero and no significant curvature was detected in the response curves of SST (a), Salinity (b), pH (c), and Chla (d), respectively.</w:t>
      </w:r>
    </w:p>
    <w:p w14:paraId="1252B439">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4BE0032">
      <w:pPr>
        <w:spacing w:line="360" w:lineRule="auto"/>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19700" cy="4352925"/>
            <wp:effectExtent l="0" t="0" r="0" b="3175"/>
            <wp:docPr id="13" name="图片 13" descr="Fig. S6 significant_varialbes_Threshold_deriv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S6 significant_varialbes_Threshold_derivative"/>
                    <pic:cNvPicPr>
                      <a:picLocks noChangeAspect="1"/>
                    </pic:cNvPicPr>
                  </pic:nvPicPr>
                  <pic:blipFill>
                    <a:blip r:embed="rId9"/>
                    <a:stretch>
                      <a:fillRect/>
                    </a:stretch>
                  </pic:blipFill>
                  <pic:spPr>
                    <a:xfrm>
                      <a:off x="0" y="0"/>
                      <a:ext cx="5219700" cy="4352925"/>
                    </a:xfrm>
                    <a:prstGeom prst="rect">
                      <a:avLst/>
                    </a:prstGeom>
                  </pic:spPr>
                </pic:pic>
              </a:graphicData>
            </a:graphic>
          </wp:inline>
        </w:drawing>
      </w:r>
    </w:p>
    <w:p w14:paraId="58FC98AB">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S6 | Derivative method results for the four significant environmental drivers with significant thresholds. For each variable, the red dashed vertical line indicates the threshold identified by the derivative method, and the shaded areas represent the 95% bootstrap confidence intervals of the derivatives, which did not contain zero for any of the four thresholds, confirming their statistical significance at the</w:t>
      </w:r>
      <w:r>
        <w:rPr>
          <w:rFonts w:hint="default" w:ascii="Times New Roman" w:hAnsi="Times New Roman" w:cs="Times New Roman"/>
          <w:b/>
          <w:bCs/>
          <w:lang w:val="en-US" w:eastAsia="zh-CN"/>
        </w:rPr>
        <w:t xml:space="preserve"> α</w:t>
      </w:r>
      <w:r>
        <w:rPr>
          <w:rFonts w:hint="eastAsia" w:ascii="Times New Roman" w:hAnsi="Times New Roman" w:cs="Times New Roman"/>
          <w:b/>
          <w:bCs/>
          <w:lang w:val="en-US" w:eastAsia="zh-CN"/>
        </w:rPr>
        <w:t xml:space="preserve"> = 0.05 level.</w:t>
      </w:r>
    </w:p>
    <w:p w14:paraId="1A2EA2F9">
      <w:pPr>
        <w:spacing w:line="360" w:lineRule="auto"/>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 xml:space="preserve">a </w:t>
      </w:r>
      <w:r>
        <w:rPr>
          <w:rFonts w:hint="eastAsia" w:ascii="Times New Roman" w:hAnsi="Times New Roman" w:cs="Times New Roman"/>
          <w:b w:val="0"/>
          <w:bCs w:val="0"/>
          <w:lang w:val="en-US" w:eastAsia="zh-CN"/>
        </w:rPr>
        <w:t xml:space="preserve">DO with a negative slope and a significant threshold of 6.309 mg/L. </w:t>
      </w:r>
      <w:r>
        <w:rPr>
          <w:rFonts w:hint="eastAsia" w:ascii="Times New Roman" w:hAnsi="Times New Roman" w:cs="Times New Roman"/>
          <w:b/>
          <w:bCs/>
          <w:lang w:val="en-US" w:eastAsia="zh-CN"/>
        </w:rPr>
        <w:t>b</w:t>
      </w:r>
      <w:r>
        <w:rPr>
          <w:rFonts w:hint="eastAsia" w:ascii="Times New Roman" w:hAnsi="Times New Roman" w:cs="Times New Roman"/>
          <w:b w:val="0"/>
          <w:bCs w:val="0"/>
          <w:lang w:val="en-US" w:eastAsia="zh-CN"/>
        </w:rPr>
        <w:t xml:space="preserve"> DIN with a negative slope and a significant threshold of 1.57 mg/L. </w:t>
      </w:r>
      <w:r>
        <w:rPr>
          <w:rFonts w:hint="eastAsia" w:ascii="Times New Roman" w:hAnsi="Times New Roman" w:cs="Times New Roman"/>
          <w:b/>
          <w:bCs/>
          <w:lang w:val="en-US" w:eastAsia="zh-CN"/>
        </w:rPr>
        <w:t>c</w:t>
      </w:r>
      <w:r>
        <w:rPr>
          <w:rFonts w:hint="eastAsia" w:ascii="Times New Roman" w:hAnsi="Times New Roman" w:cs="Times New Roman"/>
          <w:b w:val="0"/>
          <w:bCs w:val="0"/>
          <w:lang w:val="en-US" w:eastAsia="zh-CN"/>
        </w:rPr>
        <w:t xml:space="preserve"> phosphate with a negative slope and a significant threshold of 0.038 mg/L. </w:t>
      </w:r>
      <w:r>
        <w:rPr>
          <w:rFonts w:hint="eastAsia" w:ascii="Times New Roman" w:hAnsi="Times New Roman" w:cs="Times New Roman"/>
          <w:b/>
          <w:bCs/>
          <w:lang w:val="en-US" w:eastAsia="zh-CN"/>
        </w:rPr>
        <w:t>d</w:t>
      </w:r>
      <w:r>
        <w:rPr>
          <w:rFonts w:hint="eastAsia" w:ascii="Times New Roman" w:hAnsi="Times New Roman" w:cs="Times New Roman"/>
          <w:b w:val="0"/>
          <w:bCs w:val="0"/>
          <w:lang w:val="en-US" w:eastAsia="zh-CN"/>
        </w:rPr>
        <w:t xml:space="preserve"> N/P ratio with a negative slope and a significant threshold of 23.145.</w:t>
      </w:r>
    </w:p>
    <w:p w14:paraId="01733DB2">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67557298">
      <w:pPr>
        <w:rPr>
          <w:rFonts w:hint="eastAsia" w:ascii="Times New Roman" w:hAnsi="Times New Roman" w:cs="Times New Roman"/>
          <w:lang w:val="en-US" w:eastAsia="zh-CN"/>
        </w:rPr>
      </w:pPr>
    </w:p>
    <w:p w14:paraId="299D8BE3">
      <w:pP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57800" cy="4381500"/>
            <wp:effectExtent l="0" t="0" r="0" b="0"/>
            <wp:docPr id="15" name="图片 15" descr="Fig. S7 significant_variables_Threshold_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 S7 significant_variables_Threshold_GAM"/>
                    <pic:cNvPicPr>
                      <a:picLocks noChangeAspect="1"/>
                    </pic:cNvPicPr>
                  </pic:nvPicPr>
                  <pic:blipFill>
                    <a:blip r:embed="rId10"/>
                    <a:stretch>
                      <a:fillRect/>
                    </a:stretch>
                  </pic:blipFill>
                  <pic:spPr>
                    <a:xfrm>
                      <a:off x="0" y="0"/>
                      <a:ext cx="5257800" cy="4381500"/>
                    </a:xfrm>
                    <a:prstGeom prst="rect">
                      <a:avLst/>
                    </a:prstGeom>
                  </pic:spPr>
                </pic:pic>
              </a:graphicData>
            </a:graphic>
          </wp:inline>
        </w:drawing>
      </w:r>
    </w:p>
    <w:p w14:paraId="4B5420EB">
      <w:pPr>
        <w:rPr>
          <w:rFonts w:hint="eastAsia" w:ascii="Times New Roman" w:hAnsi="Times New Roman" w:cs="Times New Roman"/>
          <w:lang w:val="en-US" w:eastAsia="zh-CN"/>
        </w:rPr>
      </w:pPr>
    </w:p>
    <w:p w14:paraId="01D646C6">
      <w:pPr>
        <w:rPr>
          <w:rFonts w:hint="eastAsia" w:ascii="Times New Roman" w:hAnsi="Times New Roman" w:cs="Times New Roman"/>
          <w:lang w:val="en-US" w:eastAsia="zh-CN"/>
        </w:rPr>
      </w:pPr>
    </w:p>
    <w:p w14:paraId="6104A31E">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S7 | GAM-based permutation test results for the four environmental drivers that exhibited significant thresholds in the derivative method. For each variable, the red dashed line indicates the observed deviance, and p values were calculated as the proportion of permuted deviances exceeding the observed deviance.Thresholds with p &lt; 0.05 were considered statistically significant.</w:t>
      </w:r>
    </w:p>
    <w:p w14:paraId="1558D1E2">
      <w:pPr>
        <w:spacing w:line="36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DO with a significant threshold of 6.309 mg/L confirmed by GAM permutation (p = 0).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DIN with a threshold of 1.57 mg/L consistent with the derivative method, though the GAM p value was non-significant (p = 0.231).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Phosphate with a nearly identical threshold of 0.0383 mg/L confirmed by GAM permutation (p = 0.010). </w:t>
      </w:r>
      <w:r>
        <w:rPr>
          <w:rFonts w:hint="eastAsia" w:ascii="Times New Roman" w:hAnsi="Times New Roman" w:cs="Times New Roman"/>
          <w:b/>
          <w:bCs/>
          <w:lang w:val="en-US" w:eastAsia="zh-CN"/>
        </w:rPr>
        <w:t>d</w:t>
      </w:r>
      <w:r>
        <w:rPr>
          <w:rFonts w:hint="eastAsia" w:ascii="Times New Roman" w:hAnsi="Times New Roman" w:cs="Times New Roman"/>
          <w:lang w:val="en-US" w:eastAsia="zh-CN"/>
        </w:rPr>
        <w:t xml:space="preserve"> N/P ratio with a threshold of 23.14 consistent with the derivative method, confirmed by GAM permutation as significant (p = 0.045).</w:t>
      </w:r>
    </w:p>
    <w:p w14:paraId="12DA217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5152BD40">
      <w:pPr>
        <w:spacing w:line="36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4679950" cy="6997065"/>
            <wp:effectExtent l="0" t="0" r="6350" b="635"/>
            <wp:docPr id="16" name="图片 16" descr="Fig. S8 Threshold_S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 S8 Threshold_SiZer"/>
                    <pic:cNvPicPr>
                      <a:picLocks noChangeAspect="1"/>
                    </pic:cNvPicPr>
                  </pic:nvPicPr>
                  <pic:blipFill>
                    <a:blip r:embed="rId11"/>
                    <a:stretch>
                      <a:fillRect/>
                    </a:stretch>
                  </pic:blipFill>
                  <pic:spPr>
                    <a:xfrm>
                      <a:off x="0" y="0"/>
                      <a:ext cx="4679950" cy="6997065"/>
                    </a:xfrm>
                    <a:prstGeom prst="rect">
                      <a:avLst/>
                    </a:prstGeom>
                  </pic:spPr>
                </pic:pic>
              </a:graphicData>
            </a:graphic>
          </wp:inline>
        </w:drawing>
      </w:r>
    </w:p>
    <w:p w14:paraId="24543B75">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S8 | SiZer analysis results for three environmental drivers with candidate thresholds detected. SiZer provides graphical derivative significance across smoothing scales without p values or confidence intervals. These thresholds are therefore exploratory and used solely for corroboration. SiZer detected no threshold for DIN.</w:t>
      </w:r>
    </w:p>
    <w:p w14:paraId="530CCE48">
      <w:pPr>
        <w:spacing w:line="36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DO with a SiZer-detected threshold of 6.794 mg/L.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Phosphate with a SiZer-detected threshold of 0.023 mg/L.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N/P ratio with a SiZer-detected threshold of 113.30.</w:t>
      </w:r>
      <w:r>
        <w:rPr>
          <w:rFonts w:hint="eastAsia" w:ascii="Times New Roman" w:hAnsi="Times New Roman" w:cs="Times New Roman"/>
          <w:lang w:val="en-US" w:eastAsia="zh-CN"/>
        </w:rPr>
        <w:br w:type="page"/>
      </w:r>
    </w:p>
    <w:p w14:paraId="5EA4DD6D">
      <w:pPr>
        <w:jc w:val="center"/>
        <w:rPr>
          <w:rFonts w:hint="eastAsia" w:eastAsiaTheme="minor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4028440</wp:posOffset>
                </wp:positionH>
                <wp:positionV relativeFrom="paragraph">
                  <wp:posOffset>251460</wp:posOffset>
                </wp:positionV>
                <wp:extent cx="231140" cy="247650"/>
                <wp:effectExtent l="0" t="0" r="0" b="0"/>
                <wp:wrapNone/>
                <wp:docPr id="3" name="文本框 3"/>
                <wp:cNvGraphicFramePr/>
                <a:graphic xmlns:a="http://schemas.openxmlformats.org/drawingml/2006/main">
                  <a:graphicData uri="http://schemas.microsoft.com/office/word/2010/wordprocessingShape">
                    <wps:wsp>
                      <wps:cNvSpPr txBox="1"/>
                      <wps:spPr>
                        <a:xfrm>
                          <a:off x="5069205" y="1276985"/>
                          <a:ext cx="23114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513CA">
                            <w:pPr>
                              <w:spacing w:line="240" w:lineRule="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2pt;margin-top:19.8pt;height:19.5pt;width:18.2pt;z-index:251659264;mso-width-relative:page;mso-height-relative:page;" filled="f" stroked="f" coordsize="21600,21600" o:gfxdata="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GgCX2wAAAAkBAAAPAAAAAAAA&#10;AAEAIAAAACIAAABkcnMvZG93bnJldi54bWxQSwECFAAUAAAACACHTuJAszIFUkgCAABxBAAADgAA&#10;AAAAAAABACAAAAAqAQAAZHJzL2Uyb0RvYy54bWxQSwUGAAAAAAYABgBZAQAA5AUAAAAA&#10;">
                <v:fill on="f" focussize="0,0"/>
                <v:stroke on="f" weight="0.5pt"/>
                <v:imagedata o:title=""/>
                <o:lock v:ext="edit" aspectratio="f"/>
                <v:textbox>
                  <w:txbxContent>
                    <w:p w14:paraId="363513CA">
                      <w:pPr>
                        <w:spacing w:line="240" w:lineRule="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a</w:t>
                      </w:r>
                    </w:p>
                  </w:txbxContent>
                </v:textbox>
              </v:shape>
            </w:pict>
          </mc:Fallback>
        </mc:AlternateContent>
      </w:r>
      <w:r>
        <w:rPr>
          <w:rFonts w:hint="eastAsia" w:eastAsiaTheme="minorEastAsia"/>
          <w:lang w:eastAsia="zh-CN"/>
        </w:rPr>
        <w:drawing>
          <wp:inline distT="0" distB="0" distL="114300" distR="114300">
            <wp:extent cx="3780155" cy="3148965"/>
            <wp:effectExtent l="0" t="0" r="0" b="0"/>
            <wp:docPr id="1" name="图片 1" descr="72f0bec7ff5cb104dee65842a2268b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f0bec7ff5cb104dee65842a2268b0e"/>
                    <pic:cNvPicPr>
                      <a:picLocks noChangeAspect="1"/>
                    </pic:cNvPicPr>
                  </pic:nvPicPr>
                  <pic:blipFill>
                    <a:blip r:embed="rId12"/>
                    <a:srcRect b="840"/>
                    <a:stretch>
                      <a:fillRect/>
                    </a:stretch>
                  </pic:blipFill>
                  <pic:spPr>
                    <a:xfrm>
                      <a:off x="0" y="0"/>
                      <a:ext cx="3780155" cy="3148965"/>
                    </a:xfrm>
                    <a:prstGeom prst="rect">
                      <a:avLst/>
                    </a:prstGeom>
                  </pic:spPr>
                </pic:pic>
              </a:graphicData>
            </a:graphic>
          </wp:inline>
        </w:drawing>
      </w:r>
    </w:p>
    <w:p w14:paraId="09208C63">
      <w:pPr>
        <w:jc w:val="center"/>
        <w:rPr>
          <w:rFonts w:hint="eastAsia" w:eastAsiaTheme="minorEastAsia"/>
          <w:lang w:eastAsia="zh-CN"/>
        </w:rPr>
      </w:pPr>
      <w:r>
        <w:rPr>
          <w:rFonts w:hint="eastAsia" w:eastAsiaTheme="minorEastAsia"/>
          <w:lang w:eastAsia="zh-CN"/>
        </w:rPr>
        <w:drawing>
          <wp:inline distT="0" distB="0" distL="114300" distR="114300">
            <wp:extent cx="3780155" cy="3175000"/>
            <wp:effectExtent l="0" t="0" r="4445" b="0"/>
            <wp:docPr id="2" name="图片 2" descr="40b89ec64888e869885cf3d115e218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0b89ec64888e869885cf3d115e218b7"/>
                    <pic:cNvPicPr>
                      <a:picLocks noChangeAspect="1"/>
                    </pic:cNvPicPr>
                  </pic:nvPicPr>
                  <pic:blipFill>
                    <a:blip r:embed="rId13"/>
                    <a:stretch>
                      <a:fillRect/>
                    </a:stretch>
                  </pic:blipFill>
                  <pic:spPr>
                    <a:xfrm>
                      <a:off x="0" y="0"/>
                      <a:ext cx="3780155" cy="3175000"/>
                    </a:xfrm>
                    <a:prstGeom prst="rect">
                      <a:avLst/>
                    </a:prstGeom>
                  </pic:spPr>
                </pic:pic>
              </a:graphicData>
            </a:graphic>
          </wp:inline>
        </w:drawing>
      </w:r>
      <w:r>
        <w:rPr>
          <w:sz w:val="21"/>
        </w:rPr>
        <mc:AlternateContent>
          <mc:Choice Requires="wps">
            <w:drawing>
              <wp:anchor distT="0" distB="0" distL="114300" distR="114300" simplePos="0" relativeHeight="251660288" behindDoc="0" locked="0" layoutInCell="1" allowOverlap="1">
                <wp:simplePos x="0" y="0"/>
                <wp:positionH relativeFrom="column">
                  <wp:posOffset>4029075</wp:posOffset>
                </wp:positionH>
                <wp:positionV relativeFrom="paragraph">
                  <wp:posOffset>241300</wp:posOffset>
                </wp:positionV>
                <wp:extent cx="231140" cy="2476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3114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48A1B">
                            <w:pPr>
                              <w:spacing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25pt;margin-top:19pt;height:19.5pt;width:18.2pt;z-index:251660288;mso-width-relative:page;mso-height-relative:page;" filled="f" stroked="f" coordsize="21600,21600" o:gfxdata="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aLXe9sAAAAJAQAADwAAAAAAAAABACAAAAAiAAAAZHJz&#10;L2Rvd25yZXYueG1sUEsBAhQAFAAAAAgAh07iQFx0XHI6AgAAZQQAAA4AAAAAAAAAAQAgAAAAKgEA&#10;AGRycy9lMm9Eb2MueG1sUEsFBgAAAAAGAAYAWQEAANYFAAAAAA==&#10;">
                <v:fill on="f" focussize="0,0"/>
                <v:stroke on="f" weight="0.5pt"/>
                <v:imagedata o:title=""/>
                <o:lock v:ext="edit" aspectratio="f"/>
                <v:textbox>
                  <w:txbxContent>
                    <w:p w14:paraId="22848A1B">
                      <w:pPr>
                        <w:spacing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b</w:t>
                      </w:r>
                    </w:p>
                  </w:txbxContent>
                </v:textbox>
              </v:shape>
            </w:pict>
          </mc:Fallback>
        </mc:AlternateContent>
      </w:r>
    </w:p>
    <w:p w14:paraId="4BF4A0EE">
      <w:pPr>
        <w:spacing w:line="360" w:lineRule="auto"/>
        <w:jc w:val="center"/>
        <w:rPr>
          <w:rFonts w:hint="eastAsia" w:ascii="Times New Roman" w:hAnsi="Times New Roman" w:cs="Times New Roman"/>
          <w:b/>
          <w:bCs/>
          <w:lang w:val="en-US" w:eastAsia="zh-CN"/>
        </w:rPr>
      </w:pPr>
      <w:r>
        <w:rPr>
          <w:rFonts w:hint="default" w:ascii="Times New Roman" w:hAnsi="Times New Roman" w:cs="Times New Roman"/>
          <w:b/>
          <w:bCs/>
          <w:lang w:val="en-US" w:eastAsia="zh-CN"/>
        </w:rPr>
        <w:t>Fig. S</w:t>
      </w:r>
      <w:r>
        <w:rPr>
          <w:rFonts w:hint="eastAsia" w:ascii="Times New Roman" w:hAnsi="Times New Roman" w:cs="Times New Roman"/>
          <w:b/>
          <w:bCs/>
          <w:lang w:val="en-US" w:eastAsia="zh-CN"/>
        </w:rPr>
        <w:t>9 |</w:t>
      </w:r>
      <w:r>
        <w:rPr>
          <w:rFonts w:hint="default" w:ascii="Times New Roman" w:hAnsi="Times New Roman" w:cs="Times New Roman"/>
          <w:b/>
          <w:bCs/>
          <w:lang w:val="en-US" w:eastAsia="zh-CN"/>
        </w:rPr>
        <w:t xml:space="preserve"> Locations of biological </w:t>
      </w:r>
      <w:r>
        <w:rPr>
          <w:rFonts w:hint="eastAsia" w:ascii="Times New Roman" w:hAnsi="Times New Roman" w:cs="Times New Roman"/>
          <w:b/>
          <w:bCs/>
          <w:lang w:val="en-US" w:eastAsia="zh-CN"/>
        </w:rPr>
        <w:t xml:space="preserve">(a) </w:t>
      </w:r>
      <w:r>
        <w:rPr>
          <w:rFonts w:hint="default" w:ascii="Times New Roman" w:hAnsi="Times New Roman" w:cs="Times New Roman"/>
          <w:b/>
          <w:bCs/>
          <w:lang w:val="en-US" w:eastAsia="zh-CN"/>
        </w:rPr>
        <w:t xml:space="preserve">and environmental </w:t>
      </w:r>
      <w:r>
        <w:rPr>
          <w:rFonts w:hint="eastAsia" w:ascii="Times New Roman" w:hAnsi="Times New Roman" w:cs="Times New Roman"/>
          <w:b/>
          <w:bCs/>
          <w:lang w:val="en-US" w:eastAsia="zh-CN"/>
        </w:rPr>
        <w:t xml:space="preserve">(b) data </w:t>
      </w:r>
      <w:r>
        <w:rPr>
          <w:rFonts w:hint="default" w:ascii="Times New Roman" w:hAnsi="Times New Roman" w:cs="Times New Roman"/>
          <w:b/>
          <w:bCs/>
          <w:lang w:val="en-US" w:eastAsia="zh-CN"/>
        </w:rPr>
        <w:t xml:space="preserve">stations </w:t>
      </w:r>
      <w:r>
        <w:rPr>
          <w:rFonts w:hint="eastAsia" w:ascii="Times New Roman" w:hAnsi="Times New Roman" w:cs="Times New Roman"/>
          <w:b/>
          <w:bCs/>
          <w:lang w:val="en-US" w:eastAsia="zh-CN"/>
        </w:rPr>
        <w:t>in the Yangtze Estuary. a. Sampling sites of phytoplankton, zooplankton,</w:t>
      </w:r>
      <w:r>
        <w:rPr>
          <w:rFonts w:hint="default" w:ascii="Times New Roman" w:hAnsi="Times New Roman" w:cs="Times New Roman"/>
          <w:b/>
          <w:bCs/>
        </w:rPr>
        <w:t xml:space="preserve"> </w:t>
      </w:r>
      <w:r>
        <w:rPr>
          <w:rFonts w:hint="eastAsia" w:ascii="Times New Roman" w:hAnsi="Times New Roman" w:cs="Times New Roman"/>
          <w:b/>
          <w:bCs/>
          <w:lang w:val="en-US" w:eastAsia="zh-CN"/>
        </w:rPr>
        <w:t>necton, and benthos. b. Environmental data sources included in-situ measurements (NMDIS) and gridded datasets originated from Lin et al. (2023) and CMEMS, from which values were extracted for the grid cells nearest to each biological sampling station.</w:t>
      </w:r>
    </w:p>
    <w:p w14:paraId="56896148">
      <w:pPr>
        <w:spacing w:line="360" w:lineRule="auto"/>
        <w:jc w:val="center"/>
        <w:rPr>
          <w:rFonts w:hint="eastAsia"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B7B4A"/>
    <w:rsid w:val="07C30563"/>
    <w:rsid w:val="08D67BAA"/>
    <w:rsid w:val="185A389F"/>
    <w:rsid w:val="23496255"/>
    <w:rsid w:val="26DA43A7"/>
    <w:rsid w:val="2A2B593B"/>
    <w:rsid w:val="2FC13F38"/>
    <w:rsid w:val="30975739"/>
    <w:rsid w:val="3CF70ECC"/>
    <w:rsid w:val="3D0C4E0B"/>
    <w:rsid w:val="415121A7"/>
    <w:rsid w:val="47904F73"/>
    <w:rsid w:val="4EEC1AE4"/>
    <w:rsid w:val="50EB7B83"/>
    <w:rsid w:val="517357BC"/>
    <w:rsid w:val="5A85651A"/>
    <w:rsid w:val="5EC067A6"/>
    <w:rsid w:val="610D0C72"/>
    <w:rsid w:val="687A03D1"/>
    <w:rsid w:val="69477C7C"/>
    <w:rsid w:val="79654AD4"/>
    <w:rsid w:val="7F4B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705</Words>
  <Characters>3976</Characters>
  <Lines>0</Lines>
  <Paragraphs>0</Paragraphs>
  <TotalTime>1</TotalTime>
  <ScaleCrop>false</ScaleCrop>
  <LinksUpToDate>false</LinksUpToDate>
  <CharactersWithSpaces>4662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2026-07-14T08:55:00Z</dcterms:created>
  <dc:creator>欧丹云</dc:creator>
  <cp:lastModifiedBy>欧丹云</cp:lastModifiedBy>
  <dcterms:modified xsi:type="dcterms:W3CDTF">2026-08-04T13:34:01Z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16538C80A05548E98EB81B1E1807B9DF_11</vt:lpwstr>
  </property>
  <property fmtid="{D5CDD505-2E9C-101B-9397-08002B2CF9AE}" pid="4" name="KSOTemplateDocerSaveRecord">
    <vt:lpwstr>eyJoZGlkIjoiMjVjMDhkOTY1NWVjZWJjNmRmNjZkZTY2YTY5YjNhNjEiLCJ1c2VySWQiOiI0NDI3ODA1NDcifQ==</vt:lpwstr>
  </property>
</Properties>
</file>