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6C483D1" w:rsidR="00447C6B" w:rsidRDefault="006F04E5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  <w:r w:rsidRPr="00293684">
        <w:rPr>
          <w:rFonts w:ascii="Times New Roman" w:hAnsi="Times New Roman" w:cs="Times New Roman"/>
          <w:b/>
          <w:bCs/>
          <w:lang w:val="en-IN"/>
        </w:rPr>
        <w:t>Supplementary</w:t>
      </w:r>
    </w:p>
    <w:p w14:paraId="01B51157" w14:textId="77777777" w:rsidR="009821D4" w:rsidRPr="009821D4" w:rsidRDefault="009821D4" w:rsidP="009821D4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Cs w:val="22"/>
          <w:lang w:eastAsia="en-IN"/>
        </w:rPr>
      </w:pPr>
      <w:r w:rsidRPr="009821D4">
        <w:rPr>
          <w:rFonts w:ascii="Times New Roman" w:eastAsia="Arial" w:hAnsi="Times New Roman" w:cs="Times New Roman"/>
          <w:b/>
          <w:bCs/>
          <w:color w:val="000000"/>
          <w:szCs w:val="22"/>
          <w:lang w:eastAsia="en-IN"/>
        </w:rPr>
        <w:t xml:space="preserve">Title: Hyperglycemia-associated immunometabolic rewiring worsens mitochondrial dysfunction and inflammatory imbalance during </w:t>
      </w:r>
      <w:r w:rsidRPr="009821D4">
        <w:rPr>
          <w:rFonts w:ascii="Times New Roman" w:eastAsia="Arial" w:hAnsi="Times New Roman" w:cs="Times New Roman"/>
          <w:b/>
          <w:bCs/>
          <w:i/>
          <w:iCs/>
          <w:color w:val="000000"/>
          <w:szCs w:val="22"/>
          <w:lang w:eastAsia="en-IN"/>
        </w:rPr>
        <w:t>Burkholderia cepacia</w:t>
      </w:r>
      <w:r w:rsidRPr="009821D4">
        <w:rPr>
          <w:rFonts w:ascii="Times New Roman" w:eastAsia="Arial" w:hAnsi="Times New Roman" w:cs="Times New Roman"/>
          <w:b/>
          <w:bCs/>
          <w:color w:val="000000"/>
          <w:szCs w:val="22"/>
          <w:lang w:eastAsia="en-IN"/>
        </w:rPr>
        <w:t xml:space="preserve"> infection</w:t>
      </w:r>
    </w:p>
    <w:p w14:paraId="4E4BF0DA" w14:textId="0DCCE2D6" w:rsidR="009821D4" w:rsidRPr="009821D4" w:rsidRDefault="009821D4" w:rsidP="009821D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lang w:val="en" w:eastAsia="en-IN"/>
        </w:rPr>
      </w:pPr>
      <w:r w:rsidRPr="009821D4">
        <w:rPr>
          <w:rFonts w:ascii="Times New Roman" w:eastAsia="Arial" w:hAnsi="Times New Roman" w:cs="Times New Roman"/>
          <w:b/>
          <w:bCs/>
          <w:color w:val="000000"/>
          <w:szCs w:val="22"/>
          <w:lang w:val="en" w:eastAsia="en-IN"/>
        </w:rPr>
        <w:t xml:space="preserve">Authors: 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Supriyo Mukherjee</w:t>
      </w:r>
      <w:r w:rsidR="00415EF9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1</w:t>
      </w:r>
      <w:r w:rsidRPr="009821D4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*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, Aishwariya Madhavan</w:t>
      </w:r>
      <w:r w:rsidR="00415EF9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1</w:t>
      </w:r>
      <w:r w:rsidRPr="009821D4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*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, Monalisa Biswas</w:t>
      </w:r>
      <w:r w:rsidR="00415EF9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1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, Yajna S. Phaneendra Mallimoggala</w:t>
      </w:r>
      <w:r w:rsidR="00415EF9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1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, Soujanya Ganapati Bhat</w:t>
      </w:r>
      <w:r w:rsidR="00415EF9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val="en" w:eastAsia="en-IN"/>
        </w:rPr>
        <w:t>1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 xml:space="preserve">, </w:t>
      </w:r>
      <w:proofErr w:type="spellStart"/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Priyajit</w:t>
      </w:r>
      <w:proofErr w:type="spellEnd"/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 xml:space="preserve"> Changdar</w:t>
      </w:r>
      <w:r w:rsidR="00415EF9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val="en" w:eastAsia="en-IN"/>
        </w:rPr>
        <w:t>2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 xml:space="preserve">, Sindhura Lakshmi </w:t>
      </w:r>
      <w:proofErr w:type="spellStart"/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Koulmane</w:t>
      </w:r>
      <w:proofErr w:type="spellEnd"/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 xml:space="preserve"> Laxminarayana</w:t>
      </w:r>
      <w:r w:rsidR="00415EF9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3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 xml:space="preserve">, </w:t>
      </w:r>
      <w:proofErr w:type="spellStart"/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Chiranjay</w:t>
      </w:r>
      <w:proofErr w:type="spellEnd"/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 xml:space="preserve"> Mukhopadhyay</w:t>
      </w:r>
      <w:r w:rsidR="00584321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4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, Somasish Ghosh Dastidar</w:t>
      </w:r>
      <w:r w:rsidR="00584321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5</w:t>
      </w:r>
      <w:r w:rsidRPr="009821D4">
        <w:rPr>
          <w:rFonts w:ascii="Times New Roman" w:eastAsia="Times New Roman" w:hAnsi="Times New Roman" w:cs="Times New Roman"/>
          <w:b/>
          <w:bCs/>
          <w:color w:val="000000"/>
          <w:lang w:val="en" w:eastAsia="en-IN"/>
        </w:rPr>
        <w:t>, Ranita Ghosh Dastidar</w:t>
      </w:r>
      <w:r w:rsidR="00584321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1</w:t>
      </w:r>
      <w:r w:rsidRPr="009821D4"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  <w:t>#</w:t>
      </w:r>
    </w:p>
    <w:p w14:paraId="5263C525" w14:textId="77777777" w:rsidR="009821D4" w:rsidRPr="009821D4" w:rsidRDefault="009821D4" w:rsidP="009821D4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lang w:val="en-IN" w:eastAsia="en-IN"/>
        </w:rPr>
      </w:pPr>
      <w:r w:rsidRPr="009821D4">
        <w:rPr>
          <w:rFonts w:ascii="Times New Roman" w:eastAsia="Arial" w:hAnsi="Times New Roman" w:cs="Times New Roman"/>
          <w:b/>
          <w:bCs/>
          <w:color w:val="000000"/>
          <w:lang w:val="en-IN" w:eastAsia="en-IN"/>
        </w:rPr>
        <w:t>ORCID and Email ID:</w:t>
      </w:r>
    </w:p>
    <w:p w14:paraId="588EF023" w14:textId="77777777" w:rsidR="009821D4" w:rsidRPr="009821D4" w:rsidRDefault="009821D4" w:rsidP="009821D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en-IN" w:eastAsia="en-IN"/>
        </w:rPr>
      </w:pPr>
      <w:r w:rsidRPr="009821D4">
        <w:rPr>
          <w:rFonts w:ascii="Times New Roman" w:eastAsia="Arial" w:hAnsi="Times New Roman" w:cs="Times New Roman"/>
          <w:color w:val="000000"/>
          <w:lang w:val="en-IN" w:eastAsia="en-IN"/>
        </w:rPr>
        <w:t xml:space="preserve">Supriyo Mukherjee: 0000-0001-5854-7197, supriyo.kmcmpl2023@learner.manipal.edu; Aishwariya Madhavan: 0000-0002-2410-7027, aishwariya.kmcmpl2023@learner.manipal.edu; </w:t>
      </w:r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 xml:space="preserve">Monalisa Biswas: 0000-0002-1186-3907, monalisa.b@manipal.edu; Yajna S. Phaneendra </w:t>
      </w:r>
      <w:proofErr w:type="spellStart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>Mallimoggala</w:t>
      </w:r>
      <w:proofErr w:type="spellEnd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 xml:space="preserve">: 0000-0001-7009-4223, moggala.y@learner.manipal.edu; Soujanya Ganapati Bhat: 0009-0005-9500-2440, soujanya.kmcmpl2025@learner.manipal.edu; </w:t>
      </w:r>
      <w:proofErr w:type="spellStart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>Priyajit</w:t>
      </w:r>
      <w:proofErr w:type="spellEnd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 xml:space="preserve"> </w:t>
      </w:r>
      <w:proofErr w:type="spellStart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>Changdar</w:t>
      </w:r>
      <w:proofErr w:type="spellEnd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 xml:space="preserve">: 0009-0005-7756-6197, priyajit.kmcmpl2022@learner.manipal.edu; Sindhura Lakshmi </w:t>
      </w:r>
      <w:proofErr w:type="spellStart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>Koulmane</w:t>
      </w:r>
      <w:proofErr w:type="spellEnd"/>
      <w:r w:rsidRPr="009821D4">
        <w:rPr>
          <w:rFonts w:ascii="Times New Roman" w:eastAsia="Times New Roman" w:hAnsi="Times New Roman" w:cs="Times New Roman"/>
          <w:color w:val="000000"/>
          <w:lang w:val="en" w:eastAsia="en-IN"/>
        </w:rPr>
        <w:t xml:space="preserve"> Laxminarayana: 0000-0002-8925-0000, sindhura.lakshmi@manipal.edu; </w:t>
      </w:r>
      <w:r w:rsidRPr="009821D4">
        <w:rPr>
          <w:rFonts w:ascii="Times New Roman" w:eastAsia="Arial" w:hAnsi="Times New Roman" w:cs="Times New Roman"/>
          <w:color w:val="000000"/>
          <w:lang w:val="en-IN" w:eastAsia="en-IN"/>
        </w:rPr>
        <w:t xml:space="preserve">Chiranjay Mukhopadhyay: 0000-0003-0402-1143, chiranjay.m@manipal.edu; Somasish Ghosh Dastidar: </w:t>
      </w:r>
      <w:r w:rsidRPr="009821D4">
        <w:rPr>
          <w:rFonts w:ascii="Times New Roman" w:eastAsia="Arial" w:hAnsi="Times New Roman" w:cs="Times New Roman"/>
          <w:color w:val="000000"/>
          <w:lang w:val="en" w:eastAsia="en-IN"/>
        </w:rPr>
        <w:t>0000-0003-4123-1801, somasish.gd@manipal.edu</w:t>
      </w:r>
      <w:r w:rsidRPr="009821D4">
        <w:rPr>
          <w:rFonts w:ascii="Times New Roman" w:eastAsia="Arial" w:hAnsi="Times New Roman" w:cs="Times New Roman"/>
          <w:color w:val="000000"/>
          <w:lang w:val="en-IN" w:eastAsia="en-IN"/>
        </w:rPr>
        <w:t xml:space="preserve">; Ranita Ghosh Dastidar: 0000-0001-6773-1113, </w:t>
      </w:r>
      <w:proofErr w:type="spellStart"/>
      <w:r w:rsidRPr="009821D4">
        <w:rPr>
          <w:rFonts w:ascii="Times New Roman" w:eastAsia="Arial" w:hAnsi="Times New Roman" w:cs="Times New Roman"/>
          <w:color w:val="000000"/>
          <w:lang w:val="en-IN" w:eastAsia="en-IN"/>
        </w:rPr>
        <w:t>ranita.gd@manipal</w:t>
      </w:r>
      <w:proofErr w:type="spellEnd"/>
      <w:r w:rsidRPr="009821D4">
        <w:rPr>
          <w:rFonts w:ascii="Times New Roman" w:eastAsia="Arial" w:hAnsi="Times New Roman" w:cs="Times New Roman"/>
          <w:color w:val="000000"/>
          <w:lang w:val="en-IN" w:eastAsia="en-IN"/>
        </w:rPr>
        <w:t xml:space="preserve"> .</w:t>
      </w:r>
      <w:proofErr w:type="spellStart"/>
      <w:r w:rsidRPr="009821D4">
        <w:rPr>
          <w:rFonts w:ascii="Times New Roman" w:eastAsia="Arial" w:hAnsi="Times New Roman" w:cs="Times New Roman"/>
          <w:color w:val="000000"/>
          <w:lang w:val="en-IN" w:eastAsia="en-IN"/>
        </w:rPr>
        <w:t>edu</w:t>
      </w:r>
      <w:proofErr w:type="spellEnd"/>
    </w:p>
    <w:p w14:paraId="7E9F446E" w14:textId="77777777" w:rsidR="009821D4" w:rsidRPr="009821D4" w:rsidRDefault="009821D4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b/>
          <w:bCs/>
          <w:color w:val="000000"/>
          <w:lang w:val="en" w:eastAsia="en-IN"/>
        </w:rPr>
      </w:pPr>
      <w:r w:rsidRPr="009821D4">
        <w:rPr>
          <w:rFonts w:ascii="Times New Roman" w:eastAsia="Arial" w:hAnsi="Times New Roman" w:cs="Arial"/>
          <w:b/>
          <w:bCs/>
          <w:color w:val="000000"/>
          <w:lang w:val="en" w:eastAsia="en-IN"/>
        </w:rPr>
        <w:t>Affiliation:</w:t>
      </w:r>
    </w:p>
    <w:p w14:paraId="3F11285F" w14:textId="0C996939" w:rsidR="009821D4" w:rsidRPr="009821D4" w:rsidRDefault="00584321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val="en" w:eastAsia="en-IN"/>
        </w:rPr>
      </w:pPr>
      <w:r>
        <w:rPr>
          <w:rFonts w:ascii="Times New Roman" w:eastAsia="Arial" w:hAnsi="Times New Roman" w:cs="Arial"/>
          <w:color w:val="000000"/>
          <w:vertAlign w:val="superscript"/>
          <w:lang w:val="en" w:eastAsia="en-IN"/>
        </w:rPr>
        <w:t>1</w:t>
      </w:r>
      <w:r w:rsidR="009821D4" w:rsidRPr="009821D4">
        <w:rPr>
          <w:rFonts w:ascii="Times New Roman" w:eastAsia="Arial" w:hAnsi="Times New Roman" w:cs="Arial"/>
          <w:color w:val="000000"/>
          <w:lang w:val="en" w:eastAsia="en-IN"/>
        </w:rPr>
        <w:t>Department of Biochemistry, Kasturba Medical College, Manipal Academy of Higher Education, Manipal 576104, Karnataka, India</w:t>
      </w:r>
    </w:p>
    <w:p w14:paraId="10469A75" w14:textId="0C2F887F" w:rsidR="009821D4" w:rsidRPr="009821D4" w:rsidRDefault="00584321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val="en" w:eastAsia="en-IN"/>
        </w:rPr>
      </w:pPr>
      <w:r>
        <w:rPr>
          <w:rFonts w:ascii="Times New Roman" w:eastAsia="Arial" w:hAnsi="Times New Roman" w:cs="Arial"/>
          <w:color w:val="000000"/>
          <w:vertAlign w:val="superscript"/>
          <w:lang w:val="en" w:eastAsia="en-IN"/>
        </w:rPr>
        <w:t>2</w:t>
      </w:r>
      <w:r w:rsidR="009821D4" w:rsidRPr="009821D4">
        <w:rPr>
          <w:rFonts w:ascii="Times New Roman" w:eastAsia="Arial" w:hAnsi="Times New Roman" w:cs="Arial"/>
          <w:color w:val="000000"/>
          <w:lang w:val="en" w:eastAsia="en-IN"/>
        </w:rPr>
        <w:t>Department of Physiology, Kasturba Medical College, Manipal Academy of Higher Education, Manipal 576104, Karnataka, India</w:t>
      </w:r>
    </w:p>
    <w:p w14:paraId="7FA03B17" w14:textId="68508BF5" w:rsidR="009821D4" w:rsidRPr="009821D4" w:rsidRDefault="00584321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val="en" w:eastAsia="en-IN"/>
        </w:rPr>
      </w:pPr>
      <w:r>
        <w:rPr>
          <w:rFonts w:ascii="Times New Roman" w:eastAsia="Arial" w:hAnsi="Times New Roman" w:cs="Arial"/>
          <w:color w:val="000000"/>
          <w:vertAlign w:val="superscript"/>
          <w:lang w:val="en" w:eastAsia="en-IN"/>
        </w:rPr>
        <w:t>3</w:t>
      </w:r>
      <w:r w:rsidR="009821D4" w:rsidRPr="009821D4">
        <w:rPr>
          <w:rFonts w:ascii="Times New Roman" w:eastAsia="Arial" w:hAnsi="Times New Roman" w:cs="Arial"/>
          <w:color w:val="000000"/>
          <w:lang w:val="en" w:eastAsia="en-IN"/>
        </w:rPr>
        <w:t>Department of Pathology, Kasturba Medical College, Manipal Academy of Higher Education, Manipal 576104, Karnataka, India</w:t>
      </w:r>
    </w:p>
    <w:p w14:paraId="4107D139" w14:textId="24D0D99B" w:rsidR="009821D4" w:rsidRPr="009821D4" w:rsidRDefault="00584321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val="en" w:eastAsia="en-IN"/>
        </w:rPr>
      </w:pPr>
      <w:r>
        <w:rPr>
          <w:rFonts w:ascii="Times New Roman" w:eastAsia="Arial" w:hAnsi="Times New Roman" w:cs="Arial"/>
          <w:color w:val="000000"/>
          <w:vertAlign w:val="superscript"/>
          <w:lang w:val="en" w:eastAsia="en-IN"/>
        </w:rPr>
        <w:t>4</w:t>
      </w:r>
      <w:r w:rsidR="009821D4" w:rsidRPr="009821D4">
        <w:rPr>
          <w:rFonts w:ascii="Times New Roman" w:eastAsia="Arial" w:hAnsi="Times New Roman" w:cs="Arial"/>
          <w:color w:val="000000"/>
          <w:lang w:val="en" w:eastAsia="en-IN"/>
        </w:rPr>
        <w:t>Department of Microbiology, Kasturba Medical College, Manipal Academy of Higher Education, Manipal 576104, Karnataka, India</w:t>
      </w:r>
    </w:p>
    <w:p w14:paraId="63F258E3" w14:textId="55B09D1F" w:rsidR="009821D4" w:rsidRPr="009821D4" w:rsidRDefault="00584321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val="en" w:eastAsia="en-IN"/>
        </w:rPr>
      </w:pPr>
      <w:r>
        <w:rPr>
          <w:rFonts w:ascii="Times New Roman" w:eastAsia="Arial" w:hAnsi="Times New Roman" w:cs="Arial"/>
          <w:color w:val="000000"/>
          <w:vertAlign w:val="superscript"/>
          <w:lang w:val="en" w:eastAsia="en-IN"/>
        </w:rPr>
        <w:t>5</w:t>
      </w:r>
      <w:r w:rsidR="009821D4" w:rsidRPr="009821D4">
        <w:rPr>
          <w:rFonts w:ascii="Times New Roman" w:eastAsia="Arial" w:hAnsi="Times New Roman" w:cs="Arial"/>
          <w:color w:val="000000"/>
          <w:lang w:val="en" w:eastAsia="en-IN"/>
        </w:rPr>
        <w:t>Department of Anatomy, Kasturba Medical College, Manipal Academy of Higher Education, Manipal 576104, Karnataka, India</w:t>
      </w:r>
    </w:p>
    <w:p w14:paraId="6348ECDB" w14:textId="77777777" w:rsidR="009821D4" w:rsidRPr="009821D4" w:rsidRDefault="009821D4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b/>
          <w:bCs/>
          <w:color w:val="000000"/>
          <w:vertAlign w:val="superscript"/>
          <w:lang w:val="en" w:eastAsia="en-IN"/>
        </w:rPr>
      </w:pPr>
    </w:p>
    <w:p w14:paraId="7FB37914" w14:textId="77777777" w:rsidR="009821D4" w:rsidRPr="009821D4" w:rsidRDefault="009821D4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val="en" w:eastAsia="en-IN"/>
        </w:rPr>
      </w:pPr>
      <w:r w:rsidRPr="009821D4">
        <w:rPr>
          <w:rFonts w:ascii="Times New Roman" w:eastAsia="Arial" w:hAnsi="Times New Roman" w:cs="Arial"/>
          <w:color w:val="000000"/>
          <w:vertAlign w:val="superscript"/>
          <w:lang w:val="en" w:eastAsia="en-IN"/>
        </w:rPr>
        <w:t>*</w:t>
      </w:r>
      <w:r w:rsidRPr="009821D4">
        <w:rPr>
          <w:rFonts w:ascii="Times New Roman" w:eastAsia="Arial" w:hAnsi="Times New Roman" w:cs="Arial"/>
          <w:color w:val="000000"/>
          <w:lang w:val="en" w:eastAsia="en-IN"/>
        </w:rPr>
        <w:t>First Author: Supriyo Mukherjee and Aishwariya Madhavan contributed equally</w:t>
      </w:r>
    </w:p>
    <w:p w14:paraId="2338E735" w14:textId="2A6BA27F" w:rsidR="009821D4" w:rsidRPr="009821D4" w:rsidRDefault="009821D4" w:rsidP="009821D4">
      <w:pPr>
        <w:spacing w:before="240" w:after="240" w:line="240" w:lineRule="auto"/>
        <w:jc w:val="both"/>
        <w:rPr>
          <w:rFonts w:ascii="Times New Roman" w:eastAsia="Arial" w:hAnsi="Times New Roman" w:cs="Arial"/>
          <w:b/>
          <w:bCs/>
          <w:color w:val="000000"/>
          <w:lang w:val="en" w:eastAsia="en-IN"/>
        </w:rPr>
      </w:pPr>
      <w:r w:rsidRPr="009821D4">
        <w:rPr>
          <w:rFonts w:ascii="Times New Roman" w:eastAsia="Arial" w:hAnsi="Times New Roman" w:cs="Times New Roman"/>
          <w:color w:val="000000"/>
          <w:vertAlign w:val="superscript"/>
          <w:lang w:val="en" w:eastAsia="en-IN"/>
        </w:rPr>
        <w:t>#</w:t>
      </w:r>
      <w:r w:rsidRPr="009821D4">
        <w:rPr>
          <w:rFonts w:ascii="Times New Roman" w:eastAsia="Arial" w:hAnsi="Times New Roman" w:cs="Times New Roman"/>
          <w:color w:val="000000"/>
          <w:lang w:val="en" w:eastAsia="en-IN"/>
        </w:rPr>
        <w:t>Corresponding Author: Ranita Ghosh Dastidar</w:t>
      </w:r>
      <w:r w:rsidR="00584321">
        <w:rPr>
          <w:rFonts w:ascii="Times New Roman" w:eastAsia="Arial" w:hAnsi="Times New Roman" w:cs="Times New Roman"/>
          <w:color w:val="000000"/>
          <w:vertAlign w:val="superscript"/>
          <w:lang w:val="en" w:eastAsia="en-IN"/>
        </w:rPr>
        <w:t>1</w:t>
      </w:r>
      <w:r w:rsidRPr="009821D4">
        <w:rPr>
          <w:rFonts w:ascii="Times New Roman" w:eastAsia="Arial" w:hAnsi="Times New Roman" w:cs="Times New Roman"/>
          <w:color w:val="000000"/>
          <w:vertAlign w:val="superscript"/>
          <w:lang w:val="en" w:eastAsia="en-IN"/>
        </w:rPr>
        <w:t>#</w:t>
      </w:r>
      <w:r w:rsidRPr="009821D4">
        <w:rPr>
          <w:rFonts w:ascii="Times New Roman" w:eastAsia="Arial" w:hAnsi="Times New Roman" w:cs="Times New Roman"/>
          <w:color w:val="000000"/>
          <w:lang w:val="en" w:eastAsia="en-IN"/>
        </w:rPr>
        <w:t>, Email: ranita.gd@manipal.edu, ORCID: 0000-0001-6773-1113, Phone No. – (+91) 8088652524</w:t>
      </w:r>
    </w:p>
    <w:p w14:paraId="66682311" w14:textId="13BFD248" w:rsidR="00997755" w:rsidRDefault="004A0370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  <w:r>
        <w:rPr>
          <w:rFonts w:ascii="Times New Roman" w:hAnsi="Times New Roman" w:cs="Times New Roman"/>
          <w:b/>
          <w:bCs/>
          <w:noProof/>
          <w:lang w:val="en-IN"/>
        </w:rPr>
        <w:lastRenderedPageBreak/>
        <w:drawing>
          <wp:anchor distT="0" distB="0" distL="114300" distR="114300" simplePos="0" relativeHeight="251658240" behindDoc="0" locked="0" layoutInCell="1" allowOverlap="1" wp14:anchorId="138E6C3E" wp14:editId="0D804307">
            <wp:simplePos x="0" y="0"/>
            <wp:positionH relativeFrom="column">
              <wp:posOffset>-669925</wp:posOffset>
            </wp:positionH>
            <wp:positionV relativeFrom="paragraph">
              <wp:posOffset>0</wp:posOffset>
            </wp:positionV>
            <wp:extent cx="7409180" cy="4300855"/>
            <wp:effectExtent l="0" t="0" r="1270" b="4445"/>
            <wp:wrapTopAndBottom/>
            <wp:docPr id="261018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18892" name="Picture 2610188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180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B7C" w:rsidRPr="00DF1B7C">
        <w:rPr>
          <w:rFonts w:ascii="Times New Roman" w:hAnsi="Times New Roman" w:cs="Times New Roman"/>
          <w:b/>
          <w:bCs/>
        </w:rPr>
        <w:t xml:space="preserve">Supplementary Figure S1. MTT assay confirms time- and dose-dependent metabolic viability loss during </w:t>
      </w:r>
      <w:r w:rsidR="00DF1B7C" w:rsidRPr="00DF1B7C">
        <w:rPr>
          <w:rFonts w:ascii="Times New Roman" w:hAnsi="Times New Roman" w:cs="Times New Roman"/>
          <w:b/>
          <w:bCs/>
          <w:i/>
          <w:iCs/>
        </w:rPr>
        <w:t>Burkholderia cepacia</w:t>
      </w:r>
      <w:r w:rsidR="00DF1B7C" w:rsidRPr="00DF1B7C">
        <w:rPr>
          <w:rFonts w:ascii="Times New Roman" w:hAnsi="Times New Roman" w:cs="Times New Roman"/>
          <w:b/>
          <w:bCs/>
        </w:rPr>
        <w:t xml:space="preserve"> infection. </w:t>
      </w:r>
      <w:r w:rsidR="00DF1B7C" w:rsidRPr="00DF1B7C">
        <w:rPr>
          <w:rFonts w:ascii="Times New Roman" w:hAnsi="Times New Roman" w:cs="Times New Roman"/>
        </w:rPr>
        <w:t xml:space="preserve">K562 cellular metabolic activity was longitudinally assessed from 0 to 48 hours post-infection utilizing an MTT assay. Cells were cultured under normoglycemic (5.5 mM glucose) or hyperglycemic (15 mM glucose) conditions and evaluated either uninfected or following </w:t>
      </w:r>
      <w:r w:rsidR="00DF1B7C" w:rsidRPr="00DF1B7C">
        <w:rPr>
          <w:rFonts w:ascii="Times New Roman" w:hAnsi="Times New Roman" w:cs="Times New Roman"/>
          <w:i/>
          <w:iCs/>
        </w:rPr>
        <w:t>B. cepacia</w:t>
      </w:r>
      <w:r w:rsidR="00DF1B7C" w:rsidRPr="00DF1B7C">
        <w:rPr>
          <w:rFonts w:ascii="Times New Roman" w:hAnsi="Times New Roman" w:cs="Times New Roman"/>
        </w:rPr>
        <w:t xml:space="preserve"> infection at an MOI of </w:t>
      </w:r>
      <w:r w:rsidR="00DF1B7C" w:rsidRPr="00AC1C75">
        <w:rPr>
          <w:rFonts w:ascii="Times New Roman" w:hAnsi="Times New Roman" w:cs="Times New Roman"/>
          <w:b/>
          <w:bCs/>
        </w:rPr>
        <w:t>(A)</w:t>
      </w:r>
      <w:r w:rsidR="00DF1B7C" w:rsidRPr="00DF1B7C">
        <w:rPr>
          <w:rFonts w:ascii="Times New Roman" w:hAnsi="Times New Roman" w:cs="Times New Roman"/>
        </w:rPr>
        <w:t xml:space="preserve"> 1:10 </w:t>
      </w:r>
      <w:r w:rsidR="00AC1C75">
        <w:rPr>
          <w:rFonts w:ascii="Times New Roman" w:hAnsi="Times New Roman" w:cs="Times New Roman"/>
        </w:rPr>
        <w:t>and</w:t>
      </w:r>
      <w:r w:rsidR="00DF1B7C" w:rsidRPr="00DF1B7C">
        <w:rPr>
          <w:rFonts w:ascii="Times New Roman" w:hAnsi="Times New Roman" w:cs="Times New Roman"/>
        </w:rPr>
        <w:t xml:space="preserve"> </w:t>
      </w:r>
      <w:r w:rsidR="00DF1B7C" w:rsidRPr="002554FF">
        <w:rPr>
          <w:rFonts w:ascii="Times New Roman" w:hAnsi="Times New Roman" w:cs="Times New Roman"/>
          <w:b/>
          <w:bCs/>
        </w:rPr>
        <w:t>(B)</w:t>
      </w:r>
      <w:r w:rsidR="00DF1B7C" w:rsidRPr="00DF1B7C">
        <w:rPr>
          <w:rFonts w:ascii="Times New Roman" w:hAnsi="Times New Roman" w:cs="Times New Roman"/>
        </w:rPr>
        <w:t xml:space="preserve"> 1:25. These data directly corroborate the cytotoxicity profiles observed in the primary Trypan Blue exclusion assays. Data are presented as mean ± SD of independent biological replicates (n = 3). Statistical significance was assessed utilizing a two-way ANOVA followed by Tukey’s multiple comparisons test (*p &lt; 0.05, ***p &lt; 0.001, ****p &lt; 0.0001).</w:t>
      </w:r>
    </w:p>
    <w:p w14:paraId="17027A86" w14:textId="77777777" w:rsidR="00997755" w:rsidRDefault="00997755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04B77EC4" w14:textId="77777777" w:rsidR="00DF1B7C" w:rsidRDefault="00DF1B7C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6735A7FF" w14:textId="77777777" w:rsidR="00D70ED2" w:rsidRDefault="00D70ED2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3CA2A5B1" w14:textId="77777777" w:rsidR="00D70ED2" w:rsidRDefault="00D70ED2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7787F559" w14:textId="77777777" w:rsidR="00D70ED2" w:rsidRDefault="00D70ED2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7B47D216" w14:textId="77777777" w:rsidR="00D70ED2" w:rsidRDefault="00D70ED2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55166CE0" w14:textId="7A0F3296" w:rsidR="00DF1B7C" w:rsidRDefault="0005188D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  <w:r>
        <w:rPr>
          <w:rFonts w:ascii="Times New Roman" w:hAnsi="Times New Roman" w:cs="Times New Roman"/>
          <w:b/>
          <w:bCs/>
          <w:noProof/>
          <w:lang w:val="en-IN"/>
        </w:rPr>
        <w:lastRenderedPageBreak/>
        <w:drawing>
          <wp:anchor distT="0" distB="0" distL="114300" distR="114300" simplePos="0" relativeHeight="251659264" behindDoc="0" locked="0" layoutInCell="1" allowOverlap="1" wp14:anchorId="2F588381" wp14:editId="3059637F">
            <wp:simplePos x="0" y="0"/>
            <wp:positionH relativeFrom="column">
              <wp:posOffset>-675005</wp:posOffset>
            </wp:positionH>
            <wp:positionV relativeFrom="paragraph">
              <wp:posOffset>0</wp:posOffset>
            </wp:positionV>
            <wp:extent cx="7459980" cy="5179060"/>
            <wp:effectExtent l="0" t="0" r="7620" b="2540"/>
            <wp:wrapTopAndBottom/>
            <wp:docPr id="865943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43660" name="Picture 8659436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9980" cy="517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5D3" w:rsidRPr="00E645D3">
        <w:rPr>
          <w:rFonts w:ascii="Times New Roman" w:hAnsi="Times New Roman" w:cs="Times New Roman"/>
          <w:b/>
          <w:bCs/>
          <w:lang w:val="en-IN"/>
        </w:rPr>
        <w:t xml:space="preserve">Supplementary Figure S2. Sequential flow cytometry gating strategy for the evaluation of mitochondrial function and reactive oxygen species. </w:t>
      </w:r>
      <w:r w:rsidR="00E645D3" w:rsidRPr="00E645D3">
        <w:rPr>
          <w:rFonts w:ascii="Times New Roman" w:hAnsi="Times New Roman" w:cs="Times New Roman"/>
          <w:lang w:val="en-IN"/>
        </w:rPr>
        <w:t>Representative flow cytometric plots demonstrating the hierarchical gating strategy utilized across all experimental cohorts (representative image shown from the uninfected normoglycemic control group). Events were initially gated on FSC-A versus SSC-A to exclude cellular debris (Cells), followed by doublet exclusion utilizing FSC-A versus FSC-H (Singlets). Viable cells were subsequently identified by gating on the negative population for the LIVE/DEAD™ Fixable Near-IR viability dye (Viable Cells). This purified, viable singlet population was then utilized to quantify cytosolic and mitochondrial ROS (H2DCFDA and MitoSOX™ Red co-staining, respectively) and mitochondrial membrane potential (JC-1 dye). All downstream functional median fluorescence intensity (MFI) and population frequency data were derived exclusively from this final viable gate.</w:t>
      </w:r>
    </w:p>
    <w:p w14:paraId="69BEA0E0" w14:textId="77777777" w:rsidR="00DF1B7C" w:rsidRDefault="00DF1B7C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385C7496" w14:textId="77777777" w:rsidR="00DF1B7C" w:rsidRDefault="00DF1B7C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4FE88EA3" w14:textId="533E68D7" w:rsidR="00BE667D" w:rsidRDefault="00BE667D" w:rsidP="00A46C73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14987147" w14:textId="77777777" w:rsidR="004D55B5" w:rsidRDefault="004D55B5" w:rsidP="00812943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6BAB54B0" w14:textId="70D57BFA" w:rsidR="004D55B5" w:rsidRDefault="007D182E" w:rsidP="00812943">
      <w:pPr>
        <w:jc w:val="both"/>
        <w:rPr>
          <w:rFonts w:ascii="Times New Roman" w:hAnsi="Times New Roman" w:cs="Times New Roman"/>
          <w:b/>
          <w:bCs/>
          <w:lang w:val="en-IN"/>
        </w:rPr>
      </w:pPr>
      <w:r>
        <w:rPr>
          <w:rFonts w:ascii="Times New Roman" w:hAnsi="Times New Roman" w:cs="Times New Roman"/>
          <w:b/>
          <w:bCs/>
          <w:noProof/>
          <w:lang w:val="en-IN"/>
        </w:rPr>
        <w:lastRenderedPageBreak/>
        <w:drawing>
          <wp:anchor distT="0" distB="0" distL="114300" distR="114300" simplePos="0" relativeHeight="251660288" behindDoc="0" locked="0" layoutInCell="1" allowOverlap="1" wp14:anchorId="49021803" wp14:editId="1B45585D">
            <wp:simplePos x="0" y="0"/>
            <wp:positionH relativeFrom="column">
              <wp:posOffset>-37198</wp:posOffset>
            </wp:positionH>
            <wp:positionV relativeFrom="paragraph">
              <wp:posOffset>0</wp:posOffset>
            </wp:positionV>
            <wp:extent cx="5662930" cy="9253220"/>
            <wp:effectExtent l="0" t="0" r="0" b="5080"/>
            <wp:wrapTopAndBottom/>
            <wp:docPr id="1880984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84850" name="Picture 188098485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5" t="2494" r="6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925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F8B70" w14:textId="0797980C" w:rsidR="007D182E" w:rsidRDefault="007D182E" w:rsidP="000748D8">
      <w:pPr>
        <w:jc w:val="both"/>
        <w:rPr>
          <w:rFonts w:ascii="Times New Roman" w:hAnsi="Times New Roman" w:cs="Times New Roman"/>
          <w:b/>
          <w:bCs/>
          <w:lang w:val="en-IN"/>
        </w:rPr>
      </w:pPr>
      <w:r>
        <w:rPr>
          <w:rFonts w:ascii="Times New Roman" w:hAnsi="Times New Roman" w:cs="Times New Roman"/>
          <w:b/>
          <w:bCs/>
          <w:noProof/>
          <w:lang w:val="en-IN"/>
        </w:rPr>
        <w:lastRenderedPageBreak/>
        <w:drawing>
          <wp:anchor distT="0" distB="0" distL="114300" distR="114300" simplePos="0" relativeHeight="251661312" behindDoc="0" locked="0" layoutInCell="1" allowOverlap="1" wp14:anchorId="5DB0C58C" wp14:editId="6827F531">
            <wp:simplePos x="0" y="0"/>
            <wp:positionH relativeFrom="column">
              <wp:posOffset>-656918</wp:posOffset>
            </wp:positionH>
            <wp:positionV relativeFrom="paragraph">
              <wp:posOffset>0</wp:posOffset>
            </wp:positionV>
            <wp:extent cx="7028815" cy="2263775"/>
            <wp:effectExtent l="0" t="0" r="635" b="3175"/>
            <wp:wrapTopAndBottom/>
            <wp:docPr id="15303558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55849" name="Picture 153035584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0" t="802" r="9945" b="80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226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12099" w14:textId="10EA857B" w:rsidR="006238F9" w:rsidRDefault="00812943" w:rsidP="000748D8">
      <w:pPr>
        <w:jc w:val="both"/>
        <w:rPr>
          <w:rFonts w:ascii="Times New Roman" w:hAnsi="Times New Roman" w:cs="Times New Roman"/>
          <w:b/>
          <w:bCs/>
          <w:lang w:val="en-IN"/>
        </w:rPr>
      </w:pPr>
      <w:r w:rsidRPr="00812943">
        <w:rPr>
          <w:rFonts w:ascii="Times New Roman" w:hAnsi="Times New Roman" w:cs="Times New Roman"/>
          <w:b/>
          <w:bCs/>
          <w:lang w:val="en-IN"/>
        </w:rPr>
        <w:t xml:space="preserve">Supplementary Figure S3. Original, uncropped immunoblot images corresponding to </w:t>
      </w:r>
      <w:r w:rsidR="008E523C">
        <w:rPr>
          <w:rFonts w:ascii="Times New Roman" w:hAnsi="Times New Roman" w:cs="Times New Roman"/>
          <w:b/>
          <w:bCs/>
          <w:lang w:val="en-IN"/>
        </w:rPr>
        <w:t xml:space="preserve">the </w:t>
      </w:r>
      <w:r w:rsidRPr="00812943">
        <w:rPr>
          <w:rFonts w:ascii="Times New Roman" w:hAnsi="Times New Roman" w:cs="Times New Roman"/>
          <w:b/>
          <w:bCs/>
          <w:lang w:val="en-IN"/>
        </w:rPr>
        <w:t>main text Figure 12</w:t>
      </w:r>
      <w:r w:rsidR="00694FE3">
        <w:rPr>
          <w:rFonts w:ascii="Times New Roman" w:hAnsi="Times New Roman" w:cs="Times New Roman"/>
          <w:b/>
          <w:bCs/>
          <w:lang w:val="en-IN"/>
        </w:rPr>
        <w:t xml:space="preserve"> and Figure 16</w:t>
      </w:r>
      <w:r w:rsidRPr="00812943">
        <w:rPr>
          <w:rFonts w:ascii="Times New Roman" w:hAnsi="Times New Roman" w:cs="Times New Roman"/>
          <w:b/>
          <w:bCs/>
          <w:lang w:val="en-IN"/>
        </w:rPr>
        <w:t xml:space="preserve">. </w:t>
      </w:r>
      <w:r w:rsidRPr="00812943">
        <w:rPr>
          <w:rFonts w:ascii="Times New Roman" w:hAnsi="Times New Roman" w:cs="Times New Roman"/>
          <w:lang w:val="en-IN"/>
        </w:rPr>
        <w:t>Uncropped chemiluminescent images representing the mitochondrial dynamics, quality control, and biogenesis markers. Full-length membranes are shown for the fission mediators DRP1 and OMA1, the fusion-associated proteins OPA1 and MFN1, the matrix protease AFG3L2, the biogenesis coactivator PGC-1</w:t>
      </w:r>
      <w:r>
        <w:rPr>
          <w:rFonts w:ascii="Times New Roman" w:hAnsi="Times New Roman" w:cs="Times New Roman"/>
          <w:lang w:val="en-IN"/>
        </w:rPr>
        <w:t>α</w:t>
      </w:r>
      <w:r w:rsidRPr="00812943">
        <w:rPr>
          <w:rFonts w:ascii="Times New Roman" w:hAnsi="Times New Roman" w:cs="Times New Roman"/>
          <w:lang w:val="en-IN"/>
        </w:rPr>
        <w:t>,</w:t>
      </w:r>
      <w:r w:rsidR="00B267CE">
        <w:rPr>
          <w:rFonts w:ascii="Times New Roman" w:hAnsi="Times New Roman" w:cs="Times New Roman"/>
          <w:lang w:val="en-IN"/>
        </w:rPr>
        <w:t xml:space="preserve"> </w:t>
      </w:r>
      <w:r w:rsidR="00B267CE" w:rsidRPr="008E523C">
        <w:rPr>
          <w:rFonts w:ascii="Times New Roman" w:hAnsi="Times New Roman" w:cs="Times New Roman"/>
          <w:lang w:val="en-IN"/>
        </w:rPr>
        <w:t>NLRP3, Caspase-3, total mTOR, phosphorylated mTOR (Ser2448), total Akt</w:t>
      </w:r>
      <w:r w:rsidRPr="00812943">
        <w:rPr>
          <w:rFonts w:ascii="Times New Roman" w:hAnsi="Times New Roman" w:cs="Times New Roman"/>
          <w:lang w:val="en-IN"/>
        </w:rPr>
        <w:t xml:space="preserve"> and their respective </w:t>
      </w:r>
      <w:r>
        <w:rPr>
          <w:rFonts w:ascii="Times New Roman" w:hAnsi="Times New Roman" w:cs="Times New Roman"/>
          <w:lang w:val="en-IN"/>
        </w:rPr>
        <w:t>β</w:t>
      </w:r>
      <w:r w:rsidRPr="00812943">
        <w:rPr>
          <w:rFonts w:ascii="Times New Roman" w:hAnsi="Times New Roman" w:cs="Times New Roman"/>
          <w:lang w:val="en-IN"/>
        </w:rPr>
        <w:t>-actin loading controls. K562 cells were cultured under normoglycemic (5.5 mM) or hyperglycemic (15 mM) conditions and evaluated either uninfected (</w:t>
      </w:r>
      <w:r w:rsidR="0073215F">
        <w:rPr>
          <w:rFonts w:ascii="Times New Roman" w:hAnsi="Times New Roman" w:cs="Times New Roman"/>
          <w:lang w:val="en-IN"/>
        </w:rPr>
        <w:t>-</w:t>
      </w:r>
      <w:r w:rsidRPr="00812943">
        <w:rPr>
          <w:rFonts w:ascii="Times New Roman" w:hAnsi="Times New Roman" w:cs="Times New Roman"/>
          <w:lang w:val="en-IN"/>
        </w:rPr>
        <w:t xml:space="preserve">) or infected with </w:t>
      </w:r>
      <w:r w:rsidRPr="008E523C">
        <w:rPr>
          <w:rFonts w:ascii="Times New Roman" w:hAnsi="Times New Roman" w:cs="Times New Roman"/>
          <w:i/>
          <w:iCs/>
          <w:lang w:val="en-IN"/>
        </w:rPr>
        <w:t>B. cepacia</w:t>
      </w:r>
      <w:r w:rsidRPr="00812943">
        <w:rPr>
          <w:rFonts w:ascii="Times New Roman" w:hAnsi="Times New Roman" w:cs="Times New Roman"/>
          <w:lang w:val="en-IN"/>
        </w:rPr>
        <w:t xml:space="preserve"> at an MOI of 1:25 for 3 hours (+). </w:t>
      </w:r>
      <w:r w:rsidR="004E0609">
        <w:rPr>
          <w:rFonts w:ascii="Times New Roman" w:hAnsi="Times New Roman" w:cs="Times New Roman"/>
          <w:lang w:val="en-IN"/>
        </w:rPr>
        <w:t>Solid black</w:t>
      </w:r>
      <w:r w:rsidRPr="00812943">
        <w:rPr>
          <w:rFonts w:ascii="Times New Roman" w:hAnsi="Times New Roman" w:cs="Times New Roman"/>
          <w:lang w:val="en-IN"/>
        </w:rPr>
        <w:t xml:space="preserve"> boxes indicate the </w:t>
      </w:r>
      <w:r>
        <w:rPr>
          <w:rFonts w:ascii="Times New Roman" w:hAnsi="Times New Roman" w:cs="Times New Roman"/>
          <w:lang w:val="en-IN"/>
        </w:rPr>
        <w:t>precisely</w:t>
      </w:r>
      <w:r w:rsidRPr="00812943">
        <w:rPr>
          <w:rFonts w:ascii="Times New Roman" w:hAnsi="Times New Roman" w:cs="Times New Roman"/>
          <w:lang w:val="en-IN"/>
        </w:rPr>
        <w:t xml:space="preserve"> cropped regions presented in the main manuscript figure.</w:t>
      </w:r>
      <w:r w:rsidR="005D3EDC">
        <w:rPr>
          <w:rFonts w:ascii="Times New Roman" w:hAnsi="Times New Roman" w:cs="Times New Roman"/>
          <w:lang w:val="en-IN"/>
        </w:rPr>
        <w:t xml:space="preserve"> </w:t>
      </w:r>
      <w:r w:rsidR="005D3EDC" w:rsidRPr="005D3EDC">
        <w:rPr>
          <w:rFonts w:ascii="Times New Roman" w:hAnsi="Times New Roman" w:cs="Times New Roman"/>
          <w:lang w:val="en-IN"/>
        </w:rPr>
        <w:t>White arrows indicate the top-to-bottom direction of electrophoresis.</w:t>
      </w:r>
      <w:r w:rsidRPr="00812943">
        <w:rPr>
          <w:rFonts w:ascii="Times New Roman" w:hAnsi="Times New Roman" w:cs="Times New Roman"/>
          <w:lang w:val="en-IN"/>
        </w:rPr>
        <w:t xml:space="preserve"> Molecular weight ladder markers (</w:t>
      </w:r>
      <w:proofErr w:type="spellStart"/>
      <w:r w:rsidRPr="00812943">
        <w:rPr>
          <w:rFonts w:ascii="Times New Roman" w:hAnsi="Times New Roman" w:cs="Times New Roman"/>
          <w:lang w:val="en-IN"/>
        </w:rPr>
        <w:t>kDa</w:t>
      </w:r>
      <w:proofErr w:type="spellEnd"/>
      <w:r w:rsidRPr="00812943">
        <w:rPr>
          <w:rFonts w:ascii="Times New Roman" w:hAnsi="Times New Roman" w:cs="Times New Roman"/>
          <w:lang w:val="en-IN"/>
        </w:rPr>
        <w:t>) are indicated adjacent to the respective blots.</w:t>
      </w:r>
    </w:p>
    <w:p w14:paraId="2349402A" w14:textId="027D59E9" w:rsidR="001310C9" w:rsidRPr="001310C9" w:rsidRDefault="00EB44B3" w:rsidP="001310C9">
      <w:pPr>
        <w:rPr>
          <w:rFonts w:ascii="Times New Roman" w:hAnsi="Times New Roman" w:cs="Times New Roman"/>
          <w:b/>
          <w:bCs/>
        </w:rPr>
      </w:pPr>
      <w:r w:rsidRPr="00EB44B3">
        <w:rPr>
          <w:rFonts w:ascii="Times New Roman" w:hAnsi="Times New Roman" w:cs="Times New Roman"/>
          <w:b/>
          <w:bCs/>
        </w:rPr>
        <w:t>Supplementary Table S1. Oligonucleotide primer sequences utilized for quantitative real-time PCR (qRT-PCR).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3"/>
        <w:gridCol w:w="3686"/>
        <w:gridCol w:w="1074"/>
      </w:tblGrid>
      <w:tr w:rsidR="001310C9" w:rsidRPr="00683EE1" w14:paraId="3226985B" w14:textId="77777777" w:rsidTr="00167ADE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2F4780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83EE1">
              <w:rPr>
                <w:rFonts w:ascii="Arial" w:hAnsi="Arial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CD6D4D6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83EE1">
              <w:rPr>
                <w:rFonts w:ascii="Arial" w:hAnsi="Arial"/>
                <w:b/>
                <w:bCs/>
                <w:sz w:val="20"/>
                <w:szCs w:val="20"/>
              </w:rPr>
              <w:t>Forward primer (5’- 3’)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8AFFFB0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83EE1">
              <w:rPr>
                <w:rFonts w:ascii="Arial" w:hAnsi="Arial"/>
                <w:b/>
                <w:bCs/>
                <w:sz w:val="20"/>
                <w:szCs w:val="20"/>
              </w:rPr>
              <w:t>Reverse Primer (5’- 3’)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42F0FCFF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b/>
                <w:bCs/>
                <w:sz w:val="20"/>
                <w:szCs w:val="20"/>
                <w:vertAlign w:val="subscript"/>
              </w:rPr>
            </w:pPr>
            <w:r w:rsidRPr="00683EE1">
              <w:rPr>
                <w:rFonts w:ascii="Arial" w:hAnsi="Arial"/>
                <w:b/>
                <w:bCs/>
                <w:sz w:val="20"/>
                <w:szCs w:val="20"/>
              </w:rPr>
              <w:t>T</w:t>
            </w:r>
            <w:r w:rsidRPr="00683EE1">
              <w:rPr>
                <w:rFonts w:ascii="Arial" w:hAnsi="Arial"/>
                <w:b/>
                <w:bCs/>
                <w:sz w:val="20"/>
                <w:szCs w:val="20"/>
                <w:vertAlign w:val="subscript"/>
              </w:rPr>
              <w:t>m</w:t>
            </w:r>
          </w:p>
        </w:tc>
      </w:tr>
      <w:tr w:rsidR="001310C9" w:rsidRPr="00683EE1" w14:paraId="6CF80A18" w14:textId="77777777" w:rsidTr="00167ADE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14:paraId="0DAFAD1C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IL-1B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790BAAE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CCTGAGCACCTTCTTTCCCT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6565ED4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GCTCCATATCCTGTCCCTGG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6A80DF01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 xml:space="preserve">57 </w:t>
            </w:r>
            <w:r w:rsidRPr="00683EE1">
              <w:rPr>
                <w:rFonts w:ascii="Arial" w:hAnsi="Arial"/>
                <w:sz w:val="20"/>
                <w:szCs w:val="20"/>
                <w:lang w:val="en-IN"/>
              </w:rPr>
              <w:t>°C</w:t>
            </w:r>
          </w:p>
        </w:tc>
      </w:tr>
      <w:tr w:rsidR="001310C9" w:rsidRPr="00683EE1" w14:paraId="5173E461" w14:textId="77777777" w:rsidTr="00167ADE">
        <w:trPr>
          <w:jc w:val="center"/>
        </w:trPr>
        <w:tc>
          <w:tcPr>
            <w:tcW w:w="993" w:type="dxa"/>
          </w:tcPr>
          <w:p w14:paraId="02A827AB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IL-6</w:t>
            </w:r>
          </w:p>
        </w:tc>
        <w:tc>
          <w:tcPr>
            <w:tcW w:w="3543" w:type="dxa"/>
          </w:tcPr>
          <w:p w14:paraId="080682CC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TCGGTCCAGTTGCCTTCTCC</w:t>
            </w:r>
          </w:p>
        </w:tc>
        <w:tc>
          <w:tcPr>
            <w:tcW w:w="3686" w:type="dxa"/>
          </w:tcPr>
          <w:p w14:paraId="7CD47E03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TGAGTGGCTGTCTGTGTGGG</w:t>
            </w:r>
          </w:p>
        </w:tc>
        <w:tc>
          <w:tcPr>
            <w:tcW w:w="1074" w:type="dxa"/>
          </w:tcPr>
          <w:p w14:paraId="7EF328DF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 xml:space="preserve">59.5 </w:t>
            </w:r>
            <w:r w:rsidRPr="00683EE1">
              <w:rPr>
                <w:rFonts w:ascii="Arial" w:hAnsi="Arial"/>
                <w:sz w:val="20"/>
                <w:szCs w:val="20"/>
                <w:lang w:val="en-IN"/>
              </w:rPr>
              <w:t>°C</w:t>
            </w:r>
          </w:p>
        </w:tc>
      </w:tr>
      <w:tr w:rsidR="001310C9" w:rsidRPr="00683EE1" w14:paraId="3A3B9AF8" w14:textId="77777777" w:rsidTr="00167ADE">
        <w:trPr>
          <w:jc w:val="center"/>
        </w:trPr>
        <w:tc>
          <w:tcPr>
            <w:tcW w:w="993" w:type="dxa"/>
          </w:tcPr>
          <w:p w14:paraId="660D3055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TNF-</w:t>
            </w:r>
            <w:r>
              <w:rPr>
                <w:rFonts w:cs="Times New Roman"/>
                <w:sz w:val="20"/>
                <w:szCs w:val="20"/>
              </w:rPr>
              <w:t>α</w:t>
            </w:r>
          </w:p>
        </w:tc>
        <w:tc>
          <w:tcPr>
            <w:tcW w:w="3543" w:type="dxa"/>
          </w:tcPr>
          <w:p w14:paraId="23041794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GTTACCTGGGTTGCCAAGC</w:t>
            </w:r>
          </w:p>
        </w:tc>
        <w:tc>
          <w:tcPr>
            <w:tcW w:w="3686" w:type="dxa"/>
          </w:tcPr>
          <w:p w14:paraId="6F09556A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ACGGCCTTGCTCTTGTTTTC</w:t>
            </w:r>
          </w:p>
        </w:tc>
        <w:tc>
          <w:tcPr>
            <w:tcW w:w="1074" w:type="dxa"/>
          </w:tcPr>
          <w:p w14:paraId="541EBCBE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 xml:space="preserve">56.5 </w:t>
            </w:r>
            <w:r w:rsidRPr="00683EE1">
              <w:rPr>
                <w:rFonts w:ascii="Arial" w:hAnsi="Arial"/>
                <w:sz w:val="20"/>
                <w:szCs w:val="20"/>
                <w:lang w:val="en-IN"/>
              </w:rPr>
              <w:t>°C</w:t>
            </w:r>
          </w:p>
        </w:tc>
      </w:tr>
      <w:tr w:rsidR="001310C9" w:rsidRPr="00683EE1" w14:paraId="71A8BC77" w14:textId="77777777" w:rsidTr="00167ADE">
        <w:trPr>
          <w:jc w:val="center"/>
        </w:trPr>
        <w:tc>
          <w:tcPr>
            <w:tcW w:w="993" w:type="dxa"/>
          </w:tcPr>
          <w:p w14:paraId="1BB4DCAF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 xml:space="preserve">IL-18 </w:t>
            </w:r>
          </w:p>
        </w:tc>
        <w:tc>
          <w:tcPr>
            <w:tcW w:w="3543" w:type="dxa"/>
          </w:tcPr>
          <w:p w14:paraId="0482EF15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GACCAAGTTCTCTTCATTGACCA</w:t>
            </w:r>
          </w:p>
        </w:tc>
        <w:tc>
          <w:tcPr>
            <w:tcW w:w="3686" w:type="dxa"/>
          </w:tcPr>
          <w:p w14:paraId="2E1AB360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CTTCACAGAGATAGTTACAGCCA</w:t>
            </w:r>
          </w:p>
        </w:tc>
        <w:tc>
          <w:tcPr>
            <w:tcW w:w="1074" w:type="dxa"/>
          </w:tcPr>
          <w:p w14:paraId="51602CEF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 xml:space="preserve">54.5 </w:t>
            </w:r>
            <w:r w:rsidRPr="00683EE1">
              <w:rPr>
                <w:rFonts w:ascii="Arial" w:hAnsi="Arial"/>
                <w:sz w:val="20"/>
                <w:szCs w:val="20"/>
                <w:lang w:val="en-IN"/>
              </w:rPr>
              <w:t>°C</w:t>
            </w:r>
          </w:p>
        </w:tc>
      </w:tr>
      <w:tr w:rsidR="001310C9" w:rsidRPr="00683EE1" w14:paraId="203FE042" w14:textId="77777777" w:rsidTr="00167ADE">
        <w:trPr>
          <w:jc w:val="center"/>
        </w:trPr>
        <w:tc>
          <w:tcPr>
            <w:tcW w:w="993" w:type="dxa"/>
          </w:tcPr>
          <w:p w14:paraId="715313CB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NLRP3</w:t>
            </w:r>
          </w:p>
        </w:tc>
        <w:tc>
          <w:tcPr>
            <w:tcW w:w="3543" w:type="dxa"/>
          </w:tcPr>
          <w:p w14:paraId="1B2B489C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CGACTTCAATGGGGAGGAGA</w:t>
            </w:r>
          </w:p>
        </w:tc>
        <w:tc>
          <w:tcPr>
            <w:tcW w:w="3686" w:type="dxa"/>
          </w:tcPr>
          <w:p w14:paraId="668D57DE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TTCAATGCTGTCTTCCTGGC</w:t>
            </w:r>
          </w:p>
        </w:tc>
        <w:tc>
          <w:tcPr>
            <w:tcW w:w="1074" w:type="dxa"/>
          </w:tcPr>
          <w:p w14:paraId="5770DFA0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 xml:space="preserve">56 </w:t>
            </w:r>
            <w:r w:rsidRPr="00683EE1">
              <w:rPr>
                <w:rFonts w:ascii="Arial" w:hAnsi="Arial"/>
                <w:sz w:val="20"/>
                <w:szCs w:val="20"/>
                <w:lang w:val="en-IN"/>
              </w:rPr>
              <w:t>°C</w:t>
            </w:r>
          </w:p>
        </w:tc>
      </w:tr>
      <w:tr w:rsidR="001310C9" w:rsidRPr="00683EE1" w14:paraId="7EBDC411" w14:textId="77777777" w:rsidTr="00167ADE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4D8B035E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NFkB1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90CFA3F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GGTGCGGCTCATGTTTACAG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1E93F92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>CTCCAGTCACACATCCAGCT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5C38811B" w14:textId="77777777" w:rsidR="001310C9" w:rsidRPr="00683EE1" w:rsidRDefault="001310C9" w:rsidP="00167ADE">
            <w:pPr>
              <w:pStyle w:val="ListParagraph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83EE1">
              <w:rPr>
                <w:rFonts w:ascii="Arial" w:hAnsi="Arial"/>
                <w:sz w:val="20"/>
                <w:szCs w:val="20"/>
              </w:rPr>
              <w:t xml:space="preserve">56.6 </w:t>
            </w:r>
            <w:r w:rsidRPr="00683EE1">
              <w:rPr>
                <w:rFonts w:ascii="Arial" w:hAnsi="Arial"/>
                <w:sz w:val="20"/>
                <w:szCs w:val="20"/>
                <w:lang w:val="en-IN"/>
              </w:rPr>
              <w:t>°C</w:t>
            </w:r>
          </w:p>
        </w:tc>
      </w:tr>
    </w:tbl>
    <w:p w14:paraId="7E582C0A" w14:textId="77777777" w:rsidR="00AE02D4" w:rsidRDefault="00AE02D4" w:rsidP="00981741">
      <w:pPr>
        <w:jc w:val="both"/>
        <w:rPr>
          <w:rFonts w:ascii="Times New Roman" w:hAnsi="Times New Roman" w:cs="Times New Roman"/>
          <w:b/>
          <w:bCs/>
          <w:lang w:val="en-IN"/>
        </w:rPr>
      </w:pPr>
    </w:p>
    <w:p w14:paraId="5C0C4DA0" w14:textId="77777777" w:rsidR="00DF1B7C" w:rsidRPr="00293684" w:rsidRDefault="00DF1B7C" w:rsidP="00881AEE">
      <w:pPr>
        <w:jc w:val="both"/>
        <w:rPr>
          <w:rFonts w:ascii="Times New Roman" w:hAnsi="Times New Roman" w:cs="Times New Roman"/>
          <w:b/>
          <w:bCs/>
          <w:lang w:val="en-IN"/>
        </w:rPr>
      </w:pPr>
    </w:p>
    <w:sectPr w:rsidR="00DF1B7C" w:rsidRPr="00293684" w:rsidSect="00D94623">
      <w:footerReference w:type="default" r:id="rId11"/>
      <w:pgSz w:w="11907" w:h="16840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7E07" w14:textId="77777777" w:rsidR="000B59E5" w:rsidRDefault="000B59E5" w:rsidP="008D6B8B">
      <w:pPr>
        <w:spacing w:after="0" w:line="240" w:lineRule="auto"/>
      </w:pPr>
      <w:r>
        <w:separator/>
      </w:r>
    </w:p>
  </w:endnote>
  <w:endnote w:type="continuationSeparator" w:id="0">
    <w:p w14:paraId="1FCF1A3F" w14:textId="77777777" w:rsidR="000B59E5" w:rsidRDefault="000B59E5" w:rsidP="008D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0890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9EFD9" w14:textId="27295EE5" w:rsidR="008D6B8B" w:rsidRDefault="008D6B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6081C7" w14:textId="77777777" w:rsidR="008D6B8B" w:rsidRDefault="008D6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E264" w14:textId="77777777" w:rsidR="000B59E5" w:rsidRDefault="000B59E5" w:rsidP="008D6B8B">
      <w:pPr>
        <w:spacing w:after="0" w:line="240" w:lineRule="auto"/>
      </w:pPr>
      <w:r>
        <w:separator/>
      </w:r>
    </w:p>
  </w:footnote>
  <w:footnote w:type="continuationSeparator" w:id="0">
    <w:p w14:paraId="1C73CE91" w14:textId="77777777" w:rsidR="000B59E5" w:rsidRDefault="000B59E5" w:rsidP="008D6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B87191"/>
    <w:rsid w:val="00023504"/>
    <w:rsid w:val="0005188D"/>
    <w:rsid w:val="00065CDA"/>
    <w:rsid w:val="000748D8"/>
    <w:rsid w:val="000A2D30"/>
    <w:rsid w:val="000B59E5"/>
    <w:rsid w:val="000C084B"/>
    <w:rsid w:val="000F7513"/>
    <w:rsid w:val="001310C9"/>
    <w:rsid w:val="00197893"/>
    <w:rsid w:val="001A1EDB"/>
    <w:rsid w:val="00224B18"/>
    <w:rsid w:val="00236A26"/>
    <w:rsid w:val="002554FF"/>
    <w:rsid w:val="00293684"/>
    <w:rsid w:val="002A2B13"/>
    <w:rsid w:val="002A5D46"/>
    <w:rsid w:val="00320C89"/>
    <w:rsid w:val="003319BB"/>
    <w:rsid w:val="003C6314"/>
    <w:rsid w:val="00415EF9"/>
    <w:rsid w:val="004311AB"/>
    <w:rsid w:val="0043235E"/>
    <w:rsid w:val="00433E4D"/>
    <w:rsid w:val="00447C6B"/>
    <w:rsid w:val="004905CB"/>
    <w:rsid w:val="004A0370"/>
    <w:rsid w:val="004D55B5"/>
    <w:rsid w:val="004E0609"/>
    <w:rsid w:val="00577B14"/>
    <w:rsid w:val="00584321"/>
    <w:rsid w:val="005A0A26"/>
    <w:rsid w:val="005D1530"/>
    <w:rsid w:val="005D3EDC"/>
    <w:rsid w:val="006238F9"/>
    <w:rsid w:val="00694FE3"/>
    <w:rsid w:val="006E7018"/>
    <w:rsid w:val="006F04E5"/>
    <w:rsid w:val="0073215F"/>
    <w:rsid w:val="007C5F55"/>
    <w:rsid w:val="007D182E"/>
    <w:rsid w:val="007F6425"/>
    <w:rsid w:val="00812943"/>
    <w:rsid w:val="00881AEE"/>
    <w:rsid w:val="008D6B8B"/>
    <w:rsid w:val="008E523C"/>
    <w:rsid w:val="00981741"/>
    <w:rsid w:val="009821D4"/>
    <w:rsid w:val="00997755"/>
    <w:rsid w:val="00A0691B"/>
    <w:rsid w:val="00A23E22"/>
    <w:rsid w:val="00A46C73"/>
    <w:rsid w:val="00A55660"/>
    <w:rsid w:val="00A56AE7"/>
    <w:rsid w:val="00A76787"/>
    <w:rsid w:val="00A95C68"/>
    <w:rsid w:val="00A971DB"/>
    <w:rsid w:val="00AC1C75"/>
    <w:rsid w:val="00AE02D4"/>
    <w:rsid w:val="00B058E8"/>
    <w:rsid w:val="00B267CE"/>
    <w:rsid w:val="00B66EEB"/>
    <w:rsid w:val="00B8297C"/>
    <w:rsid w:val="00BA0202"/>
    <w:rsid w:val="00BC2BCA"/>
    <w:rsid w:val="00BE667D"/>
    <w:rsid w:val="00CB3547"/>
    <w:rsid w:val="00CD03DD"/>
    <w:rsid w:val="00D05D46"/>
    <w:rsid w:val="00D17007"/>
    <w:rsid w:val="00D70ED2"/>
    <w:rsid w:val="00D94623"/>
    <w:rsid w:val="00DF1B7C"/>
    <w:rsid w:val="00DF2AB7"/>
    <w:rsid w:val="00DF5DBC"/>
    <w:rsid w:val="00E645D3"/>
    <w:rsid w:val="00EB44B3"/>
    <w:rsid w:val="00F70F5B"/>
    <w:rsid w:val="00F9433E"/>
    <w:rsid w:val="00FB220A"/>
    <w:rsid w:val="00FF24A0"/>
    <w:rsid w:val="24B8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5F0F"/>
  <w14:defaultImageDpi w14:val="32767"/>
  <w15:chartTrackingRefBased/>
  <w15:docId w15:val="{40DDB725-26BF-4C0F-AFA9-8766ED6A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23E22"/>
  </w:style>
  <w:style w:type="paragraph" w:styleId="ListParagraph">
    <w:name w:val="List Paragraph"/>
    <w:basedOn w:val="Normal"/>
    <w:uiPriority w:val="34"/>
    <w:qFormat/>
    <w:rsid w:val="001310C9"/>
    <w:pPr>
      <w:spacing w:after="0" w:line="480" w:lineRule="auto"/>
      <w:ind w:left="720"/>
      <w:contextualSpacing/>
      <w:jc w:val="both"/>
    </w:pPr>
    <w:rPr>
      <w:rFonts w:ascii="Times New Roman" w:eastAsia="Arial" w:hAnsi="Times New Roman" w:cs="Arial"/>
      <w:szCs w:val="22"/>
      <w:lang w:val="en" w:eastAsia="en-IN"/>
    </w:rPr>
  </w:style>
  <w:style w:type="table" w:styleId="TableGrid">
    <w:name w:val="Table Grid"/>
    <w:basedOn w:val="TableNormal"/>
    <w:uiPriority w:val="39"/>
    <w:rsid w:val="001310C9"/>
    <w:pPr>
      <w:spacing w:after="0" w:line="240" w:lineRule="auto"/>
    </w:pPr>
    <w:rPr>
      <w:rFonts w:eastAsia="Arial"/>
      <w:kern w:val="2"/>
      <w:sz w:val="22"/>
      <w:szCs w:val="22"/>
      <w:lang w:val="en-IN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6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B8B"/>
  </w:style>
  <w:style w:type="paragraph" w:styleId="Footer">
    <w:name w:val="footer"/>
    <w:basedOn w:val="Normal"/>
    <w:link w:val="FooterChar"/>
    <w:uiPriority w:val="99"/>
    <w:unhideWhenUsed/>
    <w:rsid w:val="008D6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8F9D7-432E-4580-A651-F248BE4C6A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9bebd42-f1ff-4c3d-9688-067e3460dc1f}" enabled="0" method="" siteId="{29bebd42-f1ff-4c3d-9688-067e3460d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SUPRIYO MUKHERJEE - 230100119 - KMCMPL</dc:creator>
  <cp:keywords/>
  <dc:description/>
  <cp:lastModifiedBy>Ranita Ghosh Dastidar [MAHE-KMC]</cp:lastModifiedBy>
  <cp:revision>64</cp:revision>
  <dcterms:created xsi:type="dcterms:W3CDTF">2026-06-26T04:19:00Z</dcterms:created>
  <dcterms:modified xsi:type="dcterms:W3CDTF">2026-08-19T04:47:00Z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6f299e76-ec43-415f-a78e-7e0d801fb92b</vt:lpwstr>
  </property>
</Properties>
</file>