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360" w:lineRule="auto"/>
      </w:pPr>
      <w:r>
        <w:rPr>
          <w:rFonts w:ascii="Times New Roman" w:hAnsi="Times New Roman"/>
          <w:b/>
          <w:i w:val="0"/>
          <w:color w:val="000000"/>
          <w:sz w:val="28"/>
        </w:rPr>
        <w:t>Supplementary Materials</w:t>
      </w:r>
    </w:p>
    <w:p>
      <w:pPr>
        <w:spacing w:before="0" w:after="0" w:line="360" w:lineRule="auto"/>
        <w:rPr>
          <w:rFonts w:hint="eastAsia" w:eastAsia="宋体"/>
          <w:lang w:val="en-US" w:eastAsia="zh-CN"/>
        </w:rPr>
      </w:pPr>
      <w:r>
        <w:rPr>
          <w:rFonts w:ascii="Times New Roman" w:hAnsi="Times New Roman"/>
          <w:b/>
          <w:i w:val="0"/>
          <w:color w:val="000000"/>
          <w:sz w:val="24"/>
        </w:rPr>
        <w:t>Supplementary Figures</w:t>
      </w:r>
      <w:r>
        <w:rPr>
          <w:rFonts w:hint="eastAsia" w:eastAsia="宋体"/>
          <w:b/>
          <w:i w:val="0"/>
          <w:color w:val="000000"/>
          <w:sz w:val="24"/>
          <w:lang w:val="en-US" w:eastAsia="zh-CN"/>
        </w:rPr>
        <w:t xml:space="preserve"> </w:t>
      </w:r>
      <w:r>
        <w:rPr>
          <w:rFonts w:hint="eastAsia" w:eastAsia="宋体"/>
          <w:lang w:val="en-US" w:eastAsia="zh-CN"/>
        </w:rPr>
        <w:t xml:space="preserve"> </w:t>
      </w:r>
    </w:p>
    <w:p>
      <w:pPr>
        <w:spacing w:before="0" w:after="0" w:line="480" w:lineRule="auto"/>
        <w:rPr>
          <w:rFonts w:hint="eastAsia" w:ascii="Times New Roman" w:hAnsi="Times New Roman" w:eastAsia="Times New Roman"/>
          <w:b w:val="0"/>
          <w:i w:val="0"/>
          <w:color w:val="444444"/>
          <w:sz w:val="20"/>
          <w:lang w:val="en-US" w:eastAsia="zh-CN"/>
        </w:rPr>
      </w:pPr>
      <w:r>
        <w:rPr>
          <w:rFonts w:ascii="Times New Roman" w:hAnsi="Times New Roman" w:eastAsia="Times New Roman"/>
          <w:b w:val="0"/>
          <w:i w:val="0"/>
          <w:color w:val="444444"/>
          <w:sz w:val="20"/>
        </w:rPr>
        <w:t>Supplementary Figure S</w:t>
      </w:r>
      <w:r>
        <w:rPr>
          <w:rFonts w:hint="eastAsia" w:ascii="Times New Roman" w:hAnsi="Times New Roman" w:eastAsia="Times New Roman"/>
          <w:b w:val="0"/>
          <w:i w:val="0"/>
          <w:color w:val="444444"/>
          <w:sz w:val="20"/>
          <w:lang w:val="en-US" w:eastAsia="zh-CN"/>
        </w:rPr>
        <w:t>1</w:t>
      </w:r>
      <w:r>
        <w:rPr>
          <w:rFonts w:ascii="Times New Roman" w:hAnsi="Times New Roman" w:eastAsia="Times New Roman"/>
          <w:b w:val="0"/>
          <w:i w:val="0"/>
          <w:color w:val="444444"/>
          <w:sz w:val="20"/>
        </w:rPr>
        <w:t>. Study flow diagram. EHR records from Xiangya Hospital screened for eligibility, deduplicated, and mapped to 16 physiological systems. Final analytical sample: N = 73,023, stratified into three age cohorts.</w:t>
      </w:r>
      <w:r>
        <w:rPr>
          <w:rFonts w:hint="eastAsia" w:ascii="Times New Roman" w:hAnsi="Times New Roman" w:eastAsia="Times New Roman"/>
          <w:b w:val="0"/>
          <w:i w:val="0"/>
          <w:color w:val="444444"/>
          <w:sz w:val="20"/>
          <w:lang w:val="en-US" w:eastAsia="zh-CN"/>
        </w:rPr>
        <w:t xml:space="preserve"> </w:t>
      </w:r>
    </w:p>
    <w:p>
      <w:pPr>
        <w:spacing w:before="0" w:after="0" w:line="480" w:lineRule="auto"/>
        <w:rPr>
          <w:rFonts w:ascii="Times New Roman" w:hAnsi="Times New Roman" w:eastAsia="Times New Roman"/>
          <w:b w:val="0"/>
          <w:i w:val="0"/>
          <w:color w:val="444444"/>
          <w:sz w:val="20"/>
        </w:rPr>
      </w:pPr>
      <w:r>
        <w:rPr>
          <w:rFonts w:ascii="Times New Roman" w:hAnsi="Times New Roman" w:eastAsia="Times New Roman"/>
          <w:b w:val="0"/>
          <w:i w:val="0"/>
          <w:color w:val="444444"/>
          <w:sz w:val="20"/>
        </w:rPr>
        <w:t>Supplementary Figure S</w:t>
      </w:r>
      <w:r>
        <w:rPr>
          <w:rFonts w:hint="eastAsia" w:ascii="Times New Roman" w:hAnsi="Times New Roman" w:eastAsia="Times New Roman"/>
          <w:b w:val="0"/>
          <w:i w:val="0"/>
          <w:color w:val="444444"/>
          <w:sz w:val="20"/>
          <w:lang w:val="en-US" w:eastAsia="zh-CN"/>
        </w:rPr>
        <w:t>2</w:t>
      </w:r>
      <w:r>
        <w:rPr>
          <w:rFonts w:ascii="Times New Roman" w:hAnsi="Times New Roman" w:eastAsia="Times New Roman"/>
          <w:b w:val="0"/>
          <w:i w:val="0"/>
          <w:color w:val="444444"/>
          <w:sz w:val="20"/>
        </w:rPr>
        <w:t>. Sensitivity analysis of (A) network density and (B) modularity (Q) across five alternative age stratification schemes. The monotonic age-dependent trend is preserved across all schemes, with the original stratification highlighted by bold borders.</w:t>
      </w:r>
    </w:p>
    <w:p>
      <w:pPr>
        <w:spacing w:before="0" w:after="0" w:line="480" w:lineRule="auto"/>
      </w:pPr>
      <w:r>
        <w:rPr>
          <w:rFonts w:ascii="Times New Roman" w:hAnsi="Times New Roman" w:eastAsia="Times New Roman"/>
          <w:b w:val="0"/>
          <w:i w:val="0"/>
          <w:color w:val="444444"/>
          <w:sz w:val="20"/>
        </w:rPr>
        <w:t>Supplementary Figure S</w:t>
      </w:r>
      <w:r>
        <w:rPr>
          <w:rFonts w:hint="eastAsia" w:ascii="Times New Roman" w:hAnsi="Times New Roman" w:eastAsia="Times New Roman"/>
          <w:b w:val="0"/>
          <w:i w:val="0"/>
          <w:color w:val="444444"/>
          <w:sz w:val="20"/>
          <w:lang w:val="en-US" w:eastAsia="zh-CN"/>
        </w:rPr>
        <w:t>3</w:t>
      </w:r>
      <w:r>
        <w:rPr>
          <w:rFonts w:ascii="Times New Roman" w:hAnsi="Times New Roman" w:eastAsia="Times New Roman"/>
          <w:b w:val="0"/>
          <w:i w:val="0"/>
          <w:color w:val="444444"/>
          <w:sz w:val="20"/>
        </w:rPr>
        <w:t>. Network density as a function of age group: monotonic increase robust across alternative cutoffs.</w:t>
      </w:r>
    </w:p>
    <w:p>
      <w:pPr>
        <w:spacing w:before="0" w:after="0" w:line="360" w:lineRule="auto"/>
      </w:pPr>
      <w:r>
        <w:rPr>
          <w:rFonts w:ascii="Times New Roman" w:hAnsi="Times New Roman"/>
          <w:b/>
          <w:i w:val="0"/>
          <w:color w:val="000000"/>
          <w:sz w:val="24"/>
        </w:rPr>
        <w:t>Supplementary Tables</w:t>
      </w:r>
    </w:p>
    <w:p>
      <w:pPr>
        <w:spacing w:before="0" w:after="0" w:line="480" w:lineRule="auto"/>
      </w:pPr>
      <w:r>
        <w:rPr>
          <w:rFonts w:ascii="Times New Roman" w:hAnsi="Times New Roman"/>
          <w:b w:val="0"/>
          <w:i w:val="0"/>
          <w:color w:val="444444"/>
          <w:sz w:val="20"/>
        </w:rPr>
        <w:t>Supplementary Table S1. Classification of 16 physiological systems according to ICD-10 chapters.</w:t>
      </w:r>
    </w:p>
    <w:p>
      <w:pPr>
        <w:spacing w:before="0" w:after="0" w:line="480" w:lineRule="auto"/>
      </w:pPr>
      <w:r>
        <w:rPr>
          <w:rFonts w:ascii="Times New Roman" w:hAnsi="Times New Roman"/>
          <w:b w:val="0"/>
          <w:i w:val="0"/>
          <w:color w:val="444444"/>
          <w:sz w:val="20"/>
        </w:rPr>
        <w:t>Supplementary Table S2. Association rules of disease system comorbidities identified by age group stratification.</w:t>
      </w:r>
    </w:p>
    <w:p>
      <w:pPr>
        <w:spacing w:before="0" w:after="0" w:line="480" w:lineRule="auto"/>
      </w:pPr>
      <w:r>
        <w:rPr>
          <w:rFonts w:ascii="Times New Roman" w:hAnsi="Times New Roman"/>
          <w:b w:val="0"/>
          <w:i w:val="0"/>
          <w:color w:val="444444"/>
          <w:sz w:val="20"/>
        </w:rPr>
        <w:t>Supplementary Table S3. Performance comparison of similarity-based link prediction algorithms across age groups.</w:t>
      </w:r>
    </w:p>
    <w:p>
      <w:pPr>
        <w:spacing w:before="0" w:after="0" w:line="480" w:lineRule="auto"/>
      </w:pPr>
      <w:r>
        <w:rPr>
          <w:rFonts w:ascii="Times New Roman" w:hAnsi="Times New Roman"/>
          <w:b w:val="0"/>
          <w:i w:val="0"/>
          <w:color w:val="444444"/>
          <w:sz w:val="20"/>
        </w:rPr>
        <w:t>Supplementary Table S</w:t>
      </w:r>
      <w:r>
        <w:rPr>
          <w:rFonts w:hint="eastAsia" w:eastAsia="宋体"/>
          <w:b w:val="0"/>
          <w:i w:val="0"/>
          <w:color w:val="444444"/>
          <w:sz w:val="20"/>
          <w:lang w:val="en-US" w:eastAsia="zh-CN"/>
        </w:rPr>
        <w:t>4</w:t>
      </w:r>
      <w:r>
        <w:rPr>
          <w:rFonts w:ascii="Times New Roman" w:hAnsi="Times New Roman"/>
          <w:b w:val="0"/>
          <w:i w:val="0"/>
          <w:color w:val="444444"/>
          <w:sz w:val="20"/>
        </w:rPr>
        <w:t>. Demographic and clinical characteristics of the external validation cohort.</w:t>
      </w:r>
    </w:p>
    <w:p>
      <w:pPr>
        <w:spacing w:before="0" w:after="0" w:line="480" w:lineRule="auto"/>
      </w:pPr>
      <w:r>
        <w:rPr>
          <w:rFonts w:ascii="Times New Roman" w:hAnsi="Times New Roman"/>
          <w:b w:val="0"/>
          <w:i w:val="0"/>
          <w:color w:val="444444"/>
          <w:sz w:val="20"/>
        </w:rPr>
        <w:t>Supplementary Table S</w:t>
      </w:r>
      <w:r>
        <w:rPr>
          <w:rFonts w:hint="eastAsia" w:eastAsia="宋体"/>
          <w:b w:val="0"/>
          <w:i w:val="0"/>
          <w:color w:val="444444"/>
          <w:sz w:val="20"/>
          <w:lang w:val="en-US" w:eastAsia="zh-CN"/>
        </w:rPr>
        <w:t>5</w:t>
      </w:r>
      <w:r>
        <w:rPr>
          <w:rFonts w:ascii="Times New Roman" w:hAnsi="Times New Roman"/>
          <w:b w:val="0"/>
          <w:i w:val="0"/>
          <w:color w:val="444444"/>
          <w:sz w:val="20"/>
        </w:rPr>
        <w:t>. Concordance of network community structures between derivation and external validation cohorts.</w:t>
      </w:r>
    </w:p>
    <w:p>
      <w:pPr>
        <w:spacing w:before="0" w:after="0" w:line="480" w:lineRule="auto"/>
      </w:pPr>
      <w:r>
        <w:rPr>
          <w:rFonts w:ascii="Times New Roman" w:hAnsi="Times New Roman"/>
          <w:b w:val="0"/>
          <w:i w:val="0"/>
          <w:color w:val="444444"/>
          <w:sz w:val="20"/>
        </w:rPr>
        <w:t>Supplementary Table S</w:t>
      </w:r>
      <w:r>
        <w:rPr>
          <w:rFonts w:hint="eastAsia" w:eastAsia="宋体"/>
          <w:b w:val="0"/>
          <w:i w:val="0"/>
          <w:color w:val="444444"/>
          <w:sz w:val="20"/>
          <w:lang w:val="en-US" w:eastAsia="zh-CN"/>
        </w:rPr>
        <w:t>6</w:t>
      </w:r>
      <w:r>
        <w:rPr>
          <w:rFonts w:ascii="Times New Roman" w:hAnsi="Times New Roman"/>
          <w:b w:val="0"/>
          <w:i w:val="0"/>
          <w:color w:val="444444"/>
          <w:sz w:val="20"/>
        </w:rPr>
        <w:t>. Sensitivity analysis of AA-index F1-scores stratified by hospital source.</w:t>
      </w:r>
    </w:p>
    <w:p>
      <w:pPr>
        <w:spacing w:before="0" w:after="0" w:line="480" w:lineRule="auto"/>
      </w:pPr>
      <w:r>
        <w:rPr>
          <w:rFonts w:ascii="Times New Roman" w:hAnsi="Times New Roman"/>
          <w:b w:val="0"/>
          <w:i w:val="0"/>
          <w:color w:val="444444"/>
          <w:sz w:val="20"/>
        </w:rPr>
        <w:t>Supplementary Table S</w:t>
      </w:r>
      <w:r>
        <w:rPr>
          <w:rFonts w:hint="eastAsia" w:eastAsia="宋体"/>
          <w:b w:val="0"/>
          <w:i w:val="0"/>
          <w:color w:val="444444"/>
          <w:sz w:val="20"/>
          <w:lang w:val="en-US" w:eastAsia="zh-CN"/>
        </w:rPr>
        <w:t>7</w:t>
      </w:r>
      <w:r>
        <w:rPr>
          <w:rFonts w:ascii="Times New Roman" w:hAnsi="Times New Roman"/>
          <w:b w:val="0"/>
          <w:i w:val="0"/>
          <w:color w:val="444444"/>
          <w:sz w:val="20"/>
        </w:rPr>
        <w:t>. System support values (prevalence) and prediction scores by age group.</w:t>
      </w:r>
    </w:p>
    <w:p>
      <w:pPr>
        <w:spacing w:before="4572000" w:after="2032000" w:line="360" w:lineRule="auto"/>
      </w:pPr>
      <w:r>
        <w:rPr>
          <w:rFonts w:ascii="Times New Roman" w:hAnsi="Times New Roman"/>
          <w:b/>
          <w:color w:val="000000"/>
          <w:sz w:val="28"/>
        </w:rPr>
        <w:t>Supplementary Figures</w:t>
      </w:r>
    </w:p>
    <w:p>
      <w:pPr>
        <w:spacing w:before="3048000" w:after="1016000" w:line="240" w:lineRule="auto"/>
        <w:jc w:val="center"/>
      </w:pPr>
      <w:r>
        <w:drawing>
          <wp:inline distT="0" distB="0" distL="114300" distR="114300">
            <wp:extent cx="5399405" cy="3210560"/>
            <wp:effectExtent l="0" t="0" r="10795" b="152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21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08000" w:after="1524000" w:line="312" w:lineRule="auto"/>
        <w:jc w:val="center"/>
      </w:pPr>
      <w:r>
        <w:rPr>
          <w:rFonts w:ascii="Times New Roman" w:hAnsi="Times New Roman"/>
          <w:b w:val="0"/>
          <w:color w:val="666666"/>
          <w:sz w:val="18"/>
        </w:rPr>
        <w:t>Supplementary Figure S1. Network density as a function of age group: monotonic increase robust across alternative cutoffs.</w:t>
      </w:r>
    </w:p>
    <w:p>
      <w:pPr>
        <w:spacing w:before="3048000" w:after="1016000" w:line="240" w:lineRule="auto"/>
        <w:jc w:val="center"/>
      </w:pPr>
      <w:r>
        <w:drawing>
          <wp:inline distT="0" distB="0" distL="114300" distR="114300">
            <wp:extent cx="5399405" cy="4862830"/>
            <wp:effectExtent l="0" t="0" r="10795" b="139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6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08000" w:after="1524000" w:line="312" w:lineRule="auto"/>
        <w:jc w:val="center"/>
      </w:pPr>
      <w:r>
        <w:rPr>
          <w:rFonts w:ascii="Times New Roman" w:hAnsi="Times New Roman"/>
          <w:b w:val="0"/>
          <w:color w:val="666666"/>
          <w:sz w:val="18"/>
        </w:rPr>
        <w:t>Supplementary Figure S2. Study flow diagram. EHR records from Xiangya Hospital screened for eligibility, deduplicated, and mapped to 16 physiological systems. Final analytical sample: N = 73,023, stratified into three age cohorts.</w:t>
      </w:r>
    </w:p>
    <w:p>
      <w:pPr>
        <w:spacing w:before="3048000" w:after="1016000" w:line="240" w:lineRule="auto"/>
        <w:jc w:val="center"/>
      </w:pPr>
      <w:r>
        <w:drawing>
          <wp:inline distT="0" distB="0" distL="114300" distR="114300">
            <wp:extent cx="5399405" cy="2187575"/>
            <wp:effectExtent l="0" t="0" r="10795" b="222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8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08000" w:after="1524000" w:line="312" w:lineRule="auto"/>
        <w:jc w:val="center"/>
      </w:pPr>
      <w:r>
        <w:rPr>
          <w:rFonts w:ascii="Times New Roman" w:hAnsi="Times New Roman"/>
          <w:b w:val="0"/>
          <w:color w:val="666666"/>
          <w:sz w:val="18"/>
        </w:rPr>
        <w:t>Supplementary Figure S3. Sensitivity analysis of (A) network density and (B) modularity (Q) across five alternative age stratification schemes. Original scheme (18–44/45–59/≥60) highlighted with bold borders. Monotonic age-dependent trend preserved across all schemes.</w:t>
      </w:r>
    </w:p>
    <w:p>
      <w:r>
        <w:br w:type="page"/>
      </w:r>
    </w:p>
    <w:p>
      <w:pPr>
        <w:spacing w:before="4572000" w:after="2032000" w:line="360" w:lineRule="auto"/>
      </w:pPr>
      <w:r>
        <w:rPr>
          <w:rFonts w:ascii="Times New Roman" w:hAnsi="Times New Roman"/>
          <w:b/>
          <w:color w:val="000000"/>
          <w:sz w:val="28"/>
        </w:rPr>
        <w:t>Supplementary Tables</w:t>
      </w:r>
    </w:p>
    <w:p>
      <w:pPr>
        <w:spacing w:before="3556000" w:after="1524000" w:line="360" w:lineRule="auto"/>
      </w:pPr>
      <w:r>
        <w:rPr>
          <w:rFonts w:ascii="Times New Roman" w:hAnsi="Times New Roman"/>
          <w:b/>
          <w:color w:val="000000"/>
          <w:sz w:val="24"/>
        </w:rPr>
        <w:t>Supplementary Table S1</w:t>
      </w:r>
    </w:p>
    <w:p>
      <w:pPr>
        <w:spacing w:before="0" w:after="1016000" w:line="480" w:lineRule="auto"/>
      </w:pPr>
      <w:r>
        <w:rPr>
          <w:rFonts w:ascii="Times New Roman" w:hAnsi="Times New Roman"/>
          <w:b/>
          <w:color w:val="000000"/>
          <w:sz w:val="22"/>
        </w:rPr>
        <w:t>Classification of 16 Physiological Systems According to ICD-10 Chapters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System Category</w:t>
            </w:r>
          </w:p>
        </w:tc>
        <w:tc>
          <w:tcPr>
            <w:tcW w:w="3118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ICD-10 Chapter Codes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Diseases of the Circulatory System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I00–I99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Diseases of the Respiratory System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J00–J99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Endocrine, Nutritional and Metabolic Diseases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E00–E90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Diseases of the Digestive System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K00–K93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Diseases of the Nervous System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G00–G99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Diseases of the Genitourinary System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N00–N99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Diseases of the Musculoskeletal System and Connective Tissue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M00–M99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Neoplasms and Related Conditions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C00–D48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Mental and Behavioural Disorders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F00–F99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Symptoms, Signs, Abnormal Findings, NEC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R00–R99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Factors Influencing Health Status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Z00–Z99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Certain Infectious and Parasitic Diseases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A00–B99, U07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Congenital Malformations and Chromosomal Abnormalities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Q00–Q99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Diseases of the Eye and Adnexa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H00–H59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Diseases of the Skin and Subcutaneous Tissue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L00–L99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1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Injury, Poisoning, External Causes</w:t>
            </w:r>
          </w:p>
        </w:tc>
        <w:tc>
          <w:tcPr>
            <w:tcW w:w="311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T00–T98</w:t>
            </w:r>
          </w:p>
        </w:tc>
      </w:tr>
    </w:tbl>
    <w:p/>
    <w:p>
      <w:pPr>
        <w:spacing w:before="3556000" w:after="1524000" w:line="360" w:lineRule="auto"/>
      </w:pPr>
      <w:r>
        <w:rPr>
          <w:rFonts w:ascii="Times New Roman" w:hAnsi="Times New Roman"/>
          <w:b/>
          <w:color w:val="000000"/>
          <w:sz w:val="24"/>
        </w:rPr>
        <w:t>Supplementary Table S2</w:t>
      </w:r>
    </w:p>
    <w:p>
      <w:pPr>
        <w:spacing w:before="0" w:after="1016000" w:line="480" w:lineRule="auto"/>
      </w:pPr>
      <w:r>
        <w:rPr>
          <w:rFonts w:ascii="Times New Roman" w:hAnsi="Times New Roman"/>
          <w:b/>
          <w:color w:val="000000"/>
          <w:sz w:val="22"/>
        </w:rPr>
        <w:t>Association Rules of Disease System Comorbidities by Age Group Stratification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835"/>
        <w:gridCol w:w="1247"/>
        <w:gridCol w:w="1134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Age Group</w:t>
            </w:r>
          </w:p>
        </w:tc>
        <w:tc>
          <w:tcPr>
            <w:tcW w:w="2835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Disease System Association</w:t>
            </w:r>
          </w:p>
        </w:tc>
        <w:tc>
          <w:tcPr>
            <w:tcW w:w="1247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No. (%)</w:t>
            </w:r>
          </w:p>
        </w:tc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Confidence (%)</w:t>
            </w:r>
          </w:p>
        </w:tc>
        <w:tc>
          <w:tcPr>
            <w:tcW w:w="850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Lift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 (n=1803)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920 (51.0)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99.2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Respiratory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751 (41.7)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99.1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1019 (56.5)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98.5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Endocrine-metabolic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1115 (61.8)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98.4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 (n=3575)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 + Endocrine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1890 (52.9)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99.1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 + Circulatory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1668 (46.7)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98.9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2753 (77.0)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98.8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 + Endocrine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1495 (41.8)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98.7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2075 (58.0)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98.3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Endocrine-metabolic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2272 (63.6)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98.2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 (n=3344)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Endocrine-metabolic → Circulatory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1977 (59.1)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93.1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 → Circulatory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1566 (46.8)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93.0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Genitourinary → Circulatory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1478 (44.2)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92.3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 + Circulatory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1533 (45.8)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97.9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 + Endocrine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1935 (57.9)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97.9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Endocrine-metabolic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2073 (62.0)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97.6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1644 (49.2)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97.6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2941 (87.9)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97.5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 + Genitourinary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1441 (43.1)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97.5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835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Genitourinary → Nervous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1557 (46.6)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97.2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</w:tr>
    </w:tbl>
    <w:p/>
    <w:p>
      <w:pPr>
        <w:spacing w:before="3556000" w:after="1524000" w:line="360" w:lineRule="auto"/>
      </w:pPr>
      <w:r>
        <w:rPr>
          <w:rFonts w:ascii="Times New Roman" w:hAnsi="Times New Roman"/>
          <w:b/>
          <w:color w:val="000000"/>
          <w:sz w:val="24"/>
        </w:rPr>
        <w:t>Supplementary Table S3</w:t>
      </w:r>
    </w:p>
    <w:p>
      <w:pPr>
        <w:spacing w:before="0" w:after="1016000" w:line="480" w:lineRule="auto"/>
      </w:pPr>
      <w:r>
        <w:rPr>
          <w:rFonts w:ascii="Times New Roman" w:hAnsi="Times New Roman"/>
          <w:b/>
          <w:color w:val="000000"/>
          <w:sz w:val="22"/>
        </w:rPr>
        <w:t>Performance Comparison of Similarity-Based Link Prediction Algorithms Across Age Groups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134"/>
        <w:gridCol w:w="1020"/>
        <w:gridCol w:w="1134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Group</w:t>
            </w:r>
          </w:p>
        </w:tc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Method</w:t>
            </w:r>
          </w:p>
        </w:tc>
        <w:tc>
          <w:tcPr>
            <w:tcW w:w="1020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AUC</w:t>
            </w:r>
          </w:p>
        </w:tc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Precision</w:t>
            </w:r>
          </w:p>
        </w:tc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Recall</w:t>
            </w:r>
          </w:p>
        </w:tc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F1-score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AA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CN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RA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Cosine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PA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Jaccard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HPI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HDI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LHN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0.55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AA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CN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RA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Cosine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PA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Jaccard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HPI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0.45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HDI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1.00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LHN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AA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CN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RA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Cosine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PA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Jaccard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HPI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0.48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HDI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LHN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0.27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0.75</w:t>
            </w:r>
          </w:p>
        </w:tc>
      </w:tr>
    </w:tbl>
    <w:p/>
    <w:p>
      <w:pPr>
        <w:spacing w:before="0" w:after="1016000" w:line="480" w:lineRule="auto"/>
      </w:pPr>
      <w:r>
        <w:rPr>
          <w:rFonts w:ascii="Times New Roman" w:hAnsi="Times New Roman"/>
          <w:b w:val="0"/>
          <w:color w:val="666666"/>
          <w:sz w:val="16"/>
        </w:rPr>
        <w:t>AA = Adamic-Adar; CN = Common Neighbors; RA = Resource Allocation; PA = Preferential Attachment; HPI = Hub Promoted Index; HDI = Hub Depressed Index; LHN = Leicht-Holme-Newman.</w:t>
      </w:r>
    </w:p>
    <w:p>
      <w:pPr>
        <w:spacing w:before="3556000" w:after="1524000" w:line="360" w:lineRule="auto"/>
      </w:pPr>
      <w:r>
        <w:rPr>
          <w:rFonts w:ascii="Times New Roman" w:hAnsi="Times New Roman"/>
          <w:b/>
          <w:color w:val="000000"/>
          <w:sz w:val="24"/>
        </w:rPr>
        <w:t>Supplementary Table S4</w:t>
      </w:r>
    </w:p>
    <w:p>
      <w:pPr>
        <w:spacing w:before="0" w:after="1016000" w:line="480" w:lineRule="auto"/>
      </w:pPr>
      <w:r>
        <w:rPr>
          <w:rFonts w:ascii="Times New Roman" w:hAnsi="Times New Roman"/>
          <w:b/>
          <w:color w:val="000000"/>
          <w:sz w:val="22"/>
        </w:rPr>
        <w:t>System Support Values (Prevalence) and Prediction Scores by Age Group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268"/>
        <w:gridCol w:w="1134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Group</w:t>
            </w:r>
          </w:p>
        </w:tc>
        <w:tc>
          <w:tcPr>
            <w:tcW w:w="2268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System</w:t>
            </w:r>
          </w:p>
        </w:tc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Support</w:t>
            </w:r>
          </w:p>
        </w:tc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Confidence</w:t>
            </w:r>
          </w:p>
        </w:tc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Lift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0.1385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0.6688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Symptoms/signs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0.0923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Genitourinary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0.1077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Health factors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0.0769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Infectious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0.0462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Respiratory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0.8667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0.0462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0.6853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Mental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0.8667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0.0462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Musculoskeletal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0.0308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Congenital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0.0308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Neoplasms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0.0308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Eye/ear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0.0231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Injury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Skin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0.5333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0.4167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0.1553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Endocrine-metabolic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0.1449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Nervous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0.1348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0.1443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Symptoms/signs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0.1296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0.7657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Genitourinary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0.1065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0.7597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Respiratory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0.1087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0.7640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Health factors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0.0914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0.7569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Musculoskeletal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0.0869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Infectious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0.0593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Neoplasms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0.0601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0.7388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Injury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0.0182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0.5966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Mental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0.8667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0.0301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Congenital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0.0277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0.7532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Eye/ear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0.0142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Skin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0.0059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0.5526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0.1300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Nervous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0.1206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Endocrine-metabolic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0.1123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Symptoms/signs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0.1138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0.1085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Genitourinary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0.1066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Respiratory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0.1069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Health factors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0.0955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Musculoskeletal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0.0921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0.7719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Infectious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0.0657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Mental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0.0783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0.7544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Neoplasms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0.0747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0.7569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Eye/ear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0.9333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0.0525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Congenital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0.8667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0.0493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0.7435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Skin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0.0157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0.6214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2268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Injury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0.8000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0.0194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0.6369</w:t>
            </w:r>
          </w:p>
        </w:tc>
      </w:tr>
    </w:tbl>
    <w:p/>
    <w:p>
      <w:pPr>
        <w:spacing w:before="3556000" w:after="1524000" w:line="360" w:lineRule="auto"/>
      </w:pPr>
      <w:r>
        <w:rPr>
          <w:rFonts w:ascii="Times New Roman" w:hAnsi="Times New Roman"/>
          <w:b/>
          <w:color w:val="000000"/>
          <w:sz w:val="24"/>
        </w:rPr>
        <w:t>Supplementary Table S5</w:t>
      </w:r>
    </w:p>
    <w:p>
      <w:pPr>
        <w:spacing w:before="0" w:after="1016000" w:line="480" w:lineRule="auto"/>
      </w:pPr>
      <w:r>
        <w:rPr>
          <w:rFonts w:ascii="Times New Roman" w:hAnsi="Times New Roman"/>
          <w:b/>
          <w:color w:val="000000"/>
          <w:sz w:val="22"/>
        </w:rPr>
        <w:t>Top Comorbidity Associations Identified by the Adamic-Adar Index Across Age Groups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4819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Age Group</w:t>
            </w:r>
          </w:p>
        </w:tc>
        <w:tc>
          <w:tcPr>
            <w:tcW w:w="4819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Disease System Pair</w:t>
            </w:r>
          </w:p>
        </w:tc>
        <w:tc>
          <w:tcPr>
            <w:tcW w:w="113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Score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Health factors – Nervous system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4.742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Respiratory – Genitourinary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4.597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Health factors – Neoplasms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Nervous – Neoplasms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Congenital – Infectious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Circulatory – Eye/adnexa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4.037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Symptoms/signs – Nervous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Congenital – Health factors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Respiratory – Musculoskeletal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3.622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Endocrine-metabolic – Digestive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Musculoskeletal – Injury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5.066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Nervous – Health factors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5.052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Infectious – Neoplasms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Endocrine-metabolic – Genitourinary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Infectious – Injury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 – Infectious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Genitourinary – Digestive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Congenital – Skin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Mental – Eye/adnexa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Symptoms/signs – Eye/adnexa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Respiratory – Health factors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4.870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Musculoskeletal – Injury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Genitourinary – Infectious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Genitourinary – Health factors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4.089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Nervous – Musculoskeletal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Nervous – Injury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Congenital – Neoplasms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3.968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Endocrine-metabolic – Eye/adnexa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3.954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Respiratory – Genitourinary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3.672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Elderly</w:t>
            </w:r>
          </w:p>
        </w:tc>
        <w:tc>
          <w:tcPr>
            <w:tcW w:w="481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Digestive – Respiratory</w:t>
            </w:r>
          </w:p>
        </w:tc>
        <w:tc>
          <w:tcPr>
            <w:tcW w:w="113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3.610</w:t>
            </w:r>
          </w:p>
        </w:tc>
      </w:tr>
    </w:tbl>
    <w:p/>
    <w:p>
      <w:pPr>
        <w:spacing w:before="0" w:after="1016000" w:line="480" w:lineRule="auto"/>
      </w:pPr>
      <w:r>
        <w:rPr>
          <w:rFonts w:ascii="Times New Roman" w:hAnsi="Times New Roman"/>
          <w:b w:val="0"/>
          <w:color w:val="666666"/>
          <w:sz w:val="18"/>
        </w:rPr>
        <w:t>a Adamic-Adar similarity score. AA ≥ 3.9 considered high-confidence.</w:t>
      </w:r>
    </w:p>
    <w:p>
      <w:r>
        <w:br w:type="page"/>
      </w:r>
    </w:p>
    <w:p>
      <w:pPr>
        <w:spacing w:before="4572000" w:after="2032000" w:line="360" w:lineRule="auto"/>
      </w:pPr>
      <w:r>
        <w:rPr>
          <w:rFonts w:ascii="Times New Roman" w:hAnsi="Times New Roman"/>
          <w:b/>
          <w:color w:val="000000"/>
          <w:sz w:val="28"/>
        </w:rPr>
        <w:t>Supplementary Tables — External Validation (新增)</w:t>
      </w:r>
    </w:p>
    <w:p>
      <w:pPr>
        <w:spacing w:before="3556000" w:after="1524000" w:line="360" w:lineRule="auto"/>
      </w:pPr>
      <w:r>
        <w:rPr>
          <w:rFonts w:ascii="Times New Roman" w:hAnsi="Times New Roman"/>
          <w:b/>
          <w:color w:val="000000"/>
          <w:sz w:val="24"/>
        </w:rPr>
        <w:t>Supplementary Table S6</w:t>
      </w:r>
    </w:p>
    <w:p>
      <w:pPr>
        <w:spacing w:before="0" w:after="1016000" w:line="480" w:lineRule="auto"/>
      </w:pPr>
      <w:r>
        <w:rPr>
          <w:rFonts w:ascii="Times New Roman" w:hAnsi="Times New Roman"/>
          <w:b/>
          <w:color w:val="000000"/>
          <w:sz w:val="22"/>
        </w:rPr>
        <w:t>Demographic and Clinical Characteristics of the External Validation Cohort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1417"/>
        <w:gridCol w:w="1417"/>
        <w:gridCol w:w="1417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551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Characteristic</w:t>
            </w:r>
          </w:p>
        </w:tc>
        <w:tc>
          <w:tcPr>
            <w:tcW w:w="1417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Young (n=500)</w:t>
            </w:r>
          </w:p>
        </w:tc>
        <w:tc>
          <w:tcPr>
            <w:tcW w:w="1417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Middle-aged (n=500)</w:t>
            </w:r>
          </w:p>
        </w:tc>
        <w:tc>
          <w:tcPr>
            <w:tcW w:w="1417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Older (n=500)</w:t>
            </w:r>
          </w:p>
        </w:tc>
        <w:tc>
          <w:tcPr>
            <w:tcW w:w="850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5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Age, mean (SD)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5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Female, n (%)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5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Affected systems/patient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5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Xiangya Jiangxi, n (%)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5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Jiangxi Provincial, n (%)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[待填]</w:t>
            </w:r>
          </w:p>
        </w:tc>
      </w:tr>
    </w:tbl>
    <w:p/>
    <w:p>
      <w:pPr>
        <w:spacing w:before="0" w:after="1016000" w:line="480" w:lineRule="auto"/>
      </w:pPr>
      <w:r>
        <w:rPr>
          <w:rFonts w:ascii="Times New Roman" w:hAnsi="Times New Roman"/>
          <w:b w:val="0"/>
          <w:color w:val="666666"/>
          <w:sz w:val="18"/>
        </w:rPr>
        <w:t>N = 1,500 from Xiangya Hospital Jiangxi Branch + Jiangxi Provincial People's Hospital. [待填] = replace with actual data.</w:t>
      </w:r>
    </w:p>
    <w:p>
      <w:pPr>
        <w:spacing w:before="3556000" w:after="1524000" w:line="360" w:lineRule="auto"/>
      </w:pPr>
      <w:r>
        <w:rPr>
          <w:rFonts w:ascii="Times New Roman" w:hAnsi="Times New Roman"/>
          <w:b/>
          <w:color w:val="000000"/>
          <w:sz w:val="24"/>
        </w:rPr>
        <w:t>Supplementary Table S7</w:t>
      </w:r>
    </w:p>
    <w:p>
      <w:pPr>
        <w:spacing w:before="0" w:after="1016000" w:line="480" w:lineRule="auto"/>
      </w:pPr>
      <w:r>
        <w:rPr>
          <w:rFonts w:ascii="Times New Roman" w:hAnsi="Times New Roman"/>
          <w:b/>
          <w:color w:val="000000"/>
          <w:sz w:val="22"/>
        </w:rPr>
        <w:t>Concordance of Network Community Structures Between Derivation and External Validation Cohorts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984"/>
        <w:gridCol w:w="198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68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Age Stratum</w:t>
            </w:r>
          </w:p>
        </w:tc>
        <w:tc>
          <w:tcPr>
            <w:tcW w:w="198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NMI</w:t>
            </w:r>
          </w:p>
        </w:tc>
        <w:tc>
          <w:tcPr>
            <w:tcW w:w="198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Adjusted Rand Index</w:t>
            </w:r>
          </w:p>
        </w:tc>
        <w:tc>
          <w:tcPr>
            <w:tcW w:w="1701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Variation of Information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 (18–44)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0.81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0.76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 (45–59)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0.85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0.80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Older (≥60)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0.78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0.72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0.41</w:t>
            </w:r>
          </w:p>
        </w:tc>
      </w:tr>
    </w:tbl>
    <w:p/>
    <w:p>
      <w:pPr>
        <w:spacing w:before="0" w:after="1016000" w:line="480" w:lineRule="auto"/>
      </w:pPr>
      <w:r>
        <w:rPr>
          <w:rFonts w:ascii="Times New Roman" w:hAnsi="Times New Roman"/>
          <w:b w:val="0"/>
          <w:color w:val="666666"/>
          <w:sz w:val="18"/>
        </w:rPr>
        <w:t>NMI = normalized mutual information (0–1; ≥0.70 = strong concordance). Expected values; replace with actual data after external validation.</w:t>
      </w:r>
    </w:p>
    <w:p>
      <w:pPr>
        <w:spacing w:before="3556000" w:after="1524000" w:line="360" w:lineRule="auto"/>
      </w:pPr>
      <w:r>
        <w:rPr>
          <w:rFonts w:ascii="Times New Roman" w:hAnsi="Times New Roman"/>
          <w:b/>
          <w:color w:val="000000"/>
          <w:sz w:val="24"/>
        </w:rPr>
        <w:t>Supplementary Table S8</w:t>
      </w:r>
    </w:p>
    <w:p>
      <w:pPr>
        <w:spacing w:before="0" w:after="1016000" w:line="480" w:lineRule="auto"/>
      </w:pPr>
      <w:r>
        <w:rPr>
          <w:rFonts w:ascii="Times New Roman" w:hAnsi="Times New Roman"/>
          <w:b/>
          <w:color w:val="000000"/>
          <w:sz w:val="22"/>
        </w:rPr>
        <w:t>Sensitivity Analysis of AA-Index F1-Scores by Hospital Source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984"/>
        <w:gridCol w:w="198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68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Age Stratum</w:t>
            </w:r>
          </w:p>
        </w:tc>
        <w:tc>
          <w:tcPr>
            <w:tcW w:w="198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Xiangya Jiangxi</w:t>
            </w:r>
          </w:p>
        </w:tc>
        <w:tc>
          <w:tcPr>
            <w:tcW w:w="1984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Jiangxi Provincial</w:t>
            </w:r>
          </w:p>
        </w:tc>
        <w:tc>
          <w:tcPr>
            <w:tcW w:w="1701" w:type="dxa"/>
            <w:shd w:val="clear" w:color="auto" w:fill="000000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Young (18–44)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0.81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0.79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Middle-aged (45–59)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0.86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0.84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Older (≥60)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0.92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0.90</w:t>
            </w:r>
          </w:p>
        </w:tc>
        <w:tc>
          <w:tcPr>
            <w:tcW w:w="1701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7"/>
              </w:rPr>
              <w:t>0.02</w:t>
            </w:r>
          </w:p>
        </w:tc>
      </w:tr>
    </w:tbl>
    <w:p/>
    <w:p>
      <w:pPr>
        <w:spacing w:before="0" w:after="1016000" w:line="480" w:lineRule="auto"/>
      </w:pPr>
      <w:r>
        <w:rPr>
          <w:rFonts w:ascii="Times New Roman" w:hAnsi="Times New Roman"/>
          <w:b w:val="0"/>
          <w:color w:val="666666"/>
          <w:sz w:val="18"/>
        </w:rPr>
        <w:t>Δ = absolute difference in F1-score between hospitals. Expected values; replace with actual data after external validation.</w:t>
      </w:r>
      <w:bookmarkStart w:id="0" w:name="_GoBack"/>
      <w:bookmarkEnd w:id="0"/>
    </w:p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B0BC3"/>
    <w:rsid w:val="7FFB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480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2026-08-04T20:34:00Z</dcterms:created>
  <dc:creator>XY</dc:creator>
  <cp:lastModifiedBy>XY</cp:lastModifiedBy>
  <dcterms:modified xsi:type="dcterms:W3CDTF">2026-08-04T20:35:23Z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0B75819DED43FD6340DC716A77B9840F_41</vt:lpwstr>
  </property>
</Properties>
</file>