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73B8A" w14:textId="03D0ADCD"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 xml:space="preserve">Supplementary Figure </w:t>
      </w:r>
      <w:r w:rsidRPr="00BC489E">
        <w:rPr>
          <w:rFonts w:ascii="Times New Roman" w:hAnsi="Times New Roman" w:cs="Times New Roman" w:hint="eastAsia"/>
          <w:color w:val="000000"/>
          <w:sz w:val="20"/>
          <w:szCs w:val="20"/>
        </w:rPr>
        <w:t>1</w:t>
      </w:r>
      <w:r w:rsidRPr="00BC489E">
        <w:rPr>
          <w:rFonts w:ascii="Times New Roman" w:hAnsi="Times New Roman" w:cs="Times New Roman"/>
          <w:color w:val="000000"/>
          <w:sz w:val="20"/>
          <w:szCs w:val="20"/>
        </w:rPr>
        <w:t>：</w:t>
      </w:r>
      <w:r w:rsidRPr="00BC489E">
        <w:rPr>
          <w:rFonts w:ascii="Times New Roman" w:hAnsi="Times New Roman" w:cs="Times New Roman" w:hint="eastAsia"/>
          <w:color w:val="000000"/>
          <w:sz w:val="20"/>
          <w:szCs w:val="20"/>
        </w:rPr>
        <w:t>The Dice similarity coefficients (DSC) for the primary lesion ROIs drawn by two radiologists on 100 random MRI samples all exceeded 0.8, as detailed in the violin plots showing their distribution.</w:t>
      </w:r>
      <w:r w:rsidRPr="00BC489E">
        <w:rPr>
          <w:rFonts w:ascii="Times New Roman" w:hAnsi="Times New Roman" w:cs="Times New Roman"/>
          <w:color w:val="000000"/>
          <w:sz w:val="20"/>
          <w:szCs w:val="20"/>
        </w:rPr>
        <w:t xml:space="preserve"> </w:t>
      </w:r>
    </w:p>
    <w:p w14:paraId="72241A7C"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 xml:space="preserve">Supplementary Figure </w:t>
      </w:r>
      <w:r w:rsidRPr="00BC489E">
        <w:rPr>
          <w:rFonts w:ascii="Times New Roman" w:hAnsi="Times New Roman" w:cs="Times New Roman" w:hint="eastAsia"/>
          <w:color w:val="000000"/>
          <w:sz w:val="20"/>
          <w:szCs w:val="20"/>
        </w:rPr>
        <w:t>2.</w:t>
      </w:r>
      <w:r w:rsidRPr="00BC489E">
        <w:rPr>
          <w:rFonts w:hint="eastAsia"/>
          <w:color w:val="000000"/>
        </w:rPr>
        <w:t xml:space="preserve"> </w:t>
      </w:r>
      <w:r w:rsidRPr="00BC489E">
        <w:rPr>
          <w:rFonts w:ascii="Times New Roman" w:hAnsi="Times New Roman" w:cs="Times New Roman"/>
          <w:color w:val="000000"/>
          <w:sz w:val="20"/>
          <w:szCs w:val="20"/>
        </w:rPr>
        <w:t xml:space="preserve">Receiver Operating Characteristic (ROC) curves of the 10 base learners. (A) ROC curves demonstrating model discrimination in the training set; (B) ROC curves demonstrating model discrimination in the independent validation set. The area under the curve (AUC) values for each model are provided in the legend. </w:t>
      </w:r>
    </w:p>
    <w:p w14:paraId="6E1902E7"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w:t>
      </w:r>
      <w:r w:rsidRPr="00BC489E">
        <w:rPr>
          <w:rFonts w:hint="eastAsia"/>
          <w:color w:val="000000"/>
        </w:rPr>
        <w:t xml:space="preserve"> </w:t>
      </w:r>
      <w:r w:rsidRPr="00BC489E">
        <w:rPr>
          <w:rFonts w:ascii="Times New Roman" w:hAnsi="Times New Roman" w:cs="Times New Roman"/>
          <w:color w:val="000000"/>
          <w:sz w:val="20"/>
          <w:szCs w:val="20"/>
        </w:rPr>
        <w:t xml:space="preserve"> AUC, Area Under the Curve; CatBoost, Categorical Boosting; GBM, Gradient Boosting Machine; KNN, k-Nearest Neighbors; LightGBM, Light Gradient Boosting Machine; LR, Logistic Regression; RF, Random Forest; ROC, Receiver Operating Characteristic; SVM, Support Vector Machine; TabPFN, Tabular Prior-Data Fitted Network; XGBoost, eXtreme Gradient Boosting. </w:t>
      </w:r>
    </w:p>
    <w:p w14:paraId="50913B7F"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 xml:space="preserve">Supplementary Figure 3. Calibration curves of the 10 base learners. (A) Calibration curves in the training set; (B) Calibration curves in the independent validation set. The dashed diagonal line represents perfect calibration, where the predicted probabilities perfectly match the observed frequencies. The Brier score for each model is provided in the legend, with lower scores indicating better calibration. </w:t>
      </w:r>
    </w:p>
    <w:p w14:paraId="6EA46069"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w:t>
      </w:r>
      <w:r w:rsidRPr="00BC489E">
        <w:rPr>
          <w:rFonts w:hint="eastAsia"/>
          <w:color w:val="000000"/>
        </w:rPr>
        <w:t xml:space="preserve"> </w:t>
      </w:r>
      <w:r w:rsidRPr="00BC489E">
        <w:rPr>
          <w:rFonts w:ascii="Times New Roman" w:hAnsi="Times New Roman" w:cs="Times New Roman"/>
          <w:color w:val="000000"/>
          <w:sz w:val="20"/>
          <w:szCs w:val="20"/>
        </w:rPr>
        <w:t>CatBoost, Categorical Boosting; GBM, Gradient Boosting Machine; KNN, k-Nearest Neighbors; LightGBM, Light Gradient Boosting Machine; LR, Logistic Regression; RF, Random Forest; SVM, Support Vector Machine; TabPFN, Tabular Prior-Data Fitted Network; XGBoost, eXtreme Gradient Boosting.</w:t>
      </w:r>
    </w:p>
    <w:p w14:paraId="33137DDA"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Supplementary Figure 4. Performance metrics of the 10 base learners evaluated by 5-fold cross-validation (CV5). Bar plots display the mean values of (A) AUC, (B) Accuracy, (C) Sensitivity, and (D) Specificity across the cross-validation folds.</w:t>
      </w:r>
    </w:p>
    <w:p w14:paraId="0DCFE8A5"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w:t>
      </w:r>
      <w:r w:rsidRPr="00BC489E">
        <w:rPr>
          <w:rFonts w:hint="eastAsia"/>
          <w:color w:val="000000"/>
        </w:rPr>
        <w:t xml:space="preserve"> </w:t>
      </w:r>
      <w:r w:rsidRPr="00BC489E">
        <w:rPr>
          <w:rFonts w:ascii="Times New Roman" w:hAnsi="Times New Roman" w:cs="Times New Roman"/>
          <w:color w:val="000000"/>
          <w:sz w:val="20"/>
          <w:szCs w:val="20"/>
        </w:rPr>
        <w:t xml:space="preserve"> AUC, Area Under the Curve</w:t>
      </w:r>
      <w:r w:rsidRPr="00BC489E">
        <w:rPr>
          <w:rFonts w:ascii="Times New Roman" w:hAnsi="Times New Roman" w:cs="Times New Roman" w:hint="eastAsia"/>
          <w:color w:val="000000"/>
          <w:sz w:val="20"/>
          <w:szCs w:val="20"/>
        </w:rPr>
        <w:t>.</w:t>
      </w:r>
    </w:p>
    <w:p w14:paraId="7C1CAA40"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Supplementary Figure 5. Net Reclassification Improvement (NRI) and Integrated Discrimination Improvement (IDI) analyses. (A) Heatmap displaying the NRI values for pairwise comparisons among the four feature sets in the validation set; (B) Heatmap displaying the IDI values for corresponding comparisons.</w:t>
      </w:r>
    </w:p>
    <w:p w14:paraId="3D285B41" w14:textId="77A84791"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 Clin, Clinical; IDI, Integrated Discrimination Improvement; MH, Multidimensional Habitat; NRI, Net Reclassification Improvement; T1C, T1-weighted Contrast-enhanced; T2WI, T2-weighted Imaging.</w:t>
      </w:r>
    </w:p>
    <w:p w14:paraId="5041906C"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 xml:space="preserve">Supplementary Figure 6. Comparison of Receiver Operating Characteristic (ROC) curves among four feature sets. The ROC curves demonstrate the discrimination performance of the final stacking ensemble model (SVM + GBM + LR) using different feature sets in the (A) training set and (B) validation set. </w:t>
      </w:r>
    </w:p>
    <w:p w14:paraId="20F24619" w14:textId="0DCE8B6D"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 AUC, Area Under the Curve; Clin, Clinical; GBM, Gradient Boosting Machine; LR, Logistic Regression; ROC, Receiver Operating Characteristic; SVM, Support Vector Machine; T1C, T1-weighted Contrast-enhanced; T2WI, T2-weighted Imaging.</w:t>
      </w:r>
    </w:p>
    <w:p w14:paraId="09780055"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t xml:space="preserve">Supplementary Figure 7. Decision Curve Analysis (DCA) of the stacking ensemble models across four feature sets. The DCA curves evaluate the clinical net benefit of the models at various threshold probabilities in the (A) training set and (B) validation set. </w:t>
      </w:r>
    </w:p>
    <w:p w14:paraId="400DD1CB" w14:textId="47C790EA"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 Clin, Clinical; DCA, Decision Curve Analysis; GBM, Gradient Boosting Machine; LR, Logistic Regression; SVM, Support Vector Machine; T1C, T1-weighted Contrast-enhanced; T2WI, T2-weighted Imaging.</w:t>
      </w:r>
    </w:p>
    <w:p w14:paraId="3A9639E4" w14:textId="77777777" w:rsidR="001C1D9E" w:rsidRDefault="001C1D9E" w:rsidP="001C1D9E">
      <w:pPr>
        <w:rPr>
          <w:rFonts w:ascii="Times New Roman" w:hAnsi="Times New Roman" w:cs="Times New Roman"/>
          <w:color w:val="000000"/>
          <w:sz w:val="20"/>
          <w:szCs w:val="20"/>
        </w:rPr>
      </w:pPr>
    </w:p>
    <w:p w14:paraId="63FD50C0" w14:textId="77777777" w:rsidR="001C1D9E" w:rsidRDefault="001C1D9E" w:rsidP="001C1D9E">
      <w:pPr>
        <w:rPr>
          <w:rFonts w:ascii="Times New Roman" w:hAnsi="Times New Roman" w:cs="Times New Roman"/>
          <w:color w:val="000000"/>
          <w:sz w:val="20"/>
          <w:szCs w:val="20"/>
        </w:rPr>
      </w:pPr>
    </w:p>
    <w:p w14:paraId="5E4E5453" w14:textId="77777777" w:rsidR="001C1D9E" w:rsidRDefault="001C1D9E" w:rsidP="001C1D9E">
      <w:pPr>
        <w:rPr>
          <w:rFonts w:ascii="Times New Roman" w:hAnsi="Times New Roman" w:cs="Times New Roman"/>
          <w:color w:val="000000"/>
          <w:sz w:val="20"/>
          <w:szCs w:val="20"/>
        </w:rPr>
      </w:pPr>
    </w:p>
    <w:p w14:paraId="6D362C5D" w14:textId="080FB98F"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color w:val="000000"/>
          <w:sz w:val="20"/>
          <w:szCs w:val="20"/>
        </w:rPr>
        <w:lastRenderedPageBreak/>
        <w:t xml:space="preserve">Supplementary Figure 8. Comparison of calibration curves among four feature sets. The calibration curves assess the agreement between predicted probabilities and observed frequencies for the Platt-scaled stacking ensemble models in the (A) training set and (B) validation set. The diagonal dashed line represents perfect calibration. </w:t>
      </w:r>
    </w:p>
    <w:p w14:paraId="5250E0E6" w14:textId="77777777" w:rsidR="001C1D9E" w:rsidRPr="00BC489E" w:rsidRDefault="001C1D9E" w:rsidP="001C1D9E">
      <w:pPr>
        <w:rPr>
          <w:rFonts w:ascii="Times New Roman" w:hAnsi="Times New Roman" w:cs="Times New Roman"/>
          <w:color w:val="000000"/>
          <w:sz w:val="20"/>
          <w:szCs w:val="20"/>
        </w:rPr>
      </w:pPr>
      <w:r w:rsidRPr="00BC489E">
        <w:rPr>
          <w:rFonts w:ascii="Times New Roman" w:hAnsi="Times New Roman" w:cs="Times New Roman"/>
          <w:i/>
          <w:iCs/>
          <w:color w:val="000000"/>
          <w:sz w:val="20"/>
          <w:szCs w:val="20"/>
        </w:rPr>
        <w:t>Abbreviations</w:t>
      </w:r>
      <w:r w:rsidRPr="00BC489E">
        <w:rPr>
          <w:rFonts w:ascii="Times New Roman" w:hAnsi="Times New Roman" w:cs="Times New Roman"/>
          <w:color w:val="000000"/>
          <w:sz w:val="20"/>
          <w:szCs w:val="20"/>
        </w:rPr>
        <w:t>: Clin, Clinical; GBM, Gradient Boosting Machine; LR, Logistic Regression; SVM, Support Vector Machine; T1C, T1-weighted Contrast-enhanced; T2WI, T2-weighted Imaging.</w:t>
      </w:r>
    </w:p>
    <w:p w14:paraId="68B371C6" w14:textId="77777777" w:rsidR="009542D6" w:rsidRDefault="009542D6"/>
    <w:sectPr w:rsidR="00954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D9E"/>
    <w:rsid w:val="001C1D9E"/>
    <w:rsid w:val="00264C10"/>
    <w:rsid w:val="00470242"/>
    <w:rsid w:val="00726E03"/>
    <w:rsid w:val="007D0713"/>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769E7"/>
  <w15:chartTrackingRefBased/>
  <w15:docId w15:val="{D87E2FC8-1EF5-4123-BAB6-C95B876F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D9E"/>
    <w:pPr>
      <w:widowControl w:val="0"/>
    </w:pPr>
    <w:rPr>
      <w:sz w:val="22"/>
    </w:rPr>
  </w:style>
  <w:style w:type="paragraph" w:styleId="Heading1">
    <w:name w:val="heading 1"/>
    <w:basedOn w:val="Normal"/>
    <w:next w:val="Normal"/>
    <w:link w:val="Heading1Char"/>
    <w:uiPriority w:val="9"/>
    <w:qFormat/>
    <w:rsid w:val="001C1D9E"/>
    <w:pPr>
      <w:keepNext/>
      <w:keepLines/>
      <w:widowControl/>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D9E"/>
    <w:pPr>
      <w:keepNext/>
      <w:keepLines/>
      <w:widowControl/>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D9E"/>
    <w:pPr>
      <w:keepNext/>
      <w:keepLines/>
      <w:widowControl/>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D9E"/>
    <w:pPr>
      <w:keepNext/>
      <w:keepLines/>
      <w:widowControl/>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1C1D9E"/>
    <w:pPr>
      <w:keepNext/>
      <w:keepLines/>
      <w:widowControl/>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1C1D9E"/>
    <w:pPr>
      <w:keepNext/>
      <w:keepLines/>
      <w:widowControl/>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1C1D9E"/>
    <w:pPr>
      <w:keepNext/>
      <w:keepLines/>
      <w:widowControl/>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1C1D9E"/>
    <w:pPr>
      <w:keepNext/>
      <w:keepLines/>
      <w:widowControl/>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1C1D9E"/>
    <w:pPr>
      <w:keepNext/>
      <w:keepLines/>
      <w:widowControl/>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D9E"/>
    <w:rPr>
      <w:rFonts w:eastAsiaTheme="majorEastAsia" w:cstheme="majorBidi"/>
      <w:color w:val="272727" w:themeColor="text1" w:themeTint="D8"/>
    </w:rPr>
  </w:style>
  <w:style w:type="paragraph" w:styleId="Title">
    <w:name w:val="Title"/>
    <w:basedOn w:val="Normal"/>
    <w:next w:val="Normal"/>
    <w:link w:val="TitleChar"/>
    <w:uiPriority w:val="10"/>
    <w:qFormat/>
    <w:rsid w:val="001C1D9E"/>
    <w:pPr>
      <w:widowControl/>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D9E"/>
    <w:pPr>
      <w:widowControl/>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D9E"/>
    <w:pPr>
      <w:widowControl/>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1C1D9E"/>
    <w:rPr>
      <w:i/>
      <w:iCs/>
      <w:color w:val="404040" w:themeColor="text1" w:themeTint="BF"/>
    </w:rPr>
  </w:style>
  <w:style w:type="paragraph" w:styleId="ListParagraph">
    <w:name w:val="List Paragraph"/>
    <w:basedOn w:val="Normal"/>
    <w:uiPriority w:val="34"/>
    <w:qFormat/>
    <w:rsid w:val="001C1D9E"/>
    <w:pPr>
      <w:widowControl/>
      <w:ind w:left="720"/>
      <w:contextualSpacing/>
    </w:pPr>
    <w:rPr>
      <w:sz w:val="24"/>
    </w:rPr>
  </w:style>
  <w:style w:type="character" w:styleId="IntenseEmphasis">
    <w:name w:val="Intense Emphasis"/>
    <w:basedOn w:val="DefaultParagraphFont"/>
    <w:uiPriority w:val="21"/>
    <w:qFormat/>
    <w:rsid w:val="001C1D9E"/>
    <w:rPr>
      <w:i/>
      <w:iCs/>
      <w:color w:val="0F4761" w:themeColor="accent1" w:themeShade="BF"/>
    </w:rPr>
  </w:style>
  <w:style w:type="paragraph" w:styleId="IntenseQuote">
    <w:name w:val="Intense Quote"/>
    <w:basedOn w:val="Normal"/>
    <w:next w:val="Normal"/>
    <w:link w:val="IntenseQuoteChar"/>
    <w:uiPriority w:val="30"/>
    <w:qFormat/>
    <w:rsid w:val="001C1D9E"/>
    <w:pPr>
      <w:widowControl/>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1C1D9E"/>
    <w:rPr>
      <w:i/>
      <w:iCs/>
      <w:color w:val="0F4761" w:themeColor="accent1" w:themeShade="BF"/>
    </w:rPr>
  </w:style>
  <w:style w:type="character" w:styleId="IntenseReference">
    <w:name w:val="Intense Reference"/>
    <w:basedOn w:val="DefaultParagraphFont"/>
    <w:uiPriority w:val="32"/>
    <w:qFormat/>
    <w:rsid w:val="001C1D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3376</Characters>
  <Application>Microsoft Office Word</Application>
  <DocSecurity>0</DocSecurity>
  <Lines>28</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2026-10-12T19:05:00Z</dcterms:created>
  <dcterms:modified xsi:type="dcterms:W3CDTF">2026-10-12T19:06:00Z</dcterms:modified>
</cp:coreProperties>
</file>