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B895AD">
      <w:pPr>
        <w:rPr>
          <w:rFonts w:ascii="Times New Roman" w:hAnsi="Times New Roman" w:eastAsia="等线" w:cs="Times New Roman"/>
          <w:b/>
          <w:bCs/>
          <w:sz w:val="22"/>
          <w:szCs w:val="24"/>
          <w:lang w:bidi="ar"/>
        </w:rPr>
      </w:pPr>
      <w:r>
        <w:rPr>
          <w:rFonts w:ascii="Times New Roman" w:hAnsi="Times New Roman" w:eastAsia="等线" w:cs="Times New Roman"/>
          <w:b/>
          <w:bCs/>
          <w:sz w:val="22"/>
          <w:szCs w:val="24"/>
          <w:lang w:bidi="ar"/>
        </w:rPr>
        <w:t xml:space="preserve">Supplementary Material </w:t>
      </w:r>
      <w:r>
        <w:rPr>
          <w:rFonts w:hint="eastAsia" w:ascii="Times New Roman" w:hAnsi="Times New Roman" w:eastAsia="等线" w:cs="Times New Roman"/>
          <w:b/>
          <w:bCs/>
          <w:sz w:val="22"/>
          <w:szCs w:val="24"/>
          <w:lang w:bidi="ar"/>
        </w:rPr>
        <w:t>1</w:t>
      </w:r>
    </w:p>
    <w:p w14:paraId="4313D9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Center A: (1.5T MRI)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Patients were scanned using a 1.5T MRI system (Magnetom Avanto, Siemens Healthcare, Germany). The protocol included T1-weighted imaging (T1WI), T2-weighted imaging (T2WI), and contrast-enhanced T1WI (CET1WI). Imaging parameters were as follows:</w:t>
      </w:r>
    </w:p>
    <w:p w14:paraId="6B8753E0">
      <w:pPr>
        <w:pStyle w:val="8"/>
        <w:numPr>
          <w:ilvl w:val="0"/>
          <w:numId w:val="1"/>
        </w:numPr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T1WI: repetition time (TR) = 450 ms, echo time (TE) = 15 ms</w:t>
      </w:r>
    </w:p>
    <w:p w14:paraId="41A998F5">
      <w:pPr>
        <w:pStyle w:val="8"/>
        <w:numPr>
          <w:ilvl w:val="0"/>
          <w:numId w:val="1"/>
        </w:numPr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T2WI: TR = 6000 ms, TE = 95 ms</w:t>
      </w:r>
    </w:p>
    <w:p w14:paraId="225DCE17">
      <w:pPr>
        <w:pStyle w:val="8"/>
        <w:numPr>
          <w:ilvl w:val="0"/>
          <w:numId w:val="1"/>
        </w:numPr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Field of view (FOV) = 230 mm × 230 mm, matrix size = 512 × 168, flip angle = 90°, slice thickness = 5 mm, slice spacing = 0.5 mm</w:t>
      </w:r>
    </w:p>
    <w:p w14:paraId="03B80F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contrast agent gadolinium-diethylenetriamine pentaacetic acid (Gd-DTPA, Magnevist; Bayer HealthCare Pharmaceuticals, Berlin, Germany) was injected at 0.1 mmol/kg body weight with a flow rate of 2.0 mL/s.</w:t>
      </w:r>
    </w:p>
    <w:p w14:paraId="4727AA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Center A: Hospital 1 (3.0T MRI)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A 3.0T MRI scanner (Discovery MR750, GE Healthcare, USA) was used to acquire T1WI, T2WI, and CET1WI. Key parameters included:</w:t>
      </w:r>
    </w:p>
    <w:p w14:paraId="57D0D603">
      <w:pPr>
        <w:pStyle w:val="8"/>
        <w:numPr>
          <w:ilvl w:val="0"/>
          <w:numId w:val="2"/>
        </w:numPr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T1WI: TR = 957 ms, TE = 19 ms</w:t>
      </w:r>
    </w:p>
    <w:p w14:paraId="01AF12E0">
      <w:pPr>
        <w:pStyle w:val="8"/>
        <w:numPr>
          <w:ilvl w:val="0"/>
          <w:numId w:val="2"/>
        </w:numPr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T2WI: TR = 6760 ms, TE = 91 ms</w:t>
      </w:r>
    </w:p>
    <w:p w14:paraId="3473D06D">
      <w:pPr>
        <w:pStyle w:val="8"/>
        <w:numPr>
          <w:ilvl w:val="0"/>
          <w:numId w:val="2"/>
        </w:numPr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FOV = 240 mm × 240 mm, matrix size = 256 × 256, flip angle = 90°, slice thickness = 5 mm, slice spacing = 1.0 mm</w:t>
      </w:r>
    </w:p>
    <w:p w14:paraId="5A0FB02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same contrast agent (Gd-DTPA, Magnevist) was administered at 0.1 mmol/kg with a flow rate of 2.0 mL/s.</w:t>
      </w:r>
    </w:p>
    <w:p w14:paraId="70E3BEB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Center B</w:t>
      </w:r>
      <w:r>
        <w:rPr>
          <w:rFonts w:hint="eastAsia"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  <w:b/>
          <w:bCs/>
        </w:rPr>
        <w:t>(1.5T MRI)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All patients underwent MRI on a 1.5T scanner (Magnetom Avanto, Siemens Healthcare, Germany). The imaging protocol included T2WI and contrast-enhanced T1WI (T1C), with parameters as follows:</w:t>
      </w:r>
    </w:p>
    <w:p w14:paraId="6C17C393">
      <w:pPr>
        <w:pStyle w:val="8"/>
        <w:numPr>
          <w:ilvl w:val="0"/>
          <w:numId w:val="3"/>
        </w:numPr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T1C: TR = 500 ms, TE = 14 ms</w:t>
      </w:r>
    </w:p>
    <w:p w14:paraId="66B6C3A1">
      <w:pPr>
        <w:pStyle w:val="8"/>
        <w:numPr>
          <w:ilvl w:val="0"/>
          <w:numId w:val="3"/>
        </w:numPr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T2WI: TR = 3280 ms, TE = 91 ms, FOV = 230 mm × 230 mm, matrix = 320 × 240, flip angle = 150°, slice thickness = 4 mm, slice spacing = 0.8 mm</w:t>
      </w:r>
    </w:p>
    <w:p w14:paraId="0C7BE0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Gd-DTPA (Magnevist) was injected at a dose of 0.1 mmol/kg body weight.</w:t>
      </w:r>
    </w:p>
    <w:p w14:paraId="063F7E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Center </w:t>
      </w:r>
      <w:r>
        <w:rPr>
          <w:rFonts w:hint="eastAsia" w:ascii="Times New Roman" w:hAnsi="Times New Roman" w:cs="Times New Roman"/>
          <w:b/>
          <w:bCs/>
        </w:rPr>
        <w:t>C</w:t>
      </w:r>
      <w:r>
        <w:rPr>
          <w:rFonts w:ascii="Times New Roman" w:hAnsi="Times New Roman" w:cs="Times New Roman"/>
          <w:b/>
          <w:bCs/>
        </w:rPr>
        <w:t>: (3.0T MRI)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Images were obtained using a 3.0T MRI system (Magnetom Skyra, Siemens Healthcare, Germany). The sequences comprised T1WI, T2WI, and CET1WI with the following parameters:</w:t>
      </w:r>
    </w:p>
    <w:p w14:paraId="4CE0DE07">
      <w:pPr>
        <w:pStyle w:val="8"/>
        <w:numPr>
          <w:ilvl w:val="0"/>
          <w:numId w:val="4"/>
        </w:numPr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T1WI: TR = 600 ms, TE = 11 ms</w:t>
      </w:r>
    </w:p>
    <w:p w14:paraId="69B29D9D">
      <w:pPr>
        <w:pStyle w:val="8"/>
        <w:numPr>
          <w:ilvl w:val="0"/>
          <w:numId w:val="4"/>
        </w:numPr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T2WI: TR = 3500 ms, TE = 95 ms</w:t>
      </w:r>
    </w:p>
    <w:p w14:paraId="04557F88">
      <w:pPr>
        <w:pStyle w:val="8"/>
        <w:numPr>
          <w:ilvl w:val="0"/>
          <w:numId w:val="4"/>
        </w:numPr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FOV = 230 mm × 230 mm, matrix size = 240 × 320, flip angle = 90°, slice thickness = 5 mm, slice spacing = 0.5 mm</w:t>
      </w:r>
    </w:p>
    <w:p w14:paraId="5F0A42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Gd-DTPA (Magnevist) was injected at 0.1 mmol/kg with a flow rate of 2.0 mL/s.</w:t>
      </w:r>
    </w:p>
    <w:p w14:paraId="668F3362">
      <w:pPr>
        <w:rPr>
          <w:rFonts w:ascii="Times New Roman" w:hAnsi="Times New Roman" w:cs="Times New Roman"/>
        </w:rPr>
      </w:pPr>
    </w:p>
    <w:p w14:paraId="5C500E3F">
      <w:pPr>
        <w:rPr>
          <w:rFonts w:ascii="Times New Roman" w:hAnsi="Times New Roman" w:cs="Times New Roman"/>
        </w:rPr>
      </w:pPr>
    </w:p>
    <w:p w14:paraId="23E1F43A">
      <w:pPr>
        <w:rPr>
          <w:rFonts w:ascii="Times New Roman" w:hAnsi="Times New Roman" w:eastAsia="等线" w:cs="Times New Roman"/>
          <w:b/>
          <w:bCs/>
          <w:sz w:val="22"/>
          <w:szCs w:val="24"/>
          <w:lang w:bidi="ar"/>
        </w:rPr>
      </w:pPr>
      <w:r>
        <w:rPr>
          <w:rFonts w:ascii="Times New Roman" w:hAnsi="Times New Roman" w:eastAsia="等线" w:cs="Times New Roman"/>
          <w:b/>
          <w:bCs/>
          <w:sz w:val="22"/>
          <w:szCs w:val="24"/>
          <w:lang w:bidi="ar"/>
        </w:rPr>
        <w:t>Supplementary Material 2</w:t>
      </w:r>
    </w:p>
    <w:p w14:paraId="43270AC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treatment plans mainly include four categories: concurrent chemoradiotherapy (CCRT), induction chemotherapy followed by CCRT, CCRT plus adjuvant chemotherapy, and induction chemotherapy combined with CCRT and adjuvant chemotherapy. Induction or adjuvant chemotherapy is administered every 3 weeks for 2–3 cycles. The regimens for induction and adjuvant chemotherapy include:</w:t>
      </w:r>
    </w:p>
    <w:p w14:paraId="4BD501A1">
      <w:pPr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TPF</w:t>
      </w:r>
      <w:r>
        <w:rPr>
          <w:rFonts w:ascii="Times New Roman" w:hAnsi="Times New Roman" w:cs="Times New Roman"/>
        </w:rPr>
        <w:t>: Docetaxel 60 mg/m² on day 1, cisplatin 60 mg/m² on day 1, and fluorouracil 600 mg/m²/day via continuous intravenous infusion on days 1 to 5.</w:t>
      </w:r>
    </w:p>
    <w:p w14:paraId="45AC6411">
      <w:pPr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TP</w:t>
      </w:r>
      <w:r>
        <w:rPr>
          <w:rFonts w:ascii="Times New Roman" w:hAnsi="Times New Roman" w:cs="Times New Roman"/>
        </w:rPr>
        <w:t>: Docetaxel 75 mg/m² on day 1 and cisplatin 75 mg/m² on day 1.</w:t>
      </w:r>
    </w:p>
    <w:p w14:paraId="0187AD35">
      <w:pPr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GP</w:t>
      </w:r>
      <w:r>
        <w:rPr>
          <w:rFonts w:ascii="Times New Roman" w:hAnsi="Times New Roman" w:cs="Times New Roman"/>
        </w:rPr>
        <w:t>: Gemcitabine 1000 mg/m² on days 1 and 8, and cisplatin 80 mg/m² on day 1.</w:t>
      </w:r>
    </w:p>
    <w:p w14:paraId="4D0C733D">
      <w:pPr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PF</w:t>
      </w:r>
      <w:r>
        <w:rPr>
          <w:rFonts w:ascii="Times New Roman" w:hAnsi="Times New Roman" w:cs="Times New Roman"/>
        </w:rPr>
        <w:t>: Cisplatin 80 mg/m² on day 1 and fluorouracil 1000 mg/m²/day via continuous intravenous infusion on days 1 to 4.</w:t>
      </w:r>
    </w:p>
    <w:p w14:paraId="71ADD2B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concurrent chemoradiotherapy regimen includes:</w:t>
      </w:r>
    </w:p>
    <w:p w14:paraId="34797678">
      <w:pPr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Intensity-modulated radiotherapy (IMRT)</w:t>
      </w:r>
      <w:r>
        <w:rPr>
          <w:rFonts w:ascii="Times New Roman" w:hAnsi="Times New Roman" w:cs="Times New Roman"/>
        </w:rPr>
        <w:t>: Delivered once daily, five times per week, with the following dose fractions:</w:t>
      </w:r>
    </w:p>
    <w:p w14:paraId="32C2B83B">
      <w:pPr>
        <w:numPr>
          <w:ilvl w:val="1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GTVnx: 69.0–72 Gy in 30–33 fractions.</w:t>
      </w:r>
    </w:p>
    <w:p w14:paraId="732272B7">
      <w:pPr>
        <w:numPr>
          <w:ilvl w:val="1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GTVnd or CTVnd: 60.0–72 Gy in 30–33 fractions.</w:t>
      </w:r>
    </w:p>
    <w:p w14:paraId="0B97DB08">
      <w:pPr>
        <w:numPr>
          <w:ilvl w:val="1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CTV1: 60.0–64.0 Gy in 30–32 fractions.</w:t>
      </w:r>
    </w:p>
    <w:p w14:paraId="5BBA81D2">
      <w:pPr>
        <w:numPr>
          <w:ilvl w:val="1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CTV2: 54–58 Gy in 30–32 fractions.</w:t>
      </w:r>
    </w:p>
    <w:p w14:paraId="1D132CCF">
      <w:pPr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Concurrent chemotherapy</w:t>
      </w:r>
      <w:r>
        <w:rPr>
          <w:rFonts w:ascii="Times New Roman" w:hAnsi="Times New Roman" w:cs="Times New Roman"/>
        </w:rPr>
        <w:t>: Administered every 3 weeks for 2–3 cycles, consisting of:</w:t>
      </w:r>
    </w:p>
    <w:p w14:paraId="03AABAAC">
      <w:pPr>
        <w:numPr>
          <w:ilvl w:val="1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Cisplatin at a total dose of 100 mg/m² per cycle, given over days 1–3; or</w:t>
      </w:r>
    </w:p>
    <w:p w14:paraId="47C8182C">
      <w:pPr>
        <w:numPr>
          <w:ilvl w:val="1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Carboplatin at a target AUC of 5 on day 1; or</w:t>
      </w:r>
    </w:p>
    <w:p w14:paraId="48C8E0B4">
      <w:pPr>
        <w:numPr>
          <w:ilvl w:val="1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Nedaplatin 100 mg/m² on day 1.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8D5CDE"/>
    <w:multiLevelType w:val="multilevel"/>
    <w:tmpl w:val="038D5CD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>
    <w:nsid w:val="09704AFB"/>
    <w:multiLevelType w:val="multilevel"/>
    <w:tmpl w:val="09704AFB"/>
    <w:lvl w:ilvl="0" w:tentative="0">
      <w:start w:val="1"/>
      <w:numFmt w:val="bullet"/>
      <w:lvlText w:val=""/>
      <w:lvlJc w:val="left"/>
      <w:pPr>
        <w:ind w:left="440" w:hanging="44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8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32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20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64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52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960" w:hanging="440"/>
      </w:pPr>
      <w:rPr>
        <w:rFonts w:hint="default" w:ascii="Wingdings" w:hAnsi="Wingdings"/>
      </w:rPr>
    </w:lvl>
  </w:abstractNum>
  <w:abstractNum w:abstractNumId="2">
    <w:nsid w:val="18E1139B"/>
    <w:multiLevelType w:val="multilevel"/>
    <w:tmpl w:val="18E1139B"/>
    <w:lvl w:ilvl="0" w:tentative="0">
      <w:start w:val="1"/>
      <w:numFmt w:val="bullet"/>
      <w:lvlText w:val=""/>
      <w:lvlJc w:val="left"/>
      <w:pPr>
        <w:ind w:left="440" w:hanging="44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8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32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20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64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52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960" w:hanging="440"/>
      </w:pPr>
      <w:rPr>
        <w:rFonts w:hint="default" w:ascii="Wingdings" w:hAnsi="Wingdings"/>
      </w:rPr>
    </w:lvl>
  </w:abstractNum>
  <w:abstractNum w:abstractNumId="3">
    <w:nsid w:val="2E6E67A2"/>
    <w:multiLevelType w:val="multilevel"/>
    <w:tmpl w:val="2E6E67A2"/>
    <w:lvl w:ilvl="0" w:tentative="0">
      <w:start w:val="1"/>
      <w:numFmt w:val="bullet"/>
      <w:lvlText w:val=""/>
      <w:lvlJc w:val="left"/>
      <w:pPr>
        <w:ind w:left="440" w:hanging="44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8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32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20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64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52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960" w:hanging="440"/>
      </w:pPr>
      <w:rPr>
        <w:rFonts w:hint="default" w:ascii="Wingdings" w:hAnsi="Wingdings"/>
      </w:rPr>
    </w:lvl>
  </w:abstractNum>
  <w:abstractNum w:abstractNumId="4">
    <w:nsid w:val="3DBF1622"/>
    <w:multiLevelType w:val="multilevel"/>
    <w:tmpl w:val="3DBF1622"/>
    <w:lvl w:ilvl="0" w:tentative="0">
      <w:start w:val="1"/>
      <w:numFmt w:val="bullet"/>
      <w:lvlText w:val=""/>
      <w:lvlJc w:val="left"/>
      <w:pPr>
        <w:ind w:left="440" w:hanging="44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8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32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20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64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52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960" w:hanging="440"/>
      </w:pPr>
      <w:rPr>
        <w:rFonts w:hint="default" w:ascii="Wingdings" w:hAnsi="Wingdings"/>
      </w:rPr>
    </w:lvl>
  </w:abstractNum>
  <w:abstractNum w:abstractNumId="5">
    <w:nsid w:val="70B21E0E"/>
    <w:multiLevelType w:val="multilevel"/>
    <w:tmpl w:val="70B21E0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FC7"/>
    <w:rsid w:val="000B12FF"/>
    <w:rsid w:val="00101FC7"/>
    <w:rsid w:val="00112275"/>
    <w:rsid w:val="00133992"/>
    <w:rsid w:val="001C29B1"/>
    <w:rsid w:val="002008CC"/>
    <w:rsid w:val="002717B2"/>
    <w:rsid w:val="002A5110"/>
    <w:rsid w:val="003608A6"/>
    <w:rsid w:val="003C320D"/>
    <w:rsid w:val="003F2F8C"/>
    <w:rsid w:val="004828B4"/>
    <w:rsid w:val="00496B8E"/>
    <w:rsid w:val="006077B0"/>
    <w:rsid w:val="00621EF9"/>
    <w:rsid w:val="0076284E"/>
    <w:rsid w:val="00893818"/>
    <w:rsid w:val="00985F95"/>
    <w:rsid w:val="009A1AD0"/>
    <w:rsid w:val="009F64CD"/>
    <w:rsid w:val="00B17839"/>
    <w:rsid w:val="00CB0BD6"/>
    <w:rsid w:val="00DD777A"/>
    <w:rsid w:val="00E05B9F"/>
    <w:rsid w:val="19CC3C46"/>
    <w:rsid w:val="226D64CF"/>
    <w:rsid w:val="54443F11"/>
    <w:rsid w:val="77A82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等线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5">
    <w:name w:val="Default Paragraph Font"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638</Words>
  <Characters>3133</Characters>
  <Lines>67</Lines>
  <Paragraphs>47</Paragraphs>
  <TotalTime>22</TotalTime>
  <ScaleCrop>false</ScaleCrop>
  <LinksUpToDate>false</LinksUpToDate>
  <CharactersWithSpaces>3723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2024-12-27T04:53:00Z</dcterms:created>
  <dc:creator>di lu</dc:creator>
  <cp:lastModifiedBy>Faquan Lin</cp:lastModifiedBy>
  <dcterms:modified xsi:type="dcterms:W3CDTF">2026-06-30T10:24:18Z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eyJoZGlkIjoiZTRkYmMwZWU5NDE3N2RkZGE1NzY0ZTEzNTcwMTUwYjUiLCJ1c2VySWQiOiIyNTYwNjEyNzcifQ==</vt:lpwstr>
  </property>
  <property fmtid="{D5CDD505-2E9C-101B-9397-08002B2CF9AE}" pid="3" name="KSOProductBuildVer">
    <vt:lpwstr>2052-12.1.0.26895</vt:lpwstr>
  </property>
  <property fmtid="{D5CDD505-2E9C-101B-9397-08002B2CF9AE}" pid="4" name="ICV">
    <vt:lpwstr>07492E916C574DCEA6D8F064204B92BE_12</vt:lpwstr>
  </property>
</Properties>
</file>