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spacing w:line="480" w:lineRule="auto"/>
      </w:pPr>
      <w:r>
        <w:t>Additional file 1</w:t>
      </w:r>
    </w:p>
    <w:p>
      <w:pPr>
        <w:spacing w:line="480" w:lineRule="auto"/>
      </w:pPr>
      <w:r>
        <w:t>Supplementary tables for reported mitral annular calcification grade and in-hospital mortality.</w:t>
      </w:r>
    </w:p>
    <w:p>
      <w:pPr>
        <w:spacing w:line="480" w:lineRule="auto"/>
      </w:pPr>
      <w:r>
        <w:rPr>
          <w:b/>
        </w:rPr>
        <w:t>Table S1 Continuous acute-illness and procedure markers by MAC reporting category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872"/>
        <w:gridCol w:w="1872"/>
        <w:gridCol w:w="1872"/>
        <w:gridCol w:w="1872"/>
        <w:gridCol w:w="1872"/>
      </w:tblGrid>
      <w:tr>
        <w:tc>
          <w:tcPr>
            <w:tcW w:type="dxa" w:w="1872"/>
          </w:tcPr>
          <w:p>
            <w:r>
              <w:t>Variable</w:t>
            </w:r>
          </w:p>
        </w:tc>
        <w:tc>
          <w:tcPr>
            <w:tcW w:type="dxa" w:w="1872"/>
          </w:tcPr>
          <w:p>
            <w:r>
              <w:t>No reported/unreported MAC</w:t>
            </w:r>
          </w:p>
        </w:tc>
        <w:tc>
          <w:tcPr>
            <w:tcW w:type="dxa" w:w="1872"/>
          </w:tcPr>
          <w:p>
            <w:r>
              <w:t>Mild MAC</w:t>
            </w:r>
          </w:p>
        </w:tc>
        <w:tc>
          <w:tcPr>
            <w:tcW w:type="dxa" w:w="1872"/>
          </w:tcPr>
          <w:p>
            <w:r>
              <w:t>Moderate MAC</w:t>
            </w:r>
          </w:p>
        </w:tc>
        <w:tc>
          <w:tcPr>
            <w:tcW w:type="dxa" w:w="1872"/>
          </w:tcPr>
          <w:p>
            <w:r>
              <w:t>Severe MAC</w:t>
            </w:r>
          </w:p>
        </w:tc>
      </w:tr>
      <w:tr>
        <w:tc>
          <w:tcPr>
            <w:tcW w:type="dxa" w:w="1872"/>
          </w:tcPr>
          <w:p>
            <w:r>
              <w:t>ICU stay count, median [IQR]</w:t>
            </w:r>
          </w:p>
        </w:tc>
        <w:tc>
          <w:tcPr>
            <w:tcW w:type="dxa" w:w="1872"/>
          </w:tcPr>
          <w:p>
            <w:r>
              <w:t>0.0 [0.00-1.00]</w:t>
            </w:r>
          </w:p>
        </w:tc>
        <w:tc>
          <w:tcPr>
            <w:tcW w:type="dxa" w:w="1872"/>
          </w:tcPr>
          <w:p>
            <w:r>
              <w:t>0.0 [0.00-1.00]</w:t>
            </w:r>
          </w:p>
        </w:tc>
        <w:tc>
          <w:tcPr>
            <w:tcW w:type="dxa" w:w="1872"/>
          </w:tcPr>
          <w:p>
            <w:r>
              <w:t>0.0 [0.00-1.00]</w:t>
            </w:r>
          </w:p>
        </w:tc>
        <w:tc>
          <w:tcPr>
            <w:tcW w:type="dxa" w:w="1872"/>
          </w:tcPr>
          <w:p>
            <w:r>
              <w:t>0.0 [0.00-1.00]</w:t>
            </w:r>
          </w:p>
        </w:tc>
      </w:tr>
      <w:tr>
        <w:tc>
          <w:tcPr>
            <w:tcW w:type="dxa" w:w="1872"/>
          </w:tcPr>
          <w:p>
            <w:r>
              <w:t>ICU length of stay, days, median [IQR]</w:t>
            </w:r>
          </w:p>
        </w:tc>
        <w:tc>
          <w:tcPr>
            <w:tcW w:type="dxa" w:w="1872"/>
          </w:tcPr>
          <w:p>
            <w:r>
              <w:t>3.0 [1.54-6.92]</w:t>
            </w:r>
          </w:p>
        </w:tc>
        <w:tc>
          <w:tcPr>
            <w:tcW w:type="dxa" w:w="1872"/>
          </w:tcPr>
          <w:p>
            <w:r>
              <w:t>3.0 [1.50-5.92]</w:t>
            </w:r>
          </w:p>
        </w:tc>
        <w:tc>
          <w:tcPr>
            <w:tcW w:type="dxa" w:w="1872"/>
          </w:tcPr>
          <w:p>
            <w:r>
              <w:t>3.0 [1.62-5.88]</w:t>
            </w:r>
          </w:p>
        </w:tc>
        <w:tc>
          <w:tcPr>
            <w:tcW w:type="dxa" w:w="1872"/>
          </w:tcPr>
          <w:p>
            <w:r>
              <w:t>3.1 [1.59-6.36]</w:t>
            </w:r>
          </w:p>
        </w:tc>
      </w:tr>
      <w:tr>
        <w:tc>
          <w:tcPr>
            <w:tcW w:type="dxa" w:w="1872"/>
          </w:tcPr>
          <w:p>
            <w:r>
              <w:t>Ventilation status rows, median [IQR]</w:t>
            </w:r>
          </w:p>
        </w:tc>
        <w:tc>
          <w:tcPr>
            <w:tcW w:type="dxa" w:w="1872"/>
          </w:tcPr>
          <w:p>
            <w:r>
              <w:t>0.0 [0.00-1.00]</w:t>
            </w:r>
          </w:p>
        </w:tc>
        <w:tc>
          <w:tcPr>
            <w:tcW w:type="dxa" w:w="1872"/>
          </w:tcPr>
          <w:p>
            <w:r>
              <w:t>0.0 [0.00-1.00]</w:t>
            </w:r>
          </w:p>
        </w:tc>
        <w:tc>
          <w:tcPr>
            <w:tcW w:type="dxa" w:w="1872"/>
          </w:tcPr>
          <w:p>
            <w:r>
              <w:t>0.0 [0.00-1.00]</w:t>
            </w:r>
          </w:p>
        </w:tc>
        <w:tc>
          <w:tcPr>
            <w:tcW w:type="dxa" w:w="1872"/>
          </w:tcPr>
          <w:p>
            <w:r>
              <w:t>0.0 [0.00-1.00]</w:t>
            </w:r>
          </w:p>
        </w:tc>
      </w:tr>
      <w:tr>
        <w:tc>
          <w:tcPr>
            <w:tcW w:type="dxa" w:w="1872"/>
          </w:tcPr>
          <w:p>
            <w:r>
              <w:t>Vasopressor input rows, median [IQR]</w:t>
            </w:r>
          </w:p>
        </w:tc>
        <w:tc>
          <w:tcPr>
            <w:tcW w:type="dxa" w:w="1872"/>
          </w:tcPr>
          <w:p>
            <w:r>
              <w:t>0.0 [0.00-0.00]</w:t>
            </w:r>
          </w:p>
        </w:tc>
        <w:tc>
          <w:tcPr>
            <w:tcW w:type="dxa" w:w="1872"/>
          </w:tcPr>
          <w:p>
            <w:r>
              <w:t>0.0 [0.00-0.00]</w:t>
            </w:r>
          </w:p>
        </w:tc>
        <w:tc>
          <w:tcPr>
            <w:tcW w:type="dxa" w:w="1872"/>
          </w:tcPr>
          <w:p>
            <w:r>
              <w:t>0.0 [0.00-0.00]</w:t>
            </w:r>
          </w:p>
        </w:tc>
        <w:tc>
          <w:tcPr>
            <w:tcW w:type="dxa" w:w="1872"/>
          </w:tcPr>
          <w:p>
            <w:r>
              <w:t>0.0 [0.00-0.00]</w:t>
            </w:r>
          </w:p>
        </w:tc>
      </w:tr>
      <w:tr>
        <w:tc>
          <w:tcPr>
            <w:tcW w:type="dxa" w:w="1872"/>
          </w:tcPr>
          <w:p>
            <w:r>
              <w:t>First-day SOFA among ICU stays, median [IQR]</w:t>
            </w:r>
          </w:p>
        </w:tc>
        <w:tc>
          <w:tcPr>
            <w:tcW w:type="dxa" w:w="1872"/>
          </w:tcPr>
          <w:p>
            <w:r>
              <w:t>4.0 [2.00-7.00]</w:t>
            </w:r>
          </w:p>
        </w:tc>
        <w:tc>
          <w:tcPr>
            <w:tcW w:type="dxa" w:w="1872"/>
          </w:tcPr>
          <w:p>
            <w:r>
              <w:t>5.0 [3.00-8.00]</w:t>
            </w:r>
          </w:p>
        </w:tc>
        <w:tc>
          <w:tcPr>
            <w:tcW w:type="dxa" w:w="1872"/>
          </w:tcPr>
          <w:p>
            <w:r>
              <w:t>5.0 [3.00-8.00]</w:t>
            </w:r>
          </w:p>
        </w:tc>
        <w:tc>
          <w:tcPr>
            <w:tcW w:type="dxa" w:w="1872"/>
          </w:tcPr>
          <w:p>
            <w:r>
              <w:t>5.0 [3.00-7.00]</w:t>
            </w:r>
          </w:p>
        </w:tc>
      </w:tr>
      <w:tr>
        <w:tc>
          <w:tcPr>
            <w:tcW w:type="dxa" w:w="1872"/>
          </w:tcPr>
          <w:p>
            <w:r>
              <w:t>ICD procedure-code count, median [IQR]</w:t>
            </w:r>
          </w:p>
        </w:tc>
        <w:tc>
          <w:tcPr>
            <w:tcW w:type="dxa" w:w="1872"/>
          </w:tcPr>
          <w:p>
            <w:r>
              <w:t>2.0 [0.00-5.00]</w:t>
            </w:r>
          </w:p>
        </w:tc>
        <w:tc>
          <w:tcPr>
            <w:tcW w:type="dxa" w:w="1872"/>
          </w:tcPr>
          <w:p>
            <w:r>
              <w:t>2.0 [0.00-4.00]</w:t>
            </w:r>
          </w:p>
        </w:tc>
        <w:tc>
          <w:tcPr>
            <w:tcW w:type="dxa" w:w="1872"/>
          </w:tcPr>
          <w:p>
            <w:r>
              <w:t>2.0 [0.00-4.00]</w:t>
            </w:r>
          </w:p>
        </w:tc>
        <w:tc>
          <w:tcPr>
            <w:tcW w:type="dxa" w:w="1872"/>
          </w:tcPr>
          <w:p>
            <w:r>
              <w:t>2.0 [0.00-4.00]</w:t>
            </w:r>
          </w:p>
        </w:tc>
      </w:tr>
    </w:tbl>
    <w:p>
      <w:pPr>
        <w:spacing w:line="480" w:lineRule="auto"/>
      </w:pPr>
      <w:r>
        <w:t>Values are median [interquartile range]. SOFA indicates Sequential Organ Failure Assessment.</w:t>
      </w:r>
    </w:p>
    <w:p>
      <w:pPr>
        <w:pStyle w:val="Heading1"/>
        <w:spacing w:line="480" w:lineRule="auto"/>
      </w:pPr>
      <w:r>
        <w:t>Source notes</w:t>
      </w:r>
    </w:p>
    <w:p>
      <w:pPr>
        <w:spacing w:line="480" w:lineRule="auto"/>
      </w:pPr>
      <w:r>
        <w:t>Base cohort CSV SHA-256: 0bf83e43e6e437955cedfbcf031093f6eead5dcc342f0e2e31bf196a3e14be20</w:t>
      </w:r>
    </w:p>
    <w:p>
      <w:pPr>
        <w:spacing w:line="480" w:lineRule="auto"/>
      </w:pPr>
      <w:r>
        <w:t>Acute add-on CSV SHA-256: 2caa911b047ee69962a4fef910fb8ebc402984efb45c898700c2aa49e94178b6</w:t>
      </w:r>
    </w:p>
    <w:p>
      <w:pPr>
        <w:spacing w:line="480" w:lineRule="auto"/>
      </w:pPr>
      <w:r>
        <w:t>Source database versions: MIMIC-IV v3.1 and MIMIC-IV-ECHO v1.0. The acute add-on was extracted from MIMIC-IV v3.1 ICU, derived, and hospital tables on 4 August 2026.</w:t>
      </w:r>
    </w:p>
    <w:p>
      <w:pPr>
        <w:spacing w:line="480" w:lineRule="auto"/>
      </w:pPr>
      <w:r>
        <w:t>Variable inventory and missingness audit are archived in 01_variable_inventory.csv in the locked reanalysis output folder.</w:t>
      </w:r>
    </w:p>
    <w:p>
      <w:pPr>
        <w:spacing w:line="480" w:lineRule="auto"/>
      </w:pPr>
      <w:r>
        <w:t>Admission uniqueness audit: base unique hospital admissions 83436; acute add-on unique hospital admissions 83436; acute duplicate hospital-admission rows 0; unmatched acute add-on rows after merge 0.</w:t>
      </w:r>
    </w:p>
    <w:p>
      <w:pPr>
        <w:spacing w:line="480" w:lineRule="auto"/>
      </w:pPr>
      <w:r>
        <w:t>The primary mortality outcome was the MIMIC-IV hospital discharge mortality flag and was analyzed at the admission level.</w:t>
      </w:r>
    </w:p>
    <w:p>
      <w:pPr>
        <w:spacing w:line="480" w:lineRule="auto"/>
      </w:pPr>
      <w:r>
        <w:t>Reanalysis command: python C:\Users\Hbi\Documents\Codex\2026-08-04\bi\work\reanalyze_mac_with_acute_illness.py</w:t>
      </w:r>
    </w:p>
    <w:p>
      <w:pPr>
        <w:spacing w:line="480" w:lineRule="auto"/>
      </w:pPr>
      <w:r>
        <w:t>Package-generation command: python C:\Users\Hbi\Documents\Codex\2026-08-04\bi\work\build_bmc_mac_submission_package.py</w:t>
      </w:r>
    </w:p>
    <w:p>
      <w:pPr>
        <w:spacing w:line="480" w:lineRule="auto"/>
      </w:pPr>
      <w:r>
        <w:t>Software environment: Python 3.13.11; pandas 2.3.3; numpy 2.4.2; statsmodels 0.14.6; matplotlib 3.10.8; python-docx 1.2.0.</w:t>
      </w:r>
    </w:p>
    <w:sectPr w:rsidR="00FC693F" w:rsidRPr="0006063C" w:rsidSect="00034616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  <w:lnNumType w:countBy="1" w:restart="continuous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fldChar w:fldCharType="begin"/>
      <w:instrText xml:space="preserve"> PAGE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