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5DF0AB">
      <w:pPr>
        <w:pStyle w:val="2"/>
        <w:keepNext w:val="0"/>
        <w:keepLines w:val="0"/>
        <w:widowControl/>
        <w:suppressLineNumbers w:val="0"/>
      </w:pPr>
      <w:r>
        <w:rPr>
          <w:shd w:val="clear" w:fill="FFFFFF"/>
        </w:rPr>
        <w:t>Supplementary Materials</w:t>
      </w:r>
    </w:p>
    <w:p w14:paraId="48A004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0" w:afterAutospacing="0"/>
        <w:ind w:left="0" w:right="0"/>
        <w:jc w:val="center"/>
        <w:rPr>
          <w:rFonts w:hint="default" w:ascii="Times New Roman" w:hAnsi="Times New Roman" w:cs="Times New Roman"/>
          <w:i/>
          <w:iCs/>
          <w:color w:val="2C3E50"/>
          <w:sz w:val="24"/>
          <w:szCs w:val="24"/>
        </w:rPr>
      </w:pPr>
      <w:r>
        <w:rPr>
          <w:rFonts w:hint="default" w:ascii="Times New Roman" w:hAnsi="Times New Roman" w:eastAsia="宋体" w:cs="Times New Roman"/>
          <w:i/>
          <w:iCs/>
          <w:color w:val="2C3E50"/>
          <w:sz w:val="24"/>
          <w:szCs w:val="24"/>
          <w:shd w:val="clear" w:fill="FFFFFF"/>
        </w:rPr>
        <w:t>An interpretable machine learning framework for predicting unfavourable ICU outcomes in severe tuberculosis</w:t>
      </w:r>
    </w:p>
    <w:p w14:paraId="4E219E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0" w:afterAutospacing="0"/>
        <w:ind w:left="0" w:right="0"/>
        <w:jc w:val="center"/>
        <w:rPr>
          <w:rFonts w:hint="default" w:ascii="Times New Roman" w:hAnsi="Times New Roman" w:cs="Times New Roman"/>
          <w:color w:val="1E1E1E"/>
          <w:sz w:val="21"/>
          <w:szCs w:val="21"/>
        </w:rPr>
      </w:pPr>
      <w:r>
        <w:rPr>
          <w:rStyle w:val="13"/>
          <w:rFonts w:hint="default" w:ascii="Times New Roman" w:hAnsi="Times New Roman" w:eastAsia="宋体" w:cs="Times New Roman"/>
          <w:color w:val="1E1E1E"/>
          <w:sz w:val="21"/>
          <w:szCs w:val="21"/>
          <w:shd w:val="clear" w:fill="FFFFFF"/>
        </w:rPr>
        <w:t>Journal:</w:t>
      </w:r>
      <w:r>
        <w:rPr>
          <w:rFonts w:hint="default" w:ascii="Times New Roman" w:hAnsi="Times New Roman" w:eastAsia="宋体" w:cs="Times New Roman"/>
          <w:color w:val="1E1E1E"/>
          <w:sz w:val="21"/>
          <w:szCs w:val="21"/>
          <w:shd w:val="clear" w:fill="FFFFFF"/>
        </w:rPr>
        <w:t xml:space="preserve"> BMC Infectious Diseases  |  </w:t>
      </w:r>
      <w:r>
        <w:rPr>
          <w:rStyle w:val="13"/>
          <w:rFonts w:hint="default" w:ascii="Times New Roman" w:hAnsi="Times New Roman" w:eastAsia="宋体" w:cs="Times New Roman"/>
          <w:color w:val="1E1E1E"/>
          <w:sz w:val="21"/>
          <w:szCs w:val="21"/>
          <w:shd w:val="clear" w:fill="FFFFFF"/>
        </w:rPr>
        <w:t>Supplementary Appendix S1 – S</w:t>
      </w:r>
      <w:r>
        <w:rPr>
          <w:rStyle w:val="13"/>
          <w:rFonts w:hint="eastAsia" w:ascii="Times New Roman" w:hAnsi="Times New Roman" w:eastAsia="宋体" w:cs="Times New Roman"/>
          <w:color w:val="1E1E1E"/>
          <w:sz w:val="21"/>
          <w:szCs w:val="21"/>
          <w:shd w:val="clear" w:fill="FFFFFF"/>
          <w:lang w:val="en-US" w:eastAsia="zh-CN"/>
        </w:rPr>
        <w:t>9</w:t>
      </w:r>
      <w:r>
        <w:rPr>
          <w:rFonts w:hint="default" w:ascii="Times New Roman" w:hAnsi="Times New Roman" w:eastAsia="宋体" w:cs="Times New Roman"/>
          <w:color w:val="1E1E1E"/>
          <w:sz w:val="21"/>
          <w:szCs w:val="21"/>
          <w:shd w:val="clear" w:fill="FFFFFF"/>
        </w:rPr>
        <w:br w:type="textWrapping"/>
      </w:r>
      <w:bookmarkStart w:id="0" w:name="_GoBack"/>
      <w:bookmarkEnd w:id="0"/>
    </w:p>
    <w:p w14:paraId="3C5E3C15">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733CF28F">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Appendix S1. TRIPOD+AI Checklist</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06"/>
        <w:gridCol w:w="2534"/>
        <w:gridCol w:w="845"/>
        <w:gridCol w:w="4561"/>
      </w:tblGrid>
      <w:tr w14:paraId="0EC73B4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7DE806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Item</w:t>
            </w:r>
          </w:p>
        </w:tc>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5E9D8E6C">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TRIPOD+AI item</w:t>
            </w:r>
          </w:p>
        </w:tc>
        <w:tc>
          <w:tcPr>
            <w:tcW w:w="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1CC92812">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Dev/Val</w:t>
            </w:r>
          </w:p>
        </w:tc>
        <w:tc>
          <w:tcPr>
            <w:tcW w:w="27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12272D52">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Reported on page / section</w:t>
            </w:r>
          </w:p>
        </w:tc>
      </w:tr>
      <w:tr w14:paraId="7C1AF6E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6DC8B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954EB7">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Title</w:t>
            </w:r>
            <w:r>
              <w:rPr>
                <w:rFonts w:hint="default" w:ascii="Times New Roman" w:hAnsi="Times New Roman" w:eastAsia="宋体" w:cs="Times New Roman"/>
                <w:sz w:val="18"/>
                <w:szCs w:val="18"/>
              </w:rPr>
              <w:t xml:space="preserve"> – Identify study as development/validation of prediction model, including target population and outcome.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F2B40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54508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Title page – "Nonlinear associations of albumin… ICU patients with severe tuberculosis"</w:t>
            </w:r>
          </w:p>
        </w:tc>
      </w:tr>
      <w:tr w14:paraId="60730D2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B00CB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BAB77C8">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Abstract</w:t>
            </w:r>
            <w:r>
              <w:rPr>
                <w:rFonts w:hint="default" w:ascii="Times New Roman" w:hAnsi="Times New Roman" w:eastAsia="宋体" w:cs="Times New Roman"/>
                <w:sz w:val="18"/>
                <w:szCs w:val="18"/>
              </w:rPr>
              <w:t xml:space="preserve"> – Structured summary with background, objectives, methods, results, conclusions.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540060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AC8A3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Abstract – Structured summary provided.</w:t>
            </w:r>
          </w:p>
        </w:tc>
      </w:tr>
      <w:tr w14:paraId="79CA84F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277CC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65E67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Medical context and rationale for model development.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9D7BDC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A87E05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Introduction – Disease burden and limitations of existing tools.</w:t>
            </w:r>
          </w:p>
        </w:tc>
      </w:tr>
      <w:tr w14:paraId="08CD68B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5D0E1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CC88E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Intended clinical decision-making role of the model.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D439D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EEE98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Introduction (last para) &amp; Discussion – Implications.</w:t>
            </w:r>
          </w:p>
        </w:tc>
      </w:tr>
      <w:tr w14:paraId="6087819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4AFE4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F0D685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Study objectives.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0DF4A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99373F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Introduction (last para) – Objectives clearly stated.</w:t>
            </w:r>
          </w:p>
        </w:tc>
      </w:tr>
      <w:tr w14:paraId="2EA42DF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F9048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EC2B2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Study design and data source.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E6B95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AC7E0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Study design (retrospective single-centre cohort).</w:t>
            </w:r>
          </w:p>
        </w:tc>
      </w:tr>
      <w:tr w14:paraId="2D63B56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0291B2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0CA82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Dates of data collection and follow-up.</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8923C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75526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Study design (January 2020 – December 2023).</w:t>
            </w:r>
          </w:p>
        </w:tc>
      </w:tr>
      <w:tr w14:paraId="3CB5FA6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AB84B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27F5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Inclusion and exclusion criteria.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89E78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9D918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Study design.</w:t>
            </w:r>
          </w:p>
        </w:tc>
      </w:tr>
      <w:tr w14:paraId="314F458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96019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1543D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Data collection process.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96701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815412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Study design (electronic medical records).</w:t>
            </w:r>
          </w:p>
        </w:tc>
      </w:tr>
      <w:tr w14:paraId="2E0272C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2307A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35867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Outcome definition and assessment.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6F1B3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A584B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Outcome and clinical definitions.</w:t>
            </w:r>
          </w:p>
        </w:tc>
      </w:tr>
      <w:tr w14:paraId="07A13A9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A2AB73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777F5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Blinding of outcome assessors.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C0E27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4FB3162">
            <w:pPr>
              <w:keepNext w:val="0"/>
              <w:keepLines w:val="0"/>
              <w:widowControl/>
              <w:suppressLineNumbers w:val="0"/>
              <w:jc w:val="left"/>
              <w:textAlignment w:val="top"/>
              <w:rPr>
                <w:rFonts w:hint="default" w:ascii="Times New Roman" w:hAnsi="Times New Roman" w:cs="Times New Roman"/>
                <w:sz w:val="18"/>
                <w:szCs w:val="18"/>
              </w:rPr>
            </w:pPr>
            <w:r>
              <w:rPr>
                <w:rStyle w:val="25"/>
                <w:rFonts w:hint="default" w:ascii="Times New Roman" w:hAnsi="Times New Roman" w:eastAsia="宋体" w:cs="Times New Roman"/>
                <w:sz w:val="18"/>
                <w:szCs w:val="18"/>
              </w:rPr>
              <w:t>Not applicable</w:t>
            </w:r>
            <w:r>
              <w:rPr>
                <w:rFonts w:hint="default" w:ascii="Times New Roman" w:hAnsi="Times New Roman" w:eastAsia="宋体" w:cs="Times New Roman"/>
                <w:sz w:val="18"/>
                <w:szCs w:val="18"/>
              </w:rPr>
              <w:t xml:space="preserve"> (retrospective).</w:t>
            </w:r>
          </w:p>
        </w:tc>
      </w:tr>
      <w:tr w14:paraId="050CD89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73BD8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77C06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Predictor definitions and measurement.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2661E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DBBD17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Predictor collection; Suppl Table S1.</w:t>
            </w:r>
          </w:p>
        </w:tc>
      </w:tr>
      <w:tr w14:paraId="20F43D7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A7363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0EEDF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Blinding of predictor assessors.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43BCE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FC0D728">
            <w:pPr>
              <w:keepNext w:val="0"/>
              <w:keepLines w:val="0"/>
              <w:widowControl/>
              <w:suppressLineNumbers w:val="0"/>
              <w:jc w:val="left"/>
              <w:textAlignment w:val="top"/>
              <w:rPr>
                <w:rFonts w:hint="default" w:ascii="Times New Roman" w:hAnsi="Times New Roman" w:cs="Times New Roman"/>
                <w:sz w:val="18"/>
                <w:szCs w:val="18"/>
              </w:rPr>
            </w:pPr>
            <w:r>
              <w:rPr>
                <w:rStyle w:val="25"/>
                <w:rFonts w:hint="default" w:ascii="Times New Roman" w:hAnsi="Times New Roman" w:eastAsia="宋体" w:cs="Times New Roman"/>
                <w:sz w:val="18"/>
                <w:szCs w:val="18"/>
              </w:rPr>
              <w:t>Not applicable</w:t>
            </w:r>
            <w:r>
              <w:rPr>
                <w:rFonts w:hint="default" w:ascii="Times New Roman" w:hAnsi="Times New Roman" w:eastAsia="宋体" w:cs="Times New Roman"/>
                <w:sz w:val="18"/>
                <w:szCs w:val="18"/>
              </w:rPr>
              <w:t xml:space="preserve"> (retrospective).</w:t>
            </w:r>
          </w:p>
        </w:tc>
      </w:tr>
      <w:tr w14:paraId="1609953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6C3A40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EFCC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Sample size determination (EPV rationale).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9B388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F67AB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Sample size (EPV = 58/6 = 9.7).</w:t>
            </w:r>
          </w:p>
        </w:tc>
      </w:tr>
      <w:tr w14:paraId="6315DDF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D0BF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A65B8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Missing data handling.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48068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F359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Missing data handling (MICE imputation).</w:t>
            </w:r>
          </w:p>
        </w:tc>
      </w:tr>
      <w:tr w14:paraId="607700D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48819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D45F5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Predictor selection method.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5C0AB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A6BE33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Feature selection (Boruta + elastic net).</w:t>
            </w:r>
          </w:p>
        </w:tc>
      </w:tr>
      <w:tr w14:paraId="4E7FC7D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36929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5F3E5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Data-driven vs. clinically pre-specified selection.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44F3E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4DD29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Feature selection (albumin &amp; sputum smear forced).</w:t>
            </w:r>
          </w:p>
        </w:tc>
      </w:tr>
      <w:tr w14:paraId="239D4A4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FAB3C3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D820C4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Model-building procedure (algorithm, tuning).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5B055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DA9FD4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Model development; Suppl Table S4.</w:t>
            </w:r>
          </w:p>
        </w:tc>
      </w:tr>
      <w:tr w14:paraId="1515A57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A0013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9D756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Class imbalance handling.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DE809F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7C194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Model development (class weighting).</w:t>
            </w:r>
          </w:p>
        </w:tc>
      </w:tr>
      <w:tr w14:paraId="07900BC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83EEA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09DF0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development details (iterations, convergence).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57B39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4117F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Model development; Suppl Table S4.</w:t>
            </w:r>
          </w:p>
        </w:tc>
      </w:tr>
      <w:tr w14:paraId="246600C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ECBB66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BCB5B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Performance evaluation metrics.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69A46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25156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Model performance assessment.</w:t>
            </w:r>
          </w:p>
        </w:tc>
      </w:tr>
      <w:tr w14:paraId="6FD5818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D625C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77F52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interpretability methods.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66EA3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308EC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Methods – SHAP-based model interpretation.</w:t>
            </w:r>
          </w:p>
        </w:tc>
      </w:tr>
      <w:tr w14:paraId="389ED9B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A40EB2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074C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Subgroup analysis (if planned).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CFAAB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102F58">
            <w:pPr>
              <w:keepNext w:val="0"/>
              <w:keepLines w:val="0"/>
              <w:widowControl/>
              <w:suppressLineNumbers w:val="0"/>
              <w:jc w:val="left"/>
              <w:textAlignment w:val="top"/>
              <w:rPr>
                <w:rFonts w:hint="default" w:ascii="Times New Roman" w:hAnsi="Times New Roman" w:cs="Times New Roman"/>
                <w:sz w:val="18"/>
                <w:szCs w:val="18"/>
              </w:rPr>
            </w:pPr>
            <w:r>
              <w:rPr>
                <w:rStyle w:val="25"/>
                <w:rFonts w:hint="default" w:ascii="Times New Roman" w:hAnsi="Times New Roman" w:eastAsia="宋体" w:cs="Times New Roman"/>
                <w:sz w:val="18"/>
                <w:szCs w:val="18"/>
              </w:rPr>
              <w:t>Not applicable</w:t>
            </w:r>
            <w:r>
              <w:rPr>
                <w:rFonts w:hint="default" w:ascii="Times New Roman" w:hAnsi="Times New Roman" w:eastAsia="宋体" w:cs="Times New Roman"/>
                <w:sz w:val="18"/>
                <w:szCs w:val="18"/>
              </w:rPr>
              <w:t xml:space="preserve"> – no subgroup analysis.</w:t>
            </w:r>
          </w:p>
        </w:tc>
      </w:tr>
      <w:tr w14:paraId="176B691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4BCB24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15a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48D80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Number of participants included.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BC25C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FCD2F1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Results – Patient characteristics (N = 245).</w:t>
            </w:r>
          </w:p>
        </w:tc>
      </w:tr>
      <w:tr w14:paraId="58F7060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B624B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15b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B2AB0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Baseline characteristics (overall and by outcome).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E0ED2F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4EDDDE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Table 1.</w:t>
            </w:r>
          </w:p>
        </w:tc>
      </w:tr>
      <w:tr w14:paraId="5719E98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27317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DF653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Full prediction model (coefficients, intercept).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46955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3306B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Table 2; Suppl Table S11.</w:t>
            </w:r>
          </w:p>
        </w:tc>
      </w:tr>
      <w:tr w14:paraId="72055BF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61B33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430B51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Final algorithm and hyperparameters.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690315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67C4A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Suppl Table S4.</w:t>
            </w:r>
          </w:p>
        </w:tc>
      </w:tr>
      <w:tr w14:paraId="680DBF9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E1771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F0B524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performance estimates from development.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FA6290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D6919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Results – Comparative model performance (Table 3).</w:t>
            </w:r>
          </w:p>
        </w:tc>
      </w:tr>
      <w:tr w14:paraId="28F3424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01AD1E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EDEBE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performance (discrimination, calibration, utility).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EBC1FA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E95E8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Results – Internal validation; DCA; Calibration (Figure 4).</w:t>
            </w:r>
          </w:p>
        </w:tc>
      </w:tr>
      <w:tr w14:paraId="6D13542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8DB69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18a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231741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interpretation results (SHAP values).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2FA54C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30B5AA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Results – SHAP-based model interpretation.</w:t>
            </w:r>
          </w:p>
        </w:tc>
      </w:tr>
      <w:tr w14:paraId="7696C9C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3ECC1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18b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8FD71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Predictor importance ranking.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4BB729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F7BB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Figure 6A.</w:t>
            </w:r>
          </w:p>
        </w:tc>
      </w:tr>
      <w:tr w14:paraId="0F36347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8C71B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18c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DE99F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Direction and magnitude of predictor effects.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6F8CC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3177CA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Figure 5B–D.</w:t>
            </w:r>
          </w:p>
        </w:tc>
      </w:tr>
      <w:tr w14:paraId="63620DF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CB35D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ADDFC0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Study limitations.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24E1F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6AC3D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Discussion – Limitations.</w:t>
            </w:r>
          </w:p>
        </w:tc>
      </w:tr>
      <w:tr w14:paraId="5210FEA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06D03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A09393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Interpretation in context of prior evidence.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CFE64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62FB9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Discussion – paras 2–5.</w:t>
            </w:r>
          </w:p>
        </w:tc>
      </w:tr>
      <w:tr w14:paraId="4EECDCC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5A07ED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BA8F9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Potential clinical use and implementation.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6EF1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0CE72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Discussion – Implications for clinical practice.</w:t>
            </w:r>
          </w:p>
        </w:tc>
      </w:tr>
      <w:tr w14:paraId="771DFC3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6C135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465E1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TRIPOD+AI checklist as supplementary material.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EF16D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11D69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This document (Supplementary Appendix S1).</w:t>
            </w:r>
          </w:p>
        </w:tc>
      </w:tr>
      <w:tr w14:paraId="4710F7C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FAB41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D31BD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Funding sources and role of funders.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42C9F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683083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Declarations – Funding.</w:t>
            </w:r>
          </w:p>
        </w:tc>
      </w:tr>
      <w:tr w14:paraId="4C4695E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3A412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9DFE7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Ethical approval and informed consent.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E536B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2DFD7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Declarations – Ethics approval and consent to participate.</w:t>
            </w:r>
          </w:p>
        </w:tc>
      </w:tr>
      <w:tr w14:paraId="2DA9236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58B7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96EE4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Competing interests.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C7023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FAD2B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Declarations – Competing interests.</w:t>
            </w:r>
          </w:p>
        </w:tc>
      </w:tr>
      <w:tr w14:paraId="42B975F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D03E5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8D983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Data availability statement.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6A6D83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AB2F4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Declarations – Availability of data and materials.</w:t>
            </w:r>
          </w:p>
        </w:tc>
      </w:tr>
      <w:tr w14:paraId="783459A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CCF3D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83FC4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Authors' contributions.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50E31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72140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Declarations – Authors' contributions.</w:t>
            </w:r>
          </w:p>
        </w:tc>
      </w:tr>
    </w:tbl>
    <w:p w14:paraId="250AF4AA">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Note:</w:t>
      </w:r>
      <w:r>
        <w:rPr>
          <w:rFonts w:hint="default" w:ascii="Times New Roman" w:hAnsi="Times New Roman" w:eastAsia="宋体" w:cs="Times New Roman"/>
          <w:color w:val="1E3A5F"/>
          <w:sz w:val="19"/>
          <w:szCs w:val="19"/>
          <w:shd w:val="clear" w:fill="F9FAFC"/>
        </w:rPr>
        <w:t xml:space="preserve"> This checklist follows the TRIPOD+AI statement (Collins et al., BMJ 2024). Items marked </w:t>
      </w:r>
      <w:r>
        <w:rPr>
          <w:rStyle w:val="13"/>
          <w:rFonts w:hint="default" w:ascii="Times New Roman" w:hAnsi="Times New Roman" w:eastAsia="宋体" w:cs="Times New Roman"/>
          <w:color w:val="1E3A5F"/>
          <w:sz w:val="19"/>
          <w:szCs w:val="19"/>
          <w:shd w:val="clear" w:fill="F9FAFC"/>
        </w:rPr>
        <w:t>D</w:t>
      </w:r>
      <w:r>
        <w:rPr>
          <w:rFonts w:hint="default" w:ascii="Times New Roman" w:hAnsi="Times New Roman" w:eastAsia="宋体" w:cs="Times New Roman"/>
          <w:color w:val="1E3A5F"/>
          <w:sz w:val="19"/>
          <w:szCs w:val="19"/>
          <w:shd w:val="clear" w:fill="F9FAFC"/>
        </w:rPr>
        <w:t xml:space="preserve"> refer to model development, </w:t>
      </w:r>
      <w:r>
        <w:rPr>
          <w:rStyle w:val="13"/>
          <w:rFonts w:hint="default" w:ascii="Times New Roman" w:hAnsi="Times New Roman" w:eastAsia="宋体" w:cs="Times New Roman"/>
          <w:color w:val="1E3A5F"/>
          <w:sz w:val="19"/>
          <w:szCs w:val="19"/>
          <w:shd w:val="clear" w:fill="F9FAFC"/>
        </w:rPr>
        <w:t>D;V</w:t>
      </w:r>
      <w:r>
        <w:rPr>
          <w:rFonts w:hint="default" w:ascii="Times New Roman" w:hAnsi="Times New Roman" w:eastAsia="宋体" w:cs="Times New Roman"/>
          <w:color w:val="1E3A5F"/>
          <w:sz w:val="19"/>
          <w:szCs w:val="19"/>
          <w:shd w:val="clear" w:fill="F9FAFC"/>
        </w:rPr>
        <w:t xml:space="preserve"> refer to both development and validation. All information has been extracted from the manuscript and supplementary files. </w:t>
      </w:r>
    </w:p>
    <w:p w14:paraId="4729C817">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05EA0BBF">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2</w:t>
      </w:r>
      <w:r>
        <w:rPr>
          <w:rFonts w:hint="default" w:ascii="Times New Roman" w:hAnsi="Times New Roman" w:eastAsia="宋体" w:cs="Times New Roman"/>
          <w:b/>
          <w:bCs/>
          <w:sz w:val="27"/>
          <w:szCs w:val="27"/>
          <w:shd w:val="clear" w:fill="FFFFFF"/>
        </w:rPr>
        <w:t>. Candidate predictors: definitions and measurement</w:t>
      </w:r>
    </w:p>
    <w:p w14:paraId="4CD8ADF4">
      <w:pPr>
        <w:pStyle w:val="10"/>
        <w:keepNext w:val="0"/>
        <w:keepLines w:val="0"/>
        <w:widowControl/>
        <w:suppressLineNumbers w:val="0"/>
        <w:spacing w:after="60" w:afterAutospacing="0"/>
        <w:rPr>
          <w:sz w:val="19"/>
          <w:szCs w:val="19"/>
        </w:rPr>
      </w:pPr>
      <w:r>
        <w:rPr>
          <w:rStyle w:val="14"/>
          <w:rFonts w:hint="default" w:ascii="Times New Roman" w:hAnsi="Times New Roman" w:cs="Times New Roman"/>
          <w:sz w:val="19"/>
          <w:szCs w:val="19"/>
          <w:shd w:val="clear" w:fill="FFFFFF"/>
        </w:rPr>
        <w:t>Variables extracted within the first 24 h of ICU admission</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70"/>
        <w:gridCol w:w="2762"/>
        <w:gridCol w:w="1073"/>
        <w:gridCol w:w="2341"/>
      </w:tblGrid>
      <w:tr w14:paraId="305590F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rPr>
          <w:tblHeader/>
        </w:trPr>
        <w:tc>
          <w:tcPr>
            <w:tcW w:w="10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5D64A560">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Variable</w:t>
            </w:r>
          </w:p>
        </w:tc>
        <w:tc>
          <w:tcPr>
            <w:tcW w:w="1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8AD2F09">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Definition</w:t>
            </w:r>
          </w:p>
        </w:tc>
        <w:tc>
          <w:tcPr>
            <w:tcW w:w="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4E1A5DAA">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Type</w:t>
            </w:r>
          </w:p>
        </w:tc>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7E6275A2">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Measurement / Units</w:t>
            </w:r>
          </w:p>
        </w:tc>
      </w:tr>
      <w:tr w14:paraId="672D8C5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05A0E4D0">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Demographics</w:t>
            </w:r>
          </w:p>
        </w:tc>
      </w:tr>
      <w:tr w14:paraId="08939FE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32DF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sex</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D07C55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Gender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D49C13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83050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male, 2 = female</w:t>
            </w:r>
          </w:p>
        </w:tc>
      </w:tr>
      <w:tr w14:paraId="3923E30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F9FCB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age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38272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Age at ICU admission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489E0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FBA3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Years</w:t>
            </w:r>
          </w:p>
        </w:tc>
      </w:tr>
      <w:tr w14:paraId="7A0A0FF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4B78A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smoking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5C2F8E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Smoking history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25443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F52AB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current/former, 2 = non-smoker</w:t>
            </w:r>
          </w:p>
        </w:tc>
      </w:tr>
      <w:tr w14:paraId="3CD0D3A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15B2D227">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Clinical symptoms (at admission)</w:t>
            </w:r>
          </w:p>
        </w:tc>
      </w:tr>
      <w:tr w14:paraId="7DCB35B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4697B7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systemic_toxic_symptoms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05399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Fever, night sweats, weight loss, etc.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B704A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0DB38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166AB7C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375C1F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respiratory_symptoms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DDA24A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Cough, sputum, haemoptysis, chest pain, dyspnoea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60BA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A6C45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1A8EFAE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DE050C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digestive_symptoms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B3C66E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Nausea, vomiting, abdominal pain, diarrhoea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F1D559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E67EB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014751E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C1A5E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neurological_symptoms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CF270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Headache, confusion, focal deficits, meningism</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8DE9DF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DC20DD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7F1FE99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1FFF036E">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Comorbidities</w:t>
            </w:r>
          </w:p>
        </w:tc>
      </w:tr>
      <w:tr w14:paraId="2929970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C3545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hypertension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5BC00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History of essential hypertension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F0E1F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9835DC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5EC3EE1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5FC65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diabetes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42CC0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History of diabetes mellitus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6946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4C075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4174D65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47195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coronary_heart_disease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7FDFE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History of coronary heart 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3905A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61EB0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3C757F3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AF2D9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cerebrovascular_disease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A9E5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History of stroke or TIA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6EF596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8202C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319024E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8F625C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chronic_airway_disease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FEC9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COPD, asthma, bronchiectasis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00F31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549AC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78FF50B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0253C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chronic_kidney_disease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2F05A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Chronic kidney disease (any stage)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C08110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6F8AC0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0A22996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9D557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chronic_liver_disease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BBF21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Cirrhosis, chronic hepatitis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655C49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45E0B0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771D539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35A65D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malignancy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4C9814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History of malignancy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D090C8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1A725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49DE9B8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5116C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autoimmune_disease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FA9EC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SLE, rheumatoid arthritis, etc.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71005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01442F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0E8726F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C6C12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hematologic_disease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05881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Haematologic disorder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8FAC4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BE059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yes, 2 = no</w:t>
            </w:r>
          </w:p>
        </w:tc>
      </w:tr>
      <w:tr w14:paraId="0B4D6C7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00E16C7E">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Tuberculosis-related characteristics</w:t>
            </w:r>
          </w:p>
        </w:tc>
      </w:tr>
      <w:tr w14:paraId="30C242A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1A9FE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pulmonary_tb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8C3371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Pulmonary tuberculosis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31134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8A9B73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pulmonary TB, 2 = not pulmonary TB</w:t>
            </w:r>
          </w:p>
        </w:tc>
      </w:tr>
      <w:tr w14:paraId="19BF3CE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07CDA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pulmonary_tb_confirmed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F31A0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Microbiologically or histopathologically confirmed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350BF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E5C122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confirmed, 2 = not confirmed</w:t>
            </w:r>
          </w:p>
        </w:tc>
      </w:tr>
      <w:tr w14:paraId="1F8B347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C7872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cavitation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63161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Cavitary disease on chest imaging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5F5C7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BE65D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2767619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F34D1F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hematogenous_dissemination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AC9A2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Haematogenous dissemination (miliary TB)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3D2CF0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5D9566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13FBE02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41F5C8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destroyed_lung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BE2E9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Destroyed lung on imaging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EFFC5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63DEE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654BB33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031F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extrapulmonary_tb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3934E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Extrapulmonary tuberculosis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3136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44FDE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74C9048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778D9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drug_resistant_tb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1EA6D4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Resistance to any first-line drug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75AAEC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1E4E7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resistant, 2 = susceptible</w:t>
            </w:r>
          </w:p>
        </w:tc>
      </w:tr>
      <w:tr w14:paraId="2BB5599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303E40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treatment_history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B9366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Anti-TB treatment history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F98F0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E3AD94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previously treated, 2 = treatment-naïve</w:t>
            </w:r>
          </w:p>
        </w:tc>
      </w:tr>
      <w:tr w14:paraId="1B64174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589C5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sputum_smear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B15C9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Sputum acid-fast bacilli smear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09A75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F022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positive, 2 = negative</w:t>
            </w:r>
          </w:p>
        </w:tc>
      </w:tr>
      <w:tr w14:paraId="6D16386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354AF34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ICU complications</w:t>
            </w:r>
          </w:p>
        </w:tc>
      </w:tr>
      <w:tr w14:paraId="1525C50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6E9A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severe_pneumonia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13C35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Severe pneumonia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5A91A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80565E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2FA17D5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57810F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sepsis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65A03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Sepsis (Sepsis-3 criteria)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775BA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4F93D8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2B25DF5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B6002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0E2E0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Multiple organ dysfunction syndrome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05B81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34F93B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present, 2 = absent</w:t>
            </w:r>
          </w:p>
        </w:tc>
      </w:tr>
      <w:tr w14:paraId="70925BC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3ED4B1D9">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Laboratory parameters (first 24 h)</w:t>
            </w:r>
          </w:p>
        </w:tc>
      </w:tr>
      <w:tr w14:paraId="7341F4C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FFB42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wbc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EE148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White blood cell count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33613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EFB24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240A8CC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2A767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hemoglobin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D5E8DD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Haemoglobin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01C286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6921AC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g/L</w:t>
            </w:r>
          </w:p>
        </w:tc>
      </w:tr>
      <w:tr w14:paraId="4F17D9B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129BA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platelet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7EF09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Platelet count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48E5A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87BA2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0373D4E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C5155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neutrophil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C6878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Neutrophil count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C37A2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DD124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7EAA2D5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10E9F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eosinophil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AFC686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Eosinophil count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FB4E69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52B6AF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535907D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595D7E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lymphocyte_calc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9369A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Lymphocyte count (calculated)</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7771CF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27807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571EFD6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92C29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albumin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AF78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Serum albumin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23BE37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17871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g/L</w:t>
            </w:r>
          </w:p>
        </w:tc>
      </w:tr>
      <w:tr w14:paraId="3DACF74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D5A4C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1C0D1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Alanine aminotransferase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B9B62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A2773D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U/L</w:t>
            </w:r>
          </w:p>
        </w:tc>
      </w:tr>
      <w:tr w14:paraId="6A6A12E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1FB6C8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034DD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Aspartate aminotransferase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FEDC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0541E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U/L</w:t>
            </w:r>
          </w:p>
        </w:tc>
      </w:tr>
      <w:tr w14:paraId="46C4907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9A7A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total_bilirubin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677802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Total bilirubin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DD66F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AF1BD0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μmol/L</w:t>
            </w:r>
          </w:p>
        </w:tc>
      </w:tr>
      <w:tr w14:paraId="4B996D7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9B83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direct_bilirubin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A5126B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Direct bilirubin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7B1A1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97AB58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μmol/L</w:t>
            </w:r>
          </w:p>
        </w:tc>
      </w:tr>
      <w:tr w14:paraId="077AF45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92EB5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creatinine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BE01E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Serum creatinine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FDC289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27F66B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μmol/L</w:t>
            </w:r>
          </w:p>
        </w:tc>
      </w:tr>
      <w:tr w14:paraId="6C1D7EB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4D08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APTT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DD8FF5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Activated partial thromboplastin time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731EF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72F48E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seconds</w:t>
            </w:r>
          </w:p>
        </w:tc>
      </w:tr>
      <w:tr w14:paraId="19C2363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4D3AB8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92C219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Prothrombin time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A6D5CA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9B7D6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seconds</w:t>
            </w:r>
          </w:p>
        </w:tc>
      </w:tr>
      <w:tr w14:paraId="5C1BB94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715E6D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9834F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Thrombin time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94948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39A24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seconds</w:t>
            </w:r>
          </w:p>
        </w:tc>
      </w:tr>
      <w:tr w14:paraId="5E30452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DEEA5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fibrinogen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E63BE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Fibrinogen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6DBE6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EA053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g/L</w:t>
            </w:r>
          </w:p>
        </w:tc>
      </w:tr>
      <w:tr w14:paraId="1FD1E84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9B4A8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LDH</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D656E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Lactate dehydrogenase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D35631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77229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U/L</w:t>
            </w:r>
          </w:p>
        </w:tc>
      </w:tr>
      <w:tr w14:paraId="48F4F80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A79F45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91D24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Creatine kinase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E36D6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73A88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U/L</w:t>
            </w:r>
          </w:p>
        </w:tc>
      </w:tr>
      <w:tr w14:paraId="7FEDB9C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B5AB3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CKMB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08E6F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Creatine kinase-MB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7DD43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0BA4A9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U/L</w:t>
            </w:r>
          </w:p>
        </w:tc>
      </w:tr>
      <w:tr w14:paraId="02171C9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8EF17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myoglobin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68AC8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Myoglobin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C2CE7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E3380F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ng/mL</w:t>
            </w:r>
          </w:p>
        </w:tc>
      </w:tr>
      <w:tr w14:paraId="03F16A7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2236E5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d_dimer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D1C458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D-dimer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195F13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172A5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μg/mL</w:t>
            </w:r>
          </w:p>
        </w:tc>
      </w:tr>
      <w:tr w14:paraId="03EBF78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EFAA91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PCT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D8D5F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Procalcitonin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6A296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39373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ng/mL</w:t>
            </w:r>
          </w:p>
        </w:tc>
      </w:tr>
      <w:tr w14:paraId="1525C00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067F6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CRP</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18C7B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C-reactive protein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F53EB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A6DC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mg/L</w:t>
            </w:r>
          </w:p>
        </w:tc>
      </w:tr>
      <w:tr w14:paraId="1F4388A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5FD82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oxygenation_index</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DEC2ED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Oxygenation index (PaO₂/FiO₂)</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8A77C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874BC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mmHg</w:t>
            </w:r>
          </w:p>
        </w:tc>
      </w:tr>
      <w:tr w14:paraId="0F7FEDD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15373E05">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Derived inflammatory indices</w:t>
            </w:r>
          </w:p>
        </w:tc>
      </w:tr>
      <w:tr w14:paraId="07E03F5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B308B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NLR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68006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Neutrophil-to-lymphocyte ratio</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48652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A3AA51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Ratio</w:t>
            </w:r>
          </w:p>
        </w:tc>
      </w:tr>
      <w:tr w14:paraId="48C9BFC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214EC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PLR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1A53D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Platelet-to-lymphocyte ratio</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F093C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E4CE10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Ratio</w:t>
            </w:r>
          </w:p>
        </w:tc>
      </w:tr>
      <w:tr w14:paraId="1307895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0C3605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SII</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1D6C2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Systemic immune-inflammation index (neutrophils × platelets / lymphocytes)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6E177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Continuous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2D1D6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10⁹/L</w:t>
            </w:r>
          </w:p>
        </w:tc>
      </w:tr>
      <w:tr w14:paraId="0293F15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6367148E">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Outcome</w:t>
            </w:r>
          </w:p>
        </w:tc>
      </w:tr>
      <w:tr w14:paraId="1741D6A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88158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icu_poor_outcome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D05D7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Unfavourable ICU outcome (death or discharge without recovery)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AE450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Binary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459E5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 = poor, 2 = good</w:t>
            </w:r>
          </w:p>
        </w:tc>
      </w:tr>
    </w:tbl>
    <w:p w14:paraId="536C8600">
      <w:pPr>
        <w:pStyle w:val="10"/>
        <w:keepNext w:val="0"/>
        <w:keepLines w:val="0"/>
        <w:widowControl/>
        <w:suppressLineNumbers w:val="0"/>
        <w:spacing w:before="40" w:beforeAutospacing="0"/>
        <w:rPr>
          <w:sz w:val="18"/>
          <w:szCs w:val="18"/>
        </w:rPr>
      </w:pPr>
      <w:r>
        <w:rPr>
          <w:rStyle w:val="14"/>
          <w:rFonts w:hint="default" w:ascii="Times New Roman" w:hAnsi="Times New Roman" w:cs="Times New Roman"/>
          <w:sz w:val="18"/>
          <w:szCs w:val="18"/>
          <w:shd w:val="clear" w:fill="FFFFFF"/>
        </w:rPr>
        <w:t>Candidate predictors were pre</w:t>
      </w:r>
      <w:r>
        <w:rPr>
          <w:rStyle w:val="14"/>
          <w:rFonts w:hint="default" w:ascii="Times New Roman" w:hAnsi="Times New Roman" w:cs="Times New Roman"/>
          <w:sz w:val="18"/>
          <w:szCs w:val="18"/>
          <w:shd w:val="clear" w:fill="FFFFFF"/>
        </w:rPr>
        <w:noBreakHyphen/>
      </w:r>
      <w:r>
        <w:rPr>
          <w:rStyle w:val="14"/>
          <w:rFonts w:hint="default" w:ascii="Times New Roman" w:hAnsi="Times New Roman" w:cs="Times New Roman"/>
          <w:sz w:val="18"/>
          <w:szCs w:val="18"/>
          <w:shd w:val="clear" w:fill="FFFFFF"/>
        </w:rPr>
        <w:t>specified based on clinical relevance and previous literature. All laboratory parameters were measured within the first 24 h of ICU admission.</w:t>
      </w:r>
    </w:p>
    <w:p w14:paraId="23B4FCD7">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04B320B7">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3</w:t>
      </w:r>
      <w:r>
        <w:rPr>
          <w:rFonts w:hint="default" w:ascii="Times New Roman" w:hAnsi="Times New Roman" w:eastAsia="宋体" w:cs="Times New Roman"/>
          <w:b/>
          <w:bCs/>
          <w:sz w:val="27"/>
          <w:szCs w:val="27"/>
          <w:shd w:val="clear" w:fill="FFFFFF"/>
        </w:rPr>
        <w:t>. Missing data patterns and handling</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11"/>
        <w:gridCol w:w="1267"/>
        <w:gridCol w:w="1267"/>
        <w:gridCol w:w="3801"/>
      </w:tblGrid>
      <w:tr w14:paraId="405BDDF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rPr>
          <w:tblHeader/>
        </w:trPr>
        <w:tc>
          <w:tcPr>
            <w:tcW w:w="1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0E35609C">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Variable</w:t>
            </w:r>
          </w:p>
        </w:tc>
        <w:tc>
          <w:tcPr>
            <w:tcW w:w="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51E19944">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Missing (n)</w:t>
            </w:r>
          </w:p>
        </w:tc>
        <w:tc>
          <w:tcPr>
            <w:tcW w:w="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0323E4D4">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Missing (%)</w:t>
            </w:r>
          </w:p>
        </w:tc>
        <w:tc>
          <w:tcPr>
            <w:tcW w:w="2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8FE12AE">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Handling</w:t>
            </w:r>
          </w:p>
        </w:tc>
      </w:tr>
      <w:tr w14:paraId="670FC7E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8114B6">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alcohol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891C4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97C5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24.08%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687F6C6">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Excluded</w:t>
            </w:r>
            <w:r>
              <w:rPr>
                <w:rFonts w:hint="default" w:ascii="Times New Roman" w:hAnsi="Times New Roman" w:eastAsia="宋体" w:cs="Times New Roman"/>
                <w:sz w:val="18"/>
                <w:szCs w:val="18"/>
              </w:rPr>
              <w:t xml:space="preserve"> (&gt;20% threshold)</w:t>
            </w:r>
          </w:p>
        </w:tc>
      </w:tr>
      <w:tr w14:paraId="5B92B0A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847A92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CRP</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480135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123D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4.90%</w:t>
            </w:r>
          </w:p>
        </w:tc>
        <w:tc>
          <w:tcPr>
            <w:tcW w:w="0" w:type="auto"/>
            <w:vMerge w:val="restart"/>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5EF884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MICE imputation (5 datasets, 20 iterations)</w:t>
            </w:r>
          </w:p>
        </w:tc>
      </w:tr>
      <w:tr w14:paraId="0F3DEBA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78A3C6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myoglobin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BA111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BE8845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4.49%</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41B7EC3">
            <w:pPr>
              <w:jc w:val="left"/>
              <w:rPr>
                <w:rFonts w:hint="default" w:ascii="Times New Roman" w:hAnsi="Times New Roman" w:cs="Times New Roman"/>
                <w:sz w:val="18"/>
                <w:szCs w:val="18"/>
              </w:rPr>
            </w:pPr>
          </w:p>
        </w:tc>
      </w:tr>
      <w:tr w14:paraId="24FADCA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F593D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B744AE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1833DB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4.08%</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890FE7">
            <w:pPr>
              <w:jc w:val="left"/>
              <w:rPr>
                <w:rFonts w:hint="default" w:ascii="Times New Roman" w:hAnsi="Times New Roman" w:cs="Times New Roman"/>
                <w:sz w:val="18"/>
                <w:szCs w:val="18"/>
              </w:rPr>
            </w:pPr>
          </w:p>
        </w:tc>
      </w:tr>
      <w:tr w14:paraId="7E8C31C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6E1FD6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CKMB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57D8A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36871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4.08%</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84CEBAD">
            <w:pPr>
              <w:jc w:val="left"/>
              <w:rPr>
                <w:rFonts w:hint="default" w:ascii="Times New Roman" w:hAnsi="Times New Roman" w:cs="Times New Roman"/>
                <w:sz w:val="18"/>
                <w:szCs w:val="18"/>
              </w:rPr>
            </w:pPr>
          </w:p>
        </w:tc>
      </w:tr>
      <w:tr w14:paraId="29F6DD2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0FD1C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d_dimer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A149D0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8A045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4.08%</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19FCED0">
            <w:pPr>
              <w:jc w:val="left"/>
              <w:rPr>
                <w:rFonts w:hint="default" w:ascii="Times New Roman" w:hAnsi="Times New Roman" w:cs="Times New Roman"/>
                <w:sz w:val="18"/>
                <w:szCs w:val="18"/>
              </w:rPr>
            </w:pPr>
          </w:p>
        </w:tc>
      </w:tr>
      <w:tr w14:paraId="0812C4A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1524B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LDH</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EB1F0C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737B5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3.67%</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45082F">
            <w:pPr>
              <w:jc w:val="left"/>
              <w:rPr>
                <w:rFonts w:hint="default" w:ascii="Times New Roman" w:hAnsi="Times New Roman" w:cs="Times New Roman"/>
                <w:sz w:val="18"/>
                <w:szCs w:val="18"/>
              </w:rPr>
            </w:pPr>
          </w:p>
        </w:tc>
      </w:tr>
      <w:tr w14:paraId="1D6D3EB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37867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8CEDED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E6C16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1.63%</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E57F2F3">
            <w:pPr>
              <w:jc w:val="left"/>
              <w:rPr>
                <w:rFonts w:hint="default" w:ascii="Times New Roman" w:hAnsi="Times New Roman" w:cs="Times New Roman"/>
                <w:sz w:val="18"/>
                <w:szCs w:val="18"/>
              </w:rPr>
            </w:pPr>
          </w:p>
        </w:tc>
      </w:tr>
      <w:tr w14:paraId="79582E2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0E293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63C0B9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6F4B2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1.63%</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C00281">
            <w:pPr>
              <w:jc w:val="left"/>
              <w:rPr>
                <w:rFonts w:hint="default" w:ascii="Times New Roman" w:hAnsi="Times New Roman" w:cs="Times New Roman"/>
                <w:sz w:val="18"/>
                <w:szCs w:val="18"/>
              </w:rPr>
            </w:pPr>
          </w:p>
        </w:tc>
      </w:tr>
      <w:tr w14:paraId="638E3A2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A3805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fibrinogen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8B2262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A41100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1.63%</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82304E0">
            <w:pPr>
              <w:jc w:val="left"/>
              <w:rPr>
                <w:rFonts w:hint="default" w:ascii="Times New Roman" w:hAnsi="Times New Roman" w:cs="Times New Roman"/>
                <w:sz w:val="18"/>
                <w:szCs w:val="18"/>
              </w:rPr>
            </w:pPr>
          </w:p>
        </w:tc>
      </w:tr>
      <w:tr w14:paraId="299BCC6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2AA36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APTT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EB0373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4A1661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1.22%</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C57051">
            <w:pPr>
              <w:jc w:val="left"/>
              <w:rPr>
                <w:rFonts w:hint="default" w:ascii="Times New Roman" w:hAnsi="Times New Roman" w:cs="Times New Roman"/>
                <w:sz w:val="18"/>
                <w:szCs w:val="18"/>
              </w:rPr>
            </w:pPr>
          </w:p>
        </w:tc>
      </w:tr>
      <w:tr w14:paraId="23CC301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BEFED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oxygenation_index</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3CEDE6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DB38EA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1.22%</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74E6B8">
            <w:pPr>
              <w:jc w:val="left"/>
              <w:rPr>
                <w:rFonts w:hint="default" w:ascii="Times New Roman" w:hAnsi="Times New Roman" w:cs="Times New Roman"/>
                <w:sz w:val="18"/>
                <w:szCs w:val="18"/>
              </w:rPr>
            </w:pPr>
          </w:p>
        </w:tc>
      </w:tr>
      <w:tr w14:paraId="2E131C9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BAFFA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smoking</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3250F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D2572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0.41%</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AF0B662">
            <w:pPr>
              <w:jc w:val="left"/>
              <w:rPr>
                <w:rFonts w:hint="default" w:ascii="Times New Roman" w:hAnsi="Times New Roman" w:cs="Times New Roman"/>
                <w:sz w:val="18"/>
                <w:szCs w:val="18"/>
              </w:rPr>
            </w:pPr>
          </w:p>
        </w:tc>
      </w:tr>
      <w:tr w14:paraId="57FFCA9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7444C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PCT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A26DC1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EE43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0.41%</w:t>
            </w: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E2A6F0B">
            <w:pPr>
              <w:jc w:val="left"/>
              <w:rPr>
                <w:rFonts w:hint="default" w:ascii="Times New Roman" w:hAnsi="Times New Roman" w:cs="Times New Roman"/>
                <w:sz w:val="18"/>
                <w:szCs w:val="18"/>
              </w:rPr>
            </w:pPr>
          </w:p>
        </w:tc>
      </w:tr>
      <w:tr w14:paraId="7135756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single" w:color="888888" w:sz="4" w:space="0"/>
              <w:left w:val="single" w:color="888888" w:sz="4" w:space="0"/>
              <w:bottom w:val="single" w:color="888888" w:sz="4" w:space="0"/>
              <w:right w:val="single" w:color="888888" w:sz="4" w:space="0"/>
            </w:tcBorders>
            <w:shd w:val="clear" w:color="auto" w:fill="F9FAFC"/>
            <w:tcMar>
              <w:top w:w="40" w:type="dxa"/>
              <w:left w:w="70" w:type="dxa"/>
              <w:bottom w:w="40" w:type="dxa"/>
              <w:right w:w="70" w:type="dxa"/>
            </w:tcMar>
            <w:vAlign w:val="top"/>
          </w:tcPr>
          <w:p w14:paraId="18A84753">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All other variables</w:t>
            </w:r>
            <w:r>
              <w:rPr>
                <w:rFonts w:hint="default" w:ascii="Times New Roman" w:hAnsi="Times New Roman" w:eastAsia="宋体" w:cs="Times New Roman"/>
                <w:sz w:val="18"/>
                <w:szCs w:val="18"/>
              </w:rPr>
              <w:t xml:space="preserve"> (sex, age, clinical symptoms, comorbidities, TB characteristics, complications, complete blood count, albumin, liver/kidney/coagulation tests, sputum smear, derived indices, outcome) had </w:t>
            </w:r>
            <w:r>
              <w:rPr>
                <w:rStyle w:val="13"/>
                <w:rFonts w:hint="default" w:ascii="Times New Roman" w:hAnsi="Times New Roman" w:eastAsia="宋体" w:cs="Times New Roman"/>
                <w:sz w:val="18"/>
                <w:szCs w:val="18"/>
              </w:rPr>
              <w:t>0% missing</w:t>
            </w:r>
            <w:r>
              <w:rPr>
                <w:rFonts w:hint="default" w:ascii="Times New Roman" w:hAnsi="Times New Roman" w:eastAsia="宋体" w:cs="Times New Roman"/>
                <w:sz w:val="18"/>
                <w:szCs w:val="18"/>
              </w:rPr>
              <w:t xml:space="preserve"> and required no imputation.</w:t>
            </w:r>
          </w:p>
        </w:tc>
      </w:tr>
    </w:tbl>
    <w:p w14:paraId="01A08EB1">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Imputation details:</w:t>
      </w:r>
      <w:r>
        <w:rPr>
          <w:rFonts w:hint="default" w:ascii="Times New Roman" w:hAnsi="Times New Roman" w:eastAsia="宋体" w:cs="Times New Roman"/>
          <w:color w:val="1E3A5F"/>
          <w:sz w:val="19"/>
          <w:szCs w:val="19"/>
          <w:shd w:val="clear" w:fill="F9FAFC"/>
        </w:rPr>
        <w:t xml:space="preserve"> Multiple imputation by chained equations (MICE) with </w:t>
      </w:r>
      <w:r>
        <w:rPr>
          <w:rStyle w:val="14"/>
          <w:rFonts w:hint="default" w:ascii="Times New Roman" w:hAnsi="Times New Roman" w:eastAsia="宋体" w:cs="Times New Roman"/>
          <w:color w:val="1E3A5F"/>
          <w:sz w:val="19"/>
          <w:szCs w:val="19"/>
          <w:shd w:val="clear" w:fill="F9FAFC"/>
        </w:rPr>
        <w:t>m</w:t>
      </w:r>
      <w:r>
        <w:rPr>
          <w:rFonts w:hint="default" w:ascii="Times New Roman" w:hAnsi="Times New Roman" w:eastAsia="宋体" w:cs="Times New Roman"/>
          <w:color w:val="1E3A5F"/>
          <w:sz w:val="19"/>
          <w:szCs w:val="19"/>
          <w:shd w:val="clear" w:fill="F9FAFC"/>
        </w:rPr>
        <w:t xml:space="preserve"> = 5 imputed datasets and </w:t>
      </w:r>
      <w:r>
        <w:rPr>
          <w:rStyle w:val="14"/>
          <w:rFonts w:hint="default" w:ascii="Times New Roman" w:hAnsi="Times New Roman" w:eastAsia="宋体" w:cs="Times New Roman"/>
          <w:color w:val="1E3A5F"/>
          <w:sz w:val="19"/>
          <w:szCs w:val="19"/>
          <w:shd w:val="clear" w:fill="F9FAFC"/>
        </w:rPr>
        <w:t>maxit</w:t>
      </w:r>
      <w:r>
        <w:rPr>
          <w:rFonts w:hint="default" w:ascii="Times New Roman" w:hAnsi="Times New Roman" w:eastAsia="宋体" w:cs="Times New Roman"/>
          <w:color w:val="1E3A5F"/>
          <w:sz w:val="19"/>
          <w:szCs w:val="19"/>
          <w:shd w:val="clear" w:fill="F9FAFC"/>
        </w:rPr>
        <w:t xml:space="preserve"> = 20 iterations. Predictive mean matching (PMM) was used for continuous variables, and logistic regression for binary variables (smoking). The Missing At Random (MAR) assumption was considered plausible because missingness was primarily driven by routine testing protocols and clinical practice patterns. </w:t>
      </w:r>
    </w:p>
    <w:p w14:paraId="4B1A445A">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39305872">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4</w:t>
      </w:r>
      <w:r>
        <w:rPr>
          <w:rFonts w:hint="default" w:ascii="Times New Roman" w:hAnsi="Times New Roman" w:eastAsia="宋体" w:cs="Times New Roman"/>
          <w:b/>
          <w:bCs/>
          <w:sz w:val="27"/>
          <w:szCs w:val="27"/>
          <w:shd w:val="clear" w:fill="FFFFFF"/>
        </w:rPr>
        <w:t>. Boruta importance scores</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85"/>
        <w:gridCol w:w="1011"/>
        <w:gridCol w:w="1031"/>
        <w:gridCol w:w="1011"/>
        <w:gridCol w:w="1011"/>
        <w:gridCol w:w="1011"/>
        <w:gridCol w:w="1686"/>
      </w:tblGrid>
      <w:tr w14:paraId="1EA8AA5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rPr>
          <w:tblHeader/>
        </w:trPr>
        <w:tc>
          <w:tcPr>
            <w:tcW w:w="10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5FDCAA3E">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Variable</w:t>
            </w:r>
          </w:p>
        </w:tc>
        <w:tc>
          <w:tcPr>
            <w:tcW w:w="6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9F24D3B">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meanImp</w:t>
            </w:r>
          </w:p>
        </w:tc>
        <w:tc>
          <w:tcPr>
            <w:tcW w:w="6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885C4E0">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medianImp</w:t>
            </w:r>
          </w:p>
        </w:tc>
        <w:tc>
          <w:tcPr>
            <w:tcW w:w="6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047CDE4">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minImp</w:t>
            </w:r>
          </w:p>
        </w:tc>
        <w:tc>
          <w:tcPr>
            <w:tcW w:w="6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EC53EE2">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maxImp</w:t>
            </w:r>
          </w:p>
        </w:tc>
        <w:tc>
          <w:tcPr>
            <w:tcW w:w="6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69005F6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normHits</w:t>
            </w:r>
          </w:p>
        </w:tc>
        <w:tc>
          <w:tcPr>
            <w:tcW w:w="10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4A486A50">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Decision</w:t>
            </w:r>
          </w:p>
        </w:tc>
      </w:tr>
      <w:tr w14:paraId="1E76EE1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63605E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sepsis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DD2E6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12.452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5043D2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12.420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2C00A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9.887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004608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15.806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ACD5DA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96700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3973658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D7125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EA44B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10.541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E33D89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10.542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1EED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8.054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CB2A6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12.726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28EDD7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7C9E97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39918A8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9191C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myoglobin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4329D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9.167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28D582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9.148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EAF803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6.902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0036C8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11.764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91AA42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6539B3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60B52E8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50F0EE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SII</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30574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6.606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55FFC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6.551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41C3E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3.610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742CBD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9.170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EC50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0.982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8404B7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0E04975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2F0483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PCT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7FDF9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5.401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9DC42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5.458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2B6561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2.657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64C1F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7.670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84B05D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0.945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C9F69E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74DDEE7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A68924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oxygenation_index</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23924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4.825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65F48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4.902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9EEFB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2.118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EC825E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7.306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F1B31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8702E4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77FA8C1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B4300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NLR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A1DD8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4.571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666A81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4.450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E6C7A0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2.020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BA2365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7.384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037A9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1CBBC7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0847689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E5404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PLR</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68C8F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4.385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2CE65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4.400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4D980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1.956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82BD8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7.152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C63A4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0.855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0EECB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073D269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C8456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total_bilirubin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A19C37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4.132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BD514F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4.229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E5387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0.669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8D2A90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6.997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3631F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0.836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F0FAD8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2782EA8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ED4529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5C6D0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4.009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66571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4.024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39F316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1.403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59BEE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6.387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12042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0.764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026697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1D78EB6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28989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wbc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C48E3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3.896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D669B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3.963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FA3B8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0.831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DCD70C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6.058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ED230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0.827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EE0C5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567E784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18FCD7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severe_pneumonia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C34D3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3.526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D8422D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3.558</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A094D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1.385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4A24C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5.956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EA7A11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0.700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3FBC4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57A56BD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8E06C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neutrophil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1D74E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3.451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6F620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3.473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3B81A3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0.614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90C0B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6.090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159C0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0.682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A77D6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3F8B3E5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C8D213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CKMB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24E19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3.236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A1884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3.239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021982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0.687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28A18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5.157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24984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0.709</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F78A1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11C3AFE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73E73D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A274A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3.142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7ACA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3.126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F2AB1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−0.294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46033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5.720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9CEB6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0.673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B0561A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Confirmed</w:t>
            </w:r>
          </w:p>
        </w:tc>
      </w:tr>
      <w:tr w14:paraId="708D337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6535C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albumin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F332D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2.221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C5412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2.356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D8C4F1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−0.171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203275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4.275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41B196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0.300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670BC7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Rejected</w:t>
            </w:r>
          </w:p>
        </w:tc>
      </w:tr>
      <w:tr w14:paraId="7616C1D1">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47069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CRP</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4393D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2.135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9A1FB8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2.134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94A7F3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−0.354</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C2D47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4.536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326DFF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0.200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F0933C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Rejected</w:t>
            </w:r>
          </w:p>
        </w:tc>
      </w:tr>
      <w:tr w14:paraId="40B53A0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6A95F4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cavitation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7B182A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2.003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B1A8E7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1.712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29FAF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0.345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5524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3.837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D8F5C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0.055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B9A9FF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Rejected</w:t>
            </w:r>
          </w:p>
        </w:tc>
      </w:tr>
      <w:tr w14:paraId="44AEDE4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7"/>
            <w:tcBorders>
              <w:top w:val="single" w:color="888888" w:sz="4" w:space="0"/>
              <w:left w:val="single" w:color="888888" w:sz="4" w:space="0"/>
              <w:bottom w:val="single" w:color="888888" w:sz="4" w:space="0"/>
              <w:right w:val="single" w:color="888888" w:sz="4" w:space="0"/>
            </w:tcBorders>
            <w:shd w:val="clear" w:color="auto" w:fill="F9FAFC"/>
            <w:tcMar>
              <w:top w:w="40" w:type="dxa"/>
              <w:left w:w="70" w:type="dxa"/>
              <w:bottom w:w="40" w:type="dxa"/>
              <w:right w:w="70" w:type="dxa"/>
            </w:tcMar>
            <w:vAlign w:val="top"/>
          </w:tcPr>
          <w:p w14:paraId="6E3D5C4D">
            <w:pPr>
              <w:keepNext w:val="0"/>
              <w:keepLines w:val="0"/>
              <w:widowControl/>
              <w:suppressLineNumbers w:val="0"/>
              <w:jc w:val="left"/>
              <w:textAlignment w:val="top"/>
              <w:rPr>
                <w:rFonts w:hint="default" w:ascii="Times New Roman" w:hAnsi="Times New Roman" w:cs="Times New Roman"/>
                <w:sz w:val="18"/>
                <w:szCs w:val="18"/>
              </w:rPr>
            </w:pPr>
            <w:r>
              <w:rPr>
                <w:rStyle w:val="14"/>
                <w:rFonts w:hint="default" w:ascii="Times New Roman" w:hAnsi="Times New Roman" w:eastAsia="宋体" w:cs="Times New Roman"/>
                <w:sz w:val="18"/>
                <w:szCs w:val="18"/>
              </w:rPr>
              <w:t>Note: Full list of 44 variables is available. Variables with meanImp &lt; 2.0 are omitted for brevity. Albumin and sputum_smear were clinically forced into the model despite being rejected by Boruta.</w:t>
            </w:r>
          </w:p>
        </w:tc>
      </w:tr>
    </w:tbl>
    <w:p w14:paraId="39EB8DF3">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2FCD7B4A">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5</w:t>
      </w:r>
      <w:r>
        <w:rPr>
          <w:rFonts w:hint="default" w:ascii="Times New Roman" w:hAnsi="Times New Roman" w:eastAsia="宋体" w:cs="Times New Roman"/>
          <w:b/>
          <w:bCs/>
          <w:sz w:val="27"/>
          <w:szCs w:val="27"/>
          <w:shd w:val="clear" w:fill="FFFFFF"/>
        </w:rPr>
        <w:t>. Final hyperparameter settings for machine learning models</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11"/>
        <w:gridCol w:w="2534"/>
        <w:gridCol w:w="3801"/>
      </w:tblGrid>
      <w:tr w14:paraId="22A3683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rPr>
          <w:tblHeader/>
        </w:trPr>
        <w:tc>
          <w:tcPr>
            <w:tcW w:w="1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155817BA">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Model / Method</w:t>
            </w:r>
          </w:p>
        </w:tc>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9CD4891">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Parameter</w:t>
            </w:r>
          </w:p>
        </w:tc>
        <w:tc>
          <w:tcPr>
            <w:tcW w:w="2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771E8604">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Value</w:t>
            </w:r>
          </w:p>
        </w:tc>
      </w:tr>
      <w:tr w14:paraId="780E94D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3"/>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1C02825D">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Feature selection</w:t>
            </w:r>
          </w:p>
        </w:tc>
      </w:tr>
      <w:tr w14:paraId="48F2FEB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711D7E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Boruta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27798F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ntree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2512F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500</w:t>
            </w:r>
          </w:p>
        </w:tc>
      </w:tr>
      <w:tr w14:paraId="323BB6C3">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AFA2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Boruta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8BDC41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maxRuns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EE91BA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w:t>
            </w:r>
          </w:p>
        </w:tc>
      </w:tr>
      <w:tr w14:paraId="73D5B86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56C9EC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Boruta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56A86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α (significance level)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248366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0.01</w:t>
            </w:r>
          </w:p>
        </w:tc>
      </w:tr>
      <w:tr w14:paraId="7B6C881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5AABE7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Elastic Net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F0CEA6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alpha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B8732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w:t>
            </w:r>
          </w:p>
        </w:tc>
      </w:tr>
      <w:tr w14:paraId="589E5FF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E6660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Elastic Net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6AD4FE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nfolds (CV)</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7D7CAF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w:t>
            </w:r>
          </w:p>
        </w:tc>
      </w:tr>
      <w:tr w14:paraId="61F5590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3A98B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Elastic Net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AE63BD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lambda selection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D09943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lambda.min</w:t>
            </w:r>
          </w:p>
        </w:tc>
      </w:tr>
      <w:tr w14:paraId="78EF80D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gridSpan w:val="3"/>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36F141E9">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Prediction models</w:t>
            </w:r>
          </w:p>
        </w:tc>
      </w:tr>
      <w:tr w14:paraId="1C00137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5712E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Logistic Regression (glmnet)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5107E3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alpha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5CB30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xml:space="preserve">0 (ridge) / 1 (lasso) — </w:t>
            </w:r>
            <w:r>
              <w:rPr>
                <w:rStyle w:val="14"/>
                <w:rFonts w:hint="default" w:ascii="Times New Roman" w:hAnsi="Times New Roman" w:eastAsia="宋体" w:cs="Times New Roman"/>
                <w:sz w:val="18"/>
                <w:szCs w:val="18"/>
              </w:rPr>
              <w:t>standard implementation</w:t>
            </w:r>
          </w:p>
        </w:tc>
      </w:tr>
      <w:tr w14:paraId="6D3E50C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BE2D4B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Random Forest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49EE4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ntree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68F987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500</w:t>
            </w:r>
          </w:p>
        </w:tc>
      </w:tr>
      <w:tr w14:paraId="3C05D66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71B1FA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Random Forest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67104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mtry</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FB622B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floor(sqrt(number of variables))</w:t>
            </w:r>
          </w:p>
        </w:tc>
      </w:tr>
      <w:tr w14:paraId="6B82ECCE">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3D3FEE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XGBoost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D432D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nrounds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36AAC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w:t>
            </w:r>
          </w:p>
        </w:tc>
      </w:tr>
      <w:tr w14:paraId="49140A3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646146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XGBoost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4A101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max_depth</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771ABB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w:t>
            </w:r>
          </w:p>
        </w:tc>
      </w:tr>
      <w:tr w14:paraId="1665F38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51CD93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XGBoost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A0BEC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eta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E34B4A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0.1</w:t>
            </w:r>
          </w:p>
        </w:tc>
      </w:tr>
      <w:tr w14:paraId="20077D8A">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D41CC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SVM (e1071)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57B14D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kernel</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1CE512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radial</w:t>
            </w:r>
          </w:p>
        </w:tc>
      </w:tr>
      <w:tr w14:paraId="7AA587A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21D9D3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SVM (e1071)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FA38D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cost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3C3B0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w:t>
            </w:r>
          </w:p>
        </w:tc>
      </w:tr>
      <w:tr w14:paraId="0D33391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3"/>
            <w:tcBorders>
              <w:top w:val="single" w:color="888888" w:sz="4" w:space="0"/>
              <w:left w:val="single" w:color="888888" w:sz="4" w:space="0"/>
              <w:bottom w:val="single" w:color="888888" w:sz="4" w:space="0"/>
              <w:right w:val="single" w:color="888888" w:sz="4" w:space="0"/>
            </w:tcBorders>
            <w:shd w:val="clear" w:color="auto" w:fill="F0F4FA"/>
            <w:tcMar>
              <w:top w:w="40" w:type="dxa"/>
              <w:left w:w="70" w:type="dxa"/>
              <w:bottom w:w="40" w:type="dxa"/>
              <w:right w:w="70" w:type="dxa"/>
            </w:tcMar>
            <w:vAlign w:val="top"/>
          </w:tcPr>
          <w:p w14:paraId="7C86212B">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Internal validation &amp; imputation</w:t>
            </w:r>
          </w:p>
        </w:tc>
      </w:tr>
      <w:tr w14:paraId="77AA0AB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4181C7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Bootstrap</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B17A1B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number of resamples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44D4E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r>
      <w:tr w14:paraId="550660B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4ABA23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MICE imputation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98A240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 (datasets)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2CE18F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5</w:t>
            </w:r>
          </w:p>
        </w:tc>
      </w:tr>
      <w:tr w14:paraId="14C9007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C157A7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MICE imputation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E8DE6A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maxit (iterations)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B3DC9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20</w:t>
            </w:r>
          </w:p>
        </w:tc>
      </w:tr>
    </w:tbl>
    <w:p w14:paraId="160E6EF2">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Note:</w:t>
      </w:r>
      <w:r>
        <w:rPr>
          <w:rFonts w:hint="default" w:ascii="Times New Roman" w:hAnsi="Times New Roman" w:eastAsia="宋体" w:cs="Times New Roman"/>
          <w:color w:val="1E3A5F"/>
          <w:sz w:val="19"/>
          <w:szCs w:val="19"/>
          <w:shd w:val="clear" w:fill="F9FAFC"/>
        </w:rPr>
        <w:t xml:space="preserve"> All models were developed in R version 4.5.3. Hyperparameters were optimised via 10</w:t>
      </w:r>
      <w:r>
        <w:rPr>
          <w:rFonts w:hint="default" w:ascii="Times New Roman" w:hAnsi="Times New Roman" w:eastAsia="宋体" w:cs="Times New Roman"/>
          <w:color w:val="1E3A5F"/>
          <w:sz w:val="19"/>
          <w:szCs w:val="19"/>
          <w:shd w:val="clear" w:fill="F9FAFC"/>
        </w:rPr>
        <w:noBreakHyphen/>
      </w:r>
      <w:r>
        <w:rPr>
          <w:rFonts w:hint="default" w:ascii="Times New Roman" w:hAnsi="Times New Roman" w:eastAsia="宋体" w:cs="Times New Roman"/>
          <w:color w:val="1E3A5F"/>
          <w:sz w:val="19"/>
          <w:szCs w:val="19"/>
          <w:shd w:val="clear" w:fill="F9FAFC"/>
        </w:rPr>
        <w:t>fold cross</w:t>
      </w:r>
      <w:r>
        <w:rPr>
          <w:rFonts w:hint="default" w:ascii="Times New Roman" w:hAnsi="Times New Roman" w:eastAsia="宋体" w:cs="Times New Roman"/>
          <w:color w:val="1E3A5F"/>
          <w:sz w:val="19"/>
          <w:szCs w:val="19"/>
          <w:shd w:val="clear" w:fill="F9FAFC"/>
        </w:rPr>
        <w:noBreakHyphen/>
      </w:r>
      <w:r>
        <w:rPr>
          <w:rFonts w:hint="default" w:ascii="Times New Roman" w:hAnsi="Times New Roman" w:eastAsia="宋体" w:cs="Times New Roman"/>
          <w:color w:val="1E3A5F"/>
          <w:sz w:val="19"/>
          <w:szCs w:val="19"/>
          <w:shd w:val="clear" w:fill="F9FAFC"/>
        </w:rPr>
        <w:t xml:space="preserve">validation within the training data. Class weighting was applied where applicable to address outcome imbalance. </w:t>
      </w:r>
    </w:p>
    <w:p w14:paraId="19F0D922">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3EAED5B6">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S6. Additional parameterisations of SII</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815"/>
        <w:gridCol w:w="1408"/>
        <w:gridCol w:w="2815"/>
        <w:gridCol w:w="1408"/>
      </w:tblGrid>
      <w:tr w14:paraId="5D7AEF5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C1A206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Parameterisation</w:t>
            </w:r>
          </w:p>
        </w:tc>
        <w:tc>
          <w:tcPr>
            <w:tcW w:w="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086BB2A3">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OR</w:t>
            </w:r>
          </w:p>
        </w:tc>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41AFEB33">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95% CI</w:t>
            </w:r>
          </w:p>
        </w:tc>
        <w:tc>
          <w:tcPr>
            <w:tcW w:w="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D343939">
            <w:pPr>
              <w:keepNext w:val="0"/>
              <w:keepLines w:val="0"/>
              <w:widowControl/>
              <w:suppressLineNumbers w:val="0"/>
              <w:jc w:val="center"/>
              <w:textAlignment w:val="top"/>
              <w:rPr>
                <w:rFonts w:hint="default" w:ascii="Times New Roman" w:hAnsi="Times New Roman" w:cs="Times New Roman"/>
                <w:b/>
                <w:bCs/>
                <w:sz w:val="18"/>
                <w:szCs w:val="18"/>
              </w:rPr>
            </w:pPr>
            <w:r>
              <w:rPr>
                <w:rStyle w:val="14"/>
                <w:rFonts w:hint="default" w:ascii="Times New Roman" w:hAnsi="Times New Roman" w:eastAsia="宋体" w:cs="Times New Roman"/>
                <w:b/>
                <w:bCs/>
                <w:sz w:val="18"/>
                <w:szCs w:val="18"/>
              </w:rPr>
              <w:t>P</w:t>
            </w:r>
            <w:r>
              <w:rPr>
                <w:rFonts w:hint="default" w:ascii="Times New Roman" w:hAnsi="Times New Roman" w:eastAsia="宋体" w:cs="Times New Roman"/>
                <w:b/>
                <w:bCs/>
                <w:sz w:val="18"/>
                <w:szCs w:val="18"/>
              </w:rPr>
              <w:t xml:space="preserve"> value</w:t>
            </w:r>
          </w:p>
        </w:tc>
      </w:tr>
      <w:tr w14:paraId="71070CC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AAC3C1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Per IQR increase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C6D25A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29924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0.993 – 1.007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3F0769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0.953</w:t>
            </w:r>
          </w:p>
        </w:tc>
      </w:tr>
      <w:tr w14:paraId="783DB1B5">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F9884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Per 100-unit increase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A3EC14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C83ADDC">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1.000 – 1.000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D6F245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0.953</w:t>
            </w:r>
          </w:p>
        </w:tc>
      </w:tr>
      <w:tr w14:paraId="1AAFE7A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66DAA3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Log-transformed (log(SII+1))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0B332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1.125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067F83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0.882 – 1.435</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3B16D1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0.342</w:t>
            </w:r>
          </w:p>
        </w:tc>
      </w:tr>
    </w:tbl>
    <w:p w14:paraId="352DD1E6">
      <w:pPr>
        <w:pStyle w:val="10"/>
        <w:keepNext w:val="0"/>
        <w:keepLines w:val="0"/>
        <w:widowControl/>
        <w:suppressLineNumbers w:val="0"/>
        <w:rPr>
          <w:sz w:val="18"/>
          <w:szCs w:val="18"/>
        </w:rPr>
      </w:pPr>
      <w:r>
        <w:rPr>
          <w:rStyle w:val="14"/>
          <w:rFonts w:hint="default" w:ascii="Times New Roman" w:hAnsi="Times New Roman" w:cs="Times New Roman"/>
          <w:sz w:val="18"/>
          <w:szCs w:val="18"/>
          <w:shd w:val="clear" w:fill="FFFFFF"/>
        </w:rPr>
        <w:t>Data extracted from multivariable logistic regression models. All models were adjusted for sepsis, MODS, oxygenation index, albumin, and sputum smear positivity.</w:t>
      </w:r>
    </w:p>
    <w:p w14:paraId="21627F75">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5DD06887">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7</w:t>
      </w:r>
      <w:r>
        <w:rPr>
          <w:rFonts w:hint="default" w:ascii="Times New Roman" w:hAnsi="Times New Roman" w:eastAsia="宋体" w:cs="Times New Roman"/>
          <w:b/>
          <w:bCs/>
          <w:sz w:val="27"/>
          <w:szCs w:val="27"/>
          <w:shd w:val="clear" w:fill="FFFFFF"/>
        </w:rPr>
        <w:t>. Elastic net coefficients</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11"/>
        <w:gridCol w:w="1689"/>
        <w:gridCol w:w="2534"/>
        <w:gridCol w:w="2112"/>
      </w:tblGrid>
      <w:tr w14:paraId="4AD2E40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2A56D0E7">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Model selection criterion</w:t>
            </w:r>
          </w:p>
        </w:tc>
        <w:tc>
          <w:tcPr>
            <w:tcW w:w="10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355E0F6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λ value</w:t>
            </w:r>
          </w:p>
        </w:tc>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10EA27C6">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Variables retained (non-zero coefficients)</w:t>
            </w:r>
          </w:p>
        </w:tc>
        <w:tc>
          <w:tcPr>
            <w:tcW w:w="1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0974A76F">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Elastic net coefficient (β)</w:t>
            </w:r>
          </w:p>
        </w:tc>
      </w:tr>
      <w:tr w14:paraId="4BF0B668">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6C1BF8C">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λ.min</w:t>
            </w:r>
            <w:r>
              <w:rPr>
                <w:rFonts w:hint="default" w:ascii="Times New Roman" w:hAnsi="Times New Roman" w:eastAsia="宋体" w:cs="Times New Roman"/>
                <w:sz w:val="18"/>
                <w:szCs w:val="18"/>
              </w:rPr>
              <w:t xml:space="preserve"> (minimum binomial deviance)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0487EE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0.0292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1325E4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14 non</w:t>
            </w:r>
            <w:r>
              <w:rPr>
                <w:rFonts w:hint="default" w:ascii="Times New Roman" w:hAnsi="Times New Roman" w:eastAsia="宋体" w:cs="Times New Roman"/>
                <w:sz w:val="18"/>
                <w:szCs w:val="18"/>
              </w:rPr>
              <w:noBreakHyphen/>
            </w:r>
            <w:r>
              <w:rPr>
                <w:rFonts w:hint="default" w:ascii="Times New Roman" w:hAnsi="Times New Roman" w:eastAsia="宋体" w:cs="Times New Roman"/>
                <w:sz w:val="18"/>
                <w:szCs w:val="18"/>
              </w:rPr>
              <w:t>zero coefficient variables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5821E68">
            <w:pPr>
              <w:keepNext w:val="0"/>
              <w:keepLines w:val="0"/>
              <w:widowControl/>
              <w:suppressLineNumbers w:val="0"/>
              <w:jc w:val="left"/>
              <w:textAlignment w:val="top"/>
              <w:rPr>
                <w:rFonts w:hint="default" w:ascii="Times New Roman" w:hAnsi="Times New Roman" w:cs="Times New Roman"/>
                <w:sz w:val="18"/>
                <w:szCs w:val="18"/>
              </w:rPr>
            </w:pPr>
            <w:r>
              <w:rPr>
                <w:rStyle w:val="14"/>
                <w:rFonts w:hint="default" w:ascii="Times New Roman" w:hAnsi="Times New Roman" w:eastAsia="宋体" w:cs="Times New Roman"/>
                <w:sz w:val="18"/>
                <w:szCs w:val="18"/>
              </w:rPr>
              <w:t>See note¹</w:t>
            </w:r>
          </w:p>
        </w:tc>
      </w:tr>
      <w:tr w14:paraId="563C9B7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vMerge w:val="restart"/>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E55F05">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λ.1se</w:t>
            </w:r>
            <w:r>
              <w:rPr>
                <w:rFonts w:hint="default" w:ascii="Times New Roman" w:hAnsi="Times New Roman" w:eastAsia="宋体" w:cs="Times New Roman"/>
                <w:sz w:val="18"/>
                <w:szCs w:val="18"/>
              </w:rPr>
              <w:t xml:space="preserve"> (most parsimonious model)</w:t>
            </w:r>
          </w:p>
        </w:tc>
        <w:tc>
          <w:tcPr>
            <w:tcW w:w="0" w:type="auto"/>
            <w:vMerge w:val="restart"/>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C7F10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0.0892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CAA004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Sepsis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A4FF606">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1.00</w:t>
            </w:r>
          </w:p>
        </w:tc>
      </w:tr>
      <w:tr w14:paraId="7DCCAFF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FAC85D1">
            <w:pPr>
              <w:jc w:val="left"/>
              <w:rPr>
                <w:rFonts w:hint="default" w:ascii="Times New Roman" w:hAnsi="Times New Roman" w:cs="Times New Roman"/>
                <w:sz w:val="18"/>
                <w:szCs w:val="18"/>
              </w:rPr>
            </w:pP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E1DB7C5">
            <w:pPr>
              <w:jc w:val="left"/>
              <w:rPr>
                <w:rFonts w:hint="default" w:ascii="Times New Roman" w:hAnsi="Times New Roman" w:cs="Times New Roman"/>
                <w:sz w:val="18"/>
                <w:szCs w:val="18"/>
              </w:rPr>
            </w:pP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5476A8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60772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0.62</w:t>
            </w:r>
          </w:p>
        </w:tc>
      </w:tr>
      <w:tr w14:paraId="57A8F55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59B85C6">
            <w:pPr>
              <w:jc w:val="left"/>
              <w:rPr>
                <w:rFonts w:hint="default" w:ascii="Times New Roman" w:hAnsi="Times New Roman" w:cs="Times New Roman"/>
                <w:sz w:val="18"/>
                <w:szCs w:val="18"/>
              </w:rPr>
            </w:pPr>
          </w:p>
        </w:tc>
        <w:tc>
          <w:tcPr>
            <w:tcW w:w="0" w:type="auto"/>
            <w:vMerge w:val="continue"/>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1D54A6">
            <w:pPr>
              <w:jc w:val="left"/>
              <w:rPr>
                <w:rFonts w:hint="default" w:ascii="Times New Roman" w:hAnsi="Times New Roman" w:cs="Times New Roman"/>
                <w:sz w:val="18"/>
                <w:szCs w:val="18"/>
              </w:rPr>
            </w:pP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02827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CKMB</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1373592">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0.001</w:t>
            </w:r>
          </w:p>
        </w:tc>
      </w:tr>
    </w:tbl>
    <w:p w14:paraId="3BBA5DC0">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Notes:</w:t>
      </w:r>
      <w:r>
        <w:rPr>
          <w:rFonts w:hint="default" w:ascii="Times New Roman" w:hAnsi="Times New Roman" w:eastAsia="宋体" w:cs="Times New Roman"/>
          <w:color w:val="1E3A5F"/>
          <w:sz w:val="19"/>
          <w:szCs w:val="19"/>
          <w:bdr w:val="single" w:color="1A5C8C" w:sz="18" w:space="0"/>
          <w:shd w:val="clear" w:fill="F9FAFC"/>
        </w:rPr>
        <w:br w:type="textWrapping"/>
      </w:r>
      <w:r>
        <w:rPr>
          <w:rFonts w:hint="default" w:ascii="Times New Roman" w:hAnsi="Times New Roman" w:eastAsia="宋体" w:cs="Times New Roman"/>
          <w:color w:val="1E3A5F"/>
          <w:sz w:val="19"/>
          <w:szCs w:val="19"/>
          <w:shd w:val="clear" w:fill="F9FAFC"/>
        </w:rPr>
        <w:t>¹ The λ.min model retained 14 non</w:t>
      </w:r>
      <w:r>
        <w:rPr>
          <w:rFonts w:hint="default" w:ascii="Times New Roman" w:hAnsi="Times New Roman" w:eastAsia="宋体" w:cs="Times New Roman"/>
          <w:color w:val="1E3A5F"/>
          <w:sz w:val="19"/>
          <w:szCs w:val="19"/>
          <w:shd w:val="clear" w:fill="F9FAFC"/>
        </w:rPr>
        <w:noBreakHyphen/>
      </w:r>
      <w:r>
        <w:rPr>
          <w:rFonts w:hint="default" w:ascii="Times New Roman" w:hAnsi="Times New Roman" w:eastAsia="宋体" w:cs="Times New Roman"/>
          <w:color w:val="1E3A5F"/>
          <w:sz w:val="19"/>
          <w:szCs w:val="19"/>
          <w:shd w:val="clear" w:fill="F9FAFC"/>
        </w:rPr>
        <w:t>zero coefficient variables. The λ.1se model was selected as the final model because it provides a more parsimonious solution with comparable predictive performance.</w:t>
      </w:r>
      <w:r>
        <w:rPr>
          <w:rFonts w:hint="default" w:ascii="Times New Roman" w:hAnsi="Times New Roman" w:eastAsia="宋体" w:cs="Times New Roman"/>
          <w:color w:val="1E3A5F"/>
          <w:sz w:val="19"/>
          <w:szCs w:val="19"/>
          <w:bdr w:val="single" w:color="1A5C8C" w:sz="18" w:space="0"/>
          <w:shd w:val="clear" w:fill="F9FAFC"/>
        </w:rPr>
        <w:br w:type="textWrapping"/>
      </w:r>
      <w:r>
        <w:rPr>
          <w:rStyle w:val="13"/>
          <w:rFonts w:hint="default" w:ascii="Times New Roman" w:hAnsi="Times New Roman" w:eastAsia="宋体" w:cs="Times New Roman"/>
          <w:color w:val="1E3A5F"/>
          <w:sz w:val="19"/>
          <w:szCs w:val="19"/>
          <w:shd w:val="clear" w:fill="F9FAFC"/>
        </w:rPr>
        <w:t>Data source:</w:t>
      </w:r>
      <w:r>
        <w:rPr>
          <w:rFonts w:hint="default" w:ascii="Times New Roman" w:hAnsi="Times New Roman" w:eastAsia="宋体" w:cs="Times New Roman"/>
          <w:color w:val="1E3A5F"/>
          <w:sz w:val="19"/>
          <w:szCs w:val="19"/>
          <w:shd w:val="clear" w:fill="F9FAFC"/>
        </w:rPr>
        <w:t xml:space="preserve"> Elastic net regularised logistic regression (α = 0.9) with 10</w:t>
      </w:r>
      <w:r>
        <w:rPr>
          <w:rFonts w:hint="default" w:ascii="Times New Roman" w:hAnsi="Times New Roman" w:eastAsia="宋体" w:cs="Times New Roman"/>
          <w:color w:val="1E3A5F"/>
          <w:sz w:val="19"/>
          <w:szCs w:val="19"/>
          <w:shd w:val="clear" w:fill="F9FAFC"/>
        </w:rPr>
        <w:noBreakHyphen/>
      </w:r>
      <w:r>
        <w:rPr>
          <w:rFonts w:hint="default" w:ascii="Times New Roman" w:hAnsi="Times New Roman" w:eastAsia="宋体" w:cs="Times New Roman"/>
          <w:color w:val="1E3A5F"/>
          <w:sz w:val="19"/>
          <w:szCs w:val="19"/>
          <w:shd w:val="clear" w:fill="F9FAFC"/>
        </w:rPr>
        <w:t>fold cross</w:t>
      </w:r>
      <w:r>
        <w:rPr>
          <w:rFonts w:hint="default" w:ascii="Times New Roman" w:hAnsi="Times New Roman" w:eastAsia="宋体" w:cs="Times New Roman"/>
          <w:color w:val="1E3A5F"/>
          <w:sz w:val="19"/>
          <w:szCs w:val="19"/>
          <w:shd w:val="clear" w:fill="F9FAFC"/>
        </w:rPr>
        <w:noBreakHyphen/>
      </w:r>
      <w:r>
        <w:rPr>
          <w:rFonts w:hint="default" w:ascii="Times New Roman" w:hAnsi="Times New Roman" w:eastAsia="宋体" w:cs="Times New Roman"/>
          <w:color w:val="1E3A5F"/>
          <w:sz w:val="19"/>
          <w:szCs w:val="19"/>
          <w:shd w:val="clear" w:fill="F9FAFC"/>
        </w:rPr>
        <w:t xml:space="preserve">validation, pooled across five imputed datasets using Rubin's rules. </w:t>
      </w:r>
    </w:p>
    <w:p w14:paraId="1CCA455F">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5E753D30">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8</w:t>
      </w:r>
      <w:r>
        <w:rPr>
          <w:rFonts w:hint="default" w:ascii="Times New Roman" w:hAnsi="Times New Roman" w:eastAsia="宋体" w:cs="Times New Roman"/>
          <w:b/>
          <w:bCs/>
          <w:sz w:val="27"/>
          <w:szCs w:val="27"/>
          <w:shd w:val="clear" w:fill="FFFFFF"/>
        </w:rPr>
        <w:t>. R packages used</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33"/>
        <w:gridCol w:w="2112"/>
        <w:gridCol w:w="3801"/>
      </w:tblGrid>
      <w:tr w14:paraId="1D82F9E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62425911">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R package</w:t>
            </w:r>
          </w:p>
        </w:tc>
        <w:tc>
          <w:tcPr>
            <w:tcW w:w="1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69107BF8">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Version</w:t>
            </w:r>
          </w:p>
        </w:tc>
        <w:tc>
          <w:tcPr>
            <w:tcW w:w="22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466EA385">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Purpose</w:t>
            </w:r>
          </w:p>
        </w:tc>
      </w:tr>
      <w:tr w14:paraId="69DE2170">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F30D01B">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mice</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B0672A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3.19.0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4DF819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Multiple imputation by chained equations (MICE)</w:t>
            </w:r>
          </w:p>
        </w:tc>
      </w:tr>
      <w:tr w14:paraId="5C3C3E6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7E714D2">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Boruta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8AC87D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9.0.0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0C1A4A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Feature selection (Random Forest framework)</w:t>
            </w:r>
          </w:p>
        </w:tc>
      </w:tr>
      <w:tr w14:paraId="622E619D">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1421A17">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glmnet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453535A">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4.1-10</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25E5B10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Elastic net regularisation + Logistic regression</w:t>
            </w:r>
          </w:p>
        </w:tc>
      </w:tr>
      <w:tr w14:paraId="434ABA8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8C3C477">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randomForest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BB530C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4.7-1.2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9D74238">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Random Forest model</w:t>
            </w:r>
          </w:p>
        </w:tc>
      </w:tr>
      <w:tr w14:paraId="1BA0F13F">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8786530">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xgboost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C399C0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3.2.1.1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5857A9E">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XGBoost model</w:t>
            </w:r>
          </w:p>
        </w:tc>
      </w:tr>
      <w:tr w14:paraId="34F3601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808D09A">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e1071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9516FC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1.7-17</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1A144C5D">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Support Vector Machine (SVM)</w:t>
            </w:r>
          </w:p>
        </w:tc>
      </w:tr>
      <w:tr w14:paraId="2FED80F6">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14FFFE3">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pROC</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92599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1.19.0.1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E0EDB5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ROC curves and AUC calculation</w:t>
            </w:r>
          </w:p>
        </w:tc>
      </w:tr>
      <w:tr w14:paraId="7E4D159C">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630947">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shapviz</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52D5D6B">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0.10.3</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37EC324">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SHAP visualisation</w:t>
            </w:r>
          </w:p>
        </w:tc>
      </w:tr>
      <w:tr w14:paraId="0512459B">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3A23002">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rmda</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78B3D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1.6</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7B285E5">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Decision curve analysis (DCA)</w:t>
            </w:r>
          </w:p>
        </w:tc>
      </w:tr>
      <w:tr w14:paraId="2A957DF9">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7B315A5C">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rms</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4AD6CFEF">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8.1-1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42BAC60">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Calibration curves and model validation</w:t>
            </w:r>
          </w:p>
        </w:tc>
      </w:tr>
      <w:tr w14:paraId="6BF48812">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E4417B4">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caret</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09C5B1">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7.0-1</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3FA1DCA3">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Model training and cross</w:t>
            </w:r>
            <w:r>
              <w:rPr>
                <w:rFonts w:hint="default" w:ascii="Times New Roman" w:hAnsi="Times New Roman" w:eastAsia="宋体" w:cs="Times New Roman"/>
                <w:sz w:val="18"/>
                <w:szCs w:val="18"/>
              </w:rPr>
              <w:noBreakHyphen/>
            </w:r>
            <w:r>
              <w:rPr>
                <w:rFonts w:hint="default" w:ascii="Times New Roman" w:hAnsi="Times New Roman" w:eastAsia="宋体" w:cs="Times New Roman"/>
                <w:sz w:val="18"/>
                <w:szCs w:val="18"/>
              </w:rPr>
              <w:t>validation framework</w:t>
            </w:r>
          </w:p>
        </w:tc>
      </w:tr>
    </w:tbl>
    <w:p w14:paraId="7FBF1273">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Note:</w:t>
      </w:r>
      <w:r>
        <w:rPr>
          <w:rFonts w:hint="default" w:ascii="Times New Roman" w:hAnsi="Times New Roman" w:eastAsia="宋体" w:cs="Times New Roman"/>
          <w:color w:val="1E3A5F"/>
          <w:sz w:val="19"/>
          <w:szCs w:val="19"/>
          <w:shd w:val="clear" w:fill="F9FAFC"/>
        </w:rPr>
        <w:t xml:space="preserve"> All analyses were performed in R version 4.5.3 (2026-03-11) on Windows 10 x64. Package versions were obtained from </w:t>
      </w:r>
      <w:r>
        <w:rPr>
          <w:rStyle w:val="15"/>
          <w:rFonts w:hint="default" w:ascii="Times New Roman" w:hAnsi="Times New Roman" w:eastAsia="宋体" w:cs="Times New Roman"/>
          <w:color w:val="1E3A5F"/>
          <w:sz w:val="19"/>
          <w:szCs w:val="19"/>
          <w:shd w:val="clear" w:fill="F9FAFC"/>
        </w:rPr>
        <w:t>sessionInfo()</w:t>
      </w:r>
      <w:r>
        <w:rPr>
          <w:rFonts w:hint="default" w:ascii="Times New Roman" w:hAnsi="Times New Roman" w:eastAsia="宋体" w:cs="Times New Roman"/>
          <w:color w:val="1E3A5F"/>
          <w:sz w:val="19"/>
          <w:szCs w:val="19"/>
          <w:shd w:val="clear" w:fill="F9FAFC"/>
        </w:rPr>
        <w:t xml:space="preserve">. Only packages directly used for analysis and modelling are listed; dependent packages are omitted for brevity. </w:t>
      </w:r>
    </w:p>
    <w:p w14:paraId="5C52E9D0">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6FCE51D9">
      <w:pPr>
        <w:keepNext w:val="0"/>
        <w:keepLines w:val="0"/>
        <w:widowControl/>
        <w:suppressLineNumbers w:val="0"/>
        <w:pBdr>
          <w:top w:val="none" w:color="auto" w:sz="0" w:space="0"/>
          <w:left w:val="none" w:color="auto" w:sz="0" w:space="0"/>
          <w:bottom w:val="single" w:color="D0D7E2" w:sz="4" w:space="2"/>
          <w:right w:val="none" w:color="auto" w:sz="0" w:space="0"/>
        </w:pBdr>
        <w:shd w:val="clear" w:fill="FFFFFF"/>
        <w:spacing w:before="240" w:beforeAutospacing="0" w:after="80" w:afterAutospacing="0"/>
        <w:ind w:left="0" w:right="0"/>
        <w:jc w:val="left"/>
        <w:rPr>
          <w:rFonts w:hint="default" w:ascii="Times New Roman" w:hAnsi="Times New Roman" w:cs="Times New Roman"/>
          <w:b/>
          <w:bCs/>
          <w:sz w:val="27"/>
          <w:szCs w:val="27"/>
        </w:rPr>
      </w:pPr>
      <w:r>
        <w:rPr>
          <w:rFonts w:hint="default" w:ascii="Times New Roman" w:hAnsi="Times New Roman" w:eastAsia="宋体" w:cs="Times New Roman"/>
          <w:b/>
          <w:bCs/>
          <w:sz w:val="27"/>
          <w:szCs w:val="27"/>
          <w:shd w:val="clear" w:fill="FFFFFF"/>
        </w:rPr>
        <w:t>Supplementary Table S</w:t>
      </w:r>
      <w:r>
        <w:rPr>
          <w:rFonts w:hint="eastAsia" w:ascii="Times New Roman" w:hAnsi="Times New Roman" w:eastAsia="宋体" w:cs="Times New Roman"/>
          <w:b/>
          <w:bCs/>
          <w:sz w:val="27"/>
          <w:szCs w:val="27"/>
          <w:shd w:val="clear" w:fill="FFFFFF"/>
          <w:lang w:val="en-US" w:eastAsia="zh-CN"/>
        </w:rPr>
        <w:t>9</w:t>
      </w:r>
      <w:r>
        <w:rPr>
          <w:rFonts w:hint="default" w:ascii="Times New Roman" w:hAnsi="Times New Roman" w:eastAsia="宋体" w:cs="Times New Roman"/>
          <w:b/>
          <w:bCs/>
          <w:sz w:val="27"/>
          <w:szCs w:val="27"/>
          <w:shd w:val="clear" w:fill="FFFFFF"/>
        </w:rPr>
        <w:t>. Logistic regression model intercept</w:t>
      </w:r>
    </w:p>
    <w:tbl>
      <w:tblPr>
        <w:tblStyle w:val="11"/>
        <w:tblW w:w="5000" w:type="pct"/>
        <w:tblInd w:w="0" w:type="dxa"/>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34"/>
        <w:gridCol w:w="2956"/>
        <w:gridCol w:w="2956"/>
      </w:tblGrid>
      <w:tr w14:paraId="0DC5D8A4">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50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1197A813">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Model</w:t>
            </w:r>
          </w:p>
        </w:tc>
        <w:tc>
          <w:tcPr>
            <w:tcW w:w="1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676372DF">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Intercept</w:t>
            </w:r>
          </w:p>
        </w:tc>
        <w:tc>
          <w:tcPr>
            <w:tcW w:w="1750" w:type="pct"/>
            <w:tcBorders>
              <w:top w:val="single" w:color="888888" w:sz="4" w:space="0"/>
              <w:left w:val="single" w:color="888888" w:sz="4" w:space="0"/>
              <w:bottom w:val="single" w:color="888888" w:sz="4" w:space="0"/>
              <w:right w:val="single" w:color="888888" w:sz="4" w:space="0"/>
            </w:tcBorders>
            <w:shd w:val="clear" w:color="auto" w:fill="E9EDF4"/>
            <w:tcMar>
              <w:top w:w="40" w:type="dxa"/>
              <w:left w:w="70" w:type="dxa"/>
              <w:bottom w:w="40" w:type="dxa"/>
              <w:right w:w="70" w:type="dxa"/>
            </w:tcMar>
            <w:vAlign w:val="top"/>
          </w:tcPr>
          <w:p w14:paraId="692A4598">
            <w:pPr>
              <w:keepNext w:val="0"/>
              <w:keepLines w:val="0"/>
              <w:widowControl/>
              <w:suppressLineNumbers w:val="0"/>
              <w:jc w:val="center"/>
              <w:textAlignment w:val="top"/>
              <w:rPr>
                <w:rFonts w:hint="default" w:ascii="Times New Roman" w:hAnsi="Times New Roman" w:cs="Times New Roman"/>
                <w:b/>
                <w:bCs/>
                <w:sz w:val="18"/>
                <w:szCs w:val="18"/>
              </w:rPr>
            </w:pPr>
            <w:r>
              <w:rPr>
                <w:rFonts w:hint="default" w:ascii="Times New Roman" w:hAnsi="Times New Roman" w:eastAsia="宋体" w:cs="Times New Roman"/>
                <w:b/>
                <w:bCs/>
                <w:sz w:val="18"/>
                <w:szCs w:val="18"/>
              </w:rPr>
              <w:t>Note</w:t>
            </w:r>
          </w:p>
        </w:tc>
      </w:tr>
      <w:tr w14:paraId="15F94BE7">
        <w:tblPrEx>
          <w:tblBorders>
            <w:top w:val="single" w:color="888888" w:sz="4" w:space="0"/>
            <w:left w:val="single" w:color="888888" w:sz="4" w:space="0"/>
            <w:bottom w:val="single" w:color="888888" w:sz="4" w:space="0"/>
            <w:right w:val="single" w:color="888888"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69215FB7">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Multivariable Logistic Regression</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0AA3E412">
            <w:pPr>
              <w:keepNext w:val="0"/>
              <w:keepLines w:val="0"/>
              <w:widowControl/>
              <w:suppressLineNumbers w:val="0"/>
              <w:jc w:val="left"/>
              <w:textAlignment w:val="top"/>
              <w:rPr>
                <w:rFonts w:hint="default" w:ascii="Times New Roman" w:hAnsi="Times New Roman" w:cs="Times New Roman"/>
                <w:sz w:val="18"/>
                <w:szCs w:val="18"/>
              </w:rPr>
            </w:pPr>
            <w:r>
              <w:rPr>
                <w:rStyle w:val="13"/>
                <w:rFonts w:hint="default" w:ascii="Times New Roman" w:hAnsi="Times New Roman" w:eastAsia="宋体" w:cs="Times New Roman"/>
                <w:sz w:val="18"/>
                <w:szCs w:val="18"/>
              </w:rPr>
              <w:t>−1.742</w:t>
            </w:r>
          </w:p>
        </w:tc>
        <w:tc>
          <w:tcPr>
            <w:tcW w:w="0" w:type="auto"/>
            <w:tcBorders>
              <w:top w:val="single" w:color="888888" w:sz="4" w:space="0"/>
              <w:left w:val="single" w:color="888888" w:sz="4" w:space="0"/>
              <w:bottom w:val="single" w:color="888888" w:sz="4" w:space="0"/>
              <w:right w:val="single" w:color="888888" w:sz="4" w:space="0"/>
            </w:tcBorders>
            <w:shd w:val="clear" w:color="auto" w:fill="auto"/>
            <w:tcMar>
              <w:top w:w="40" w:type="dxa"/>
              <w:left w:w="70" w:type="dxa"/>
              <w:bottom w:w="40" w:type="dxa"/>
              <w:right w:w="70" w:type="dxa"/>
            </w:tcMar>
            <w:vAlign w:val="top"/>
          </w:tcPr>
          <w:p w14:paraId="5CECB5A9">
            <w:pPr>
              <w:keepNext w:val="0"/>
              <w:keepLines w:val="0"/>
              <w:widowControl/>
              <w:suppressLineNumbers w:val="0"/>
              <w:jc w:val="left"/>
              <w:textAlignment w:val="top"/>
              <w:rPr>
                <w:rFonts w:hint="default" w:ascii="Times New Roman" w:hAnsi="Times New Roman" w:cs="Times New Roman"/>
                <w:sz w:val="18"/>
                <w:szCs w:val="18"/>
              </w:rPr>
            </w:pPr>
            <w:r>
              <w:rPr>
                <w:rFonts w:hint="default" w:ascii="Times New Roman" w:hAnsi="Times New Roman" w:eastAsia="宋体" w:cs="Times New Roman"/>
                <w:sz w:val="18"/>
                <w:szCs w:val="18"/>
              </w:rPr>
              <w:t xml:space="preserve">For manual calculation of predicted probability: </w:t>
            </w:r>
            <w:r>
              <w:rPr>
                <w:rStyle w:val="14"/>
                <w:rFonts w:hint="default" w:ascii="Times New Roman" w:hAnsi="Times New Roman" w:eastAsia="宋体" w:cs="Times New Roman"/>
                <w:sz w:val="18"/>
                <w:szCs w:val="18"/>
              </w:rPr>
              <w:t>P</w:t>
            </w:r>
            <w:r>
              <w:rPr>
                <w:rFonts w:hint="default" w:ascii="Times New Roman" w:hAnsi="Times New Roman" w:eastAsia="宋体" w:cs="Times New Roman"/>
                <w:sz w:val="18"/>
                <w:szCs w:val="18"/>
              </w:rPr>
              <w:t xml:space="preserve"> = 1 / (1 + exp(−(−1.742 + β₁X₁ + …)))</w:t>
            </w:r>
          </w:p>
        </w:tc>
      </w:tr>
    </w:tbl>
    <w:p w14:paraId="67418390">
      <w:pPr>
        <w:keepNext w:val="0"/>
        <w:keepLines w:val="0"/>
        <w:widowControl/>
        <w:suppressLineNumbers w:val="0"/>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rPr>
          <w:rFonts w:hint="default" w:ascii="Times New Roman" w:hAnsi="Times New Roman" w:cs="Times New Roman"/>
          <w:color w:val="1E3A5F"/>
          <w:sz w:val="19"/>
          <w:szCs w:val="19"/>
        </w:rPr>
      </w:pPr>
      <w:r>
        <w:rPr>
          <w:rStyle w:val="13"/>
          <w:rFonts w:hint="default" w:ascii="Times New Roman" w:hAnsi="Times New Roman" w:eastAsia="宋体" w:cs="Times New Roman"/>
          <w:color w:val="1E3A5F"/>
          <w:sz w:val="19"/>
          <w:szCs w:val="19"/>
          <w:shd w:val="clear" w:fill="F9FAFC"/>
        </w:rPr>
        <w:t>Data source:</w:t>
      </w:r>
      <w:r>
        <w:rPr>
          <w:rFonts w:hint="default" w:ascii="Times New Roman" w:hAnsi="Times New Roman" w:eastAsia="宋体" w:cs="Times New Roman"/>
          <w:color w:val="1E3A5F"/>
          <w:sz w:val="19"/>
          <w:szCs w:val="19"/>
          <w:shd w:val="clear" w:fill="F9FAFC"/>
        </w:rPr>
        <w:t xml:space="preserve"> Intercept from the final logistic regression model fitted on the full cohort (six predictors: sepsis, MODS, oxygenation index, albumin, sputum smear, SII). Coefficients for each predictor are provided in Table 2 of the main manuscript. </w:t>
      </w:r>
    </w:p>
    <w:p w14:paraId="29204625">
      <w:pPr>
        <w:keepNext w:val="0"/>
        <w:keepLines w:val="0"/>
        <w:widowControl/>
        <w:suppressLineNumbers w:val="0"/>
        <w:pBdr>
          <w:top w:val="single" w:color="D0D7E2" w:sz="4" w:space="0"/>
          <w:left w:val="none" w:color="auto" w:sz="0" w:space="0"/>
          <w:bottom w:val="none" w:color="auto" w:sz="0" w:space="0"/>
          <w:right w:val="none" w:color="auto" w:sz="0" w:space="0"/>
        </w:pBdr>
        <w:spacing w:before="240" w:beforeAutospacing="0" w:after="160" w:afterAutospacing="0"/>
        <w:ind w:left="0" w:right="0"/>
      </w:pPr>
    </w:p>
    <w:p w14:paraId="687DBE5E">
      <w:pPr>
        <w:pStyle w:val="10"/>
        <w:keepNext w:val="0"/>
        <w:keepLines w:val="0"/>
        <w:widowControl/>
        <w:suppressLineNumbers w:val="0"/>
        <w:spacing w:before="200" w:beforeAutospacing="0"/>
      </w:pPr>
      <w:r>
        <w:rPr>
          <w:rStyle w:val="13"/>
          <w:rFonts w:hint="default" w:ascii="Times New Roman" w:hAnsi="Times New Roman" w:cs="Times New Roman"/>
          <w:color w:val="2C3E50"/>
          <w:sz w:val="18"/>
          <w:szCs w:val="18"/>
          <w:shd w:val="clear" w:fill="FFFFFF"/>
        </w:rPr>
        <w:t>Supplementary Materials — Complete list:</w:t>
      </w:r>
    </w:p>
    <w:p w14:paraId="693DC7F6">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Appendix S1.</w:t>
      </w:r>
      <w:r>
        <w:rPr>
          <w:rFonts w:hint="default" w:ascii="Times New Roman" w:hAnsi="Times New Roman" w:cs="Times New Roman"/>
          <w:color w:val="2C3E50"/>
          <w:sz w:val="19"/>
          <w:szCs w:val="19"/>
          <w:shd w:val="clear" w:fill="FFFFFF"/>
        </w:rPr>
        <w:t xml:space="preserve"> TRIPOD+AI checklist.</w:t>
      </w:r>
    </w:p>
    <w:p w14:paraId="1CF13A65">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2</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Candidate predictors: definitions and measurement (45 variables).</w:t>
      </w:r>
    </w:p>
    <w:p w14:paraId="4181953D">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3</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Missing data patterns and handling.</w:t>
      </w:r>
    </w:p>
    <w:p w14:paraId="52C4F177">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4</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Boruta importance scores.</w:t>
      </w:r>
    </w:p>
    <w:p w14:paraId="780A98F7">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5</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Final hyperparameter settings for machine learning models.</w:t>
      </w:r>
    </w:p>
    <w:p w14:paraId="7D469050">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S6.</w:t>
      </w:r>
      <w:r>
        <w:rPr>
          <w:rFonts w:hint="default" w:ascii="Times New Roman" w:hAnsi="Times New Roman" w:cs="Times New Roman"/>
          <w:color w:val="2C3E50"/>
          <w:sz w:val="19"/>
          <w:szCs w:val="19"/>
          <w:shd w:val="clear" w:fill="FFFFFF"/>
        </w:rPr>
        <w:t xml:space="preserve"> Additional parameterisations of SII (per IQR, log</w:t>
      </w:r>
      <w:r>
        <w:rPr>
          <w:rFonts w:hint="default" w:ascii="Times New Roman" w:hAnsi="Times New Roman" w:cs="Times New Roman"/>
          <w:color w:val="2C3E50"/>
          <w:sz w:val="19"/>
          <w:szCs w:val="19"/>
          <w:shd w:val="clear" w:fill="FFFFFF"/>
        </w:rPr>
        <w:noBreakHyphen/>
      </w:r>
      <w:r>
        <w:rPr>
          <w:rFonts w:hint="default" w:ascii="Times New Roman" w:hAnsi="Times New Roman" w:cs="Times New Roman"/>
          <w:color w:val="2C3E50"/>
          <w:sz w:val="19"/>
          <w:szCs w:val="19"/>
          <w:shd w:val="clear" w:fill="FFFFFF"/>
        </w:rPr>
        <w:t>transformed).</w:t>
      </w:r>
    </w:p>
    <w:p w14:paraId="144A1CAD">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7</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Elastic net coefficients.</w:t>
      </w:r>
    </w:p>
    <w:p w14:paraId="4CF9DE76">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8</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R packages used.</w:t>
      </w:r>
    </w:p>
    <w:p w14:paraId="48F4302F">
      <w:pPr>
        <w:keepNext w:val="0"/>
        <w:keepLines w:val="0"/>
        <w:widowControl/>
        <w:numPr>
          <w:ilvl w:val="0"/>
          <w:numId w:val="1"/>
        </w:numPr>
        <w:suppressLineNumbers w:val="0"/>
        <w:spacing w:before="200" w:beforeAutospacing="0" w:after="0" w:afterAutospacing="1" w:line="18" w:lineRule="atLeast"/>
        <w:ind w:left="200" w:hanging="360"/>
      </w:pPr>
      <w:r>
        <w:rPr>
          <w:rStyle w:val="13"/>
          <w:rFonts w:hint="default" w:ascii="Times New Roman" w:hAnsi="Times New Roman" w:cs="Times New Roman"/>
          <w:color w:val="2C3E50"/>
          <w:sz w:val="19"/>
          <w:szCs w:val="19"/>
          <w:shd w:val="clear" w:fill="FFFFFF"/>
        </w:rPr>
        <w:t>Supplementary Table S</w:t>
      </w:r>
      <w:r>
        <w:rPr>
          <w:rStyle w:val="13"/>
          <w:rFonts w:hint="eastAsia" w:ascii="Times New Roman" w:hAnsi="Times New Roman" w:cs="Times New Roman"/>
          <w:color w:val="2C3E50"/>
          <w:sz w:val="19"/>
          <w:szCs w:val="19"/>
          <w:shd w:val="clear" w:fill="FFFFFF"/>
          <w:lang w:val="en-US" w:eastAsia="zh-CN"/>
        </w:rPr>
        <w:t>9</w:t>
      </w:r>
      <w:r>
        <w:rPr>
          <w:rStyle w:val="13"/>
          <w:rFonts w:hint="default" w:ascii="Times New Roman" w:hAnsi="Times New Roman" w:cs="Times New Roman"/>
          <w:color w:val="2C3E50"/>
          <w:sz w:val="19"/>
          <w:szCs w:val="19"/>
          <w:shd w:val="clear" w:fill="FFFFFF"/>
        </w:rPr>
        <w:t>.</w:t>
      </w:r>
      <w:r>
        <w:rPr>
          <w:rFonts w:hint="default" w:ascii="Times New Roman" w:hAnsi="Times New Roman" w:cs="Times New Roman"/>
          <w:color w:val="2C3E50"/>
          <w:sz w:val="19"/>
          <w:szCs w:val="19"/>
          <w:shd w:val="clear" w:fill="FFFFFF"/>
        </w:rPr>
        <w:t xml:space="preserve"> Logistic regression model intercept.</w:t>
      </w:r>
    </w:p>
    <w:p w14:paraId="785EA7E2">
      <w:pPr>
        <w:pStyle w:val="10"/>
        <w:keepNext w:val="0"/>
        <w:keepLines w:val="0"/>
        <w:widowControl/>
        <w:suppressLineNumbers w:val="0"/>
        <w:spacing w:before="242" w:beforeAutospacing="0"/>
        <w:rPr>
          <w:sz w:val="18"/>
          <w:szCs w:val="18"/>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BF1E96"/>
    <w:multiLevelType w:val="multilevel"/>
    <w:tmpl w:val="FCBF1E9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9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816BA4"/>
    <w:rsid w:val="57581C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0" w:after="60" w:afterAutospacing="0"/>
      <w:ind w:left="0" w:right="0"/>
      <w:jc w:val="center"/>
    </w:pPr>
    <w:rPr>
      <w:rFonts w:hint="eastAsia" w:ascii="宋体" w:hAnsi="宋体" w:eastAsia="宋体" w:cs="宋体"/>
      <w:b/>
      <w:bCs/>
      <w:spacing w:val="3"/>
      <w:kern w:val="44"/>
      <w:sz w:val="44"/>
      <w:szCs w:val="44"/>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Subtitle"/>
    <w:basedOn w:val="1"/>
    <w:qFormat/>
    <w:uiPriority w:val="0"/>
    <w:pPr>
      <w:spacing w:before="0" w:beforeAutospacing="0" w:after="60" w:afterAutospacing="0"/>
      <w:ind w:left="0" w:right="0"/>
      <w:jc w:val="center"/>
    </w:pPr>
    <w:rPr>
      <w:i/>
      <w:iCs/>
      <w:color w:val="2C3E50"/>
      <w:kern w:val="0"/>
      <w:sz w:val="24"/>
      <w:szCs w:val="24"/>
      <w:lang w:val="en-US" w:eastAsia="zh-CN" w:bidi="ar"/>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HTML Code"/>
    <w:basedOn w:val="12"/>
    <w:uiPriority w:val="0"/>
    <w:rPr>
      <w:rFonts w:ascii="Courier New" w:hAnsi="Courier New"/>
      <w:sz w:val="20"/>
    </w:rPr>
  </w:style>
  <w:style w:type="paragraph" w:customStyle="1" w:styleId="16">
    <w:name w:val="download-bar"/>
    <w:basedOn w:val="1"/>
    <w:uiPriority w:val="0"/>
    <w:pPr>
      <w:spacing w:after="160" w:afterAutospacing="0"/>
      <w:jc w:val="left"/>
    </w:pPr>
    <w:rPr>
      <w:vanish/>
      <w:kern w:val="0"/>
      <w:lang w:val="en-US" w:eastAsia="zh-CN" w:bidi="ar"/>
    </w:rPr>
  </w:style>
  <w:style w:type="paragraph" w:customStyle="1" w:styleId="17">
    <w:name w:val="table-wrap"/>
    <w:basedOn w:val="1"/>
    <w:uiPriority w:val="0"/>
    <w:pPr>
      <w:spacing w:before="120" w:beforeAutospacing="0" w:after="160" w:afterAutospacing="0"/>
      <w:ind w:left="0" w:right="0"/>
      <w:jc w:val="left"/>
    </w:pPr>
    <w:rPr>
      <w:kern w:val="0"/>
      <w:sz w:val="19"/>
      <w:szCs w:val="19"/>
      <w:lang w:val="en-US" w:eastAsia="zh-CN" w:bidi="ar"/>
    </w:rPr>
  </w:style>
  <w:style w:type="paragraph" w:customStyle="1" w:styleId="18">
    <w:name w:val="paper-meta"/>
    <w:basedOn w:val="1"/>
    <w:qFormat/>
    <w:uiPriority w:val="0"/>
    <w:pPr>
      <w:spacing w:before="20" w:beforeAutospacing="0" w:after="200" w:afterAutospacing="0"/>
      <w:ind w:left="0" w:right="0"/>
      <w:jc w:val="center"/>
    </w:pPr>
    <w:rPr>
      <w:color w:val="1E1E1E"/>
      <w:kern w:val="0"/>
      <w:sz w:val="21"/>
      <w:szCs w:val="21"/>
      <w:lang w:val="en-US" w:eastAsia="zh-CN" w:bidi="ar"/>
    </w:rPr>
  </w:style>
  <w:style w:type="paragraph" w:customStyle="1" w:styleId="19">
    <w:name w:val="missing-indicator"/>
    <w:basedOn w:val="1"/>
    <w:uiPriority w:val="0"/>
    <w:pPr>
      <w:jc w:val="left"/>
    </w:pPr>
    <w:rPr>
      <w:b/>
      <w:bCs/>
      <w:i/>
      <w:iCs/>
      <w:color w:val="B22222"/>
      <w:kern w:val="0"/>
      <w:lang w:val="en-US" w:eastAsia="zh-CN" w:bidi="ar"/>
    </w:rPr>
  </w:style>
  <w:style w:type="paragraph" w:customStyle="1" w:styleId="20">
    <w:name w:val="container"/>
    <w:basedOn w:val="1"/>
    <w:qFormat/>
    <w:uiPriority w:val="0"/>
    <w:pPr>
      <w:pBdr>
        <w:top w:val="none" w:color="auto" w:sz="0" w:space="0"/>
        <w:left w:val="none" w:color="auto" w:sz="0" w:space="0"/>
        <w:bottom w:val="none" w:color="auto" w:sz="0" w:space="0"/>
        <w:right w:val="none" w:color="auto" w:sz="0" w:space="0"/>
      </w:pBdr>
      <w:shd w:val="clear" w:fill="FFFFFF"/>
      <w:jc w:val="left"/>
    </w:pPr>
    <w:rPr>
      <w:kern w:val="0"/>
      <w:lang w:val="en-US" w:eastAsia="zh-CN" w:bidi="ar"/>
    </w:rPr>
  </w:style>
  <w:style w:type="paragraph" w:customStyle="1" w:styleId="21">
    <w:name w:val="download-btn"/>
    <w:basedOn w:val="1"/>
    <w:uiPriority w:val="0"/>
    <w:pPr>
      <w:pBdr>
        <w:top w:val="none" w:color="auto" w:sz="0" w:space="0"/>
        <w:left w:val="none" w:color="auto" w:sz="0" w:space="0"/>
        <w:bottom w:val="none" w:color="auto" w:sz="0" w:space="0"/>
        <w:right w:val="none" w:color="auto" w:sz="0" w:space="0"/>
      </w:pBdr>
      <w:shd w:val="clear" w:fill="1A5C8C"/>
      <w:jc w:val="left"/>
    </w:pPr>
    <w:rPr>
      <w:rFonts w:ascii="Segoe UI" w:hAnsi="Segoe UI" w:eastAsia="Segoe UI" w:cs="Segoe UI"/>
      <w:b/>
      <w:bCs/>
      <w:color w:val="FFFFFF"/>
      <w:kern w:val="0"/>
      <w:sz w:val="15"/>
      <w:szCs w:val="15"/>
      <w:lang w:val="en-US" w:eastAsia="zh-CN" w:bidi="ar"/>
    </w:rPr>
  </w:style>
  <w:style w:type="paragraph" w:customStyle="1" w:styleId="22">
    <w:name w:val="section-heading"/>
    <w:basedOn w:val="1"/>
    <w:uiPriority w:val="0"/>
    <w:pPr>
      <w:pBdr>
        <w:bottom w:val="single" w:color="D0D7E2" w:sz="4" w:space="2"/>
      </w:pBdr>
      <w:spacing w:before="240" w:beforeAutospacing="0" w:after="80" w:afterAutospacing="0"/>
      <w:ind w:left="0" w:right="0"/>
      <w:jc w:val="left"/>
    </w:pPr>
    <w:rPr>
      <w:b/>
      <w:bCs/>
      <w:kern w:val="0"/>
      <w:sz w:val="27"/>
      <w:szCs w:val="27"/>
      <w:lang w:val="en-US" w:eastAsia="zh-CN" w:bidi="ar"/>
    </w:rPr>
  </w:style>
  <w:style w:type="paragraph" w:customStyle="1" w:styleId="23">
    <w:name w:val="note-box"/>
    <w:basedOn w:val="1"/>
    <w:qFormat/>
    <w:uiPriority w:val="0"/>
    <w:pPr>
      <w:pBdr>
        <w:top w:val="none" w:color="auto" w:sz="0" w:space="0"/>
        <w:left w:val="single" w:color="1A5C8C" w:sz="18" w:space="7"/>
        <w:bottom w:val="none" w:color="auto" w:sz="0" w:space="0"/>
        <w:right w:val="none" w:color="auto" w:sz="0" w:space="0"/>
      </w:pBdr>
      <w:shd w:val="clear" w:fill="F9FAFC"/>
      <w:spacing w:before="60" w:beforeAutospacing="0" w:after="120" w:afterAutospacing="0"/>
      <w:ind w:left="0" w:right="0"/>
      <w:jc w:val="left"/>
    </w:pPr>
    <w:rPr>
      <w:color w:val="1E3A5F"/>
      <w:kern w:val="0"/>
      <w:sz w:val="19"/>
      <w:szCs w:val="19"/>
      <w:lang w:val="en-US" w:eastAsia="zh-CN" w:bidi="ar"/>
    </w:rPr>
  </w:style>
  <w:style w:type="paragraph" w:customStyle="1" w:styleId="24">
    <w:name w:val="footer-note"/>
    <w:basedOn w:val="1"/>
    <w:uiPriority w:val="0"/>
    <w:pPr>
      <w:pBdr>
        <w:top w:val="single" w:color="D0D7E2" w:sz="4" w:space="7"/>
      </w:pBdr>
      <w:spacing w:before="200" w:beforeAutospacing="0"/>
      <w:jc w:val="left"/>
    </w:pPr>
    <w:rPr>
      <w:color w:val="2C3E50"/>
      <w:kern w:val="0"/>
      <w:sz w:val="18"/>
      <w:szCs w:val="18"/>
      <w:lang w:val="en-US" w:eastAsia="zh-CN" w:bidi="ar"/>
    </w:rPr>
  </w:style>
  <w:style w:type="character" w:customStyle="1" w:styleId="25">
    <w:name w:val="missing-indicator1"/>
    <w:basedOn w:val="12"/>
    <w:uiPriority w:val="0"/>
    <w:rPr>
      <w:b/>
      <w:bCs/>
      <w:i/>
      <w:iCs/>
      <w:color w:val="B222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632</Words>
  <Characters>3931</Characters>
  <TotalTime>2</TotalTime>
  <ScaleCrop>false</ScaleCrop>
  <LinksUpToDate>false</LinksUpToDate>
  <CharactersWithSpaces>4387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2026-07-31T03:41:00Z</dcterms:created>
  <dc:creator>acer</dc:creator>
  <cp:lastModifiedBy>  夏</cp:lastModifiedBy>
  <dcterms:modified xsi:type="dcterms:W3CDTF">2026-08-03T14:05:48Z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eyJoZGlkIjoiZWM3ZjUwMWYxYjNhOTAyMTdlZDFhNmQxYmMzMWE3NzQiLCJ1c2VySWQiOiI0MTY3MzA3OTgifQ==</vt:lpwstr>
  </property>
  <property fmtid="{D5CDD505-2E9C-101B-9397-08002B2CF9AE}" pid="3" name="KSOProductBuildVer">
    <vt:lpwstr>2052-12.1.0.26375</vt:lpwstr>
  </property>
  <property fmtid="{D5CDD505-2E9C-101B-9397-08002B2CF9AE}" pid="4" name="ICV">
    <vt:lpwstr>0F60A294D12F450DAA5098F42FE1EF98_13</vt:lpwstr>
  </property>
</Properties>
</file>