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tables"/>
    <w:p>
      <w:pPr>
        <w:pStyle w:val="Heading1"/>
      </w:pPr>
      <w:r>
        <w:t xml:space="preserve">Tables</w:t>
      </w:r>
    </w:p>
    <w:p>
      <w:pPr>
        <w:pStyle w:val="FirstParagraph"/>
      </w:pPr>
      <w:r>
        <w:rPr>
          <w:iCs/>
          <w:i/>
        </w:rPr>
        <w:t xml:space="preserve">Extracted from the blinded manuscript. Captions, table bodies and explanatory notes are reproduced verbatim; equation and section numbers refer to the main text.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Table 1</w:t>
      </w:r>
      <w:r>
        <w:t xml:space="preserve"> </w:t>
      </w:r>
      <w:r>
        <w:t xml:space="preserve">Literature streams and the unresolved linkage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350"/>
        <w:gridCol w:w="2550"/>
        <w:gridCol w:w="40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Stream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Established insight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Remaining limitation addressed here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Formal TT and TTOs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Rights, incentives, organisational practices and brokering affect commercialisation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transfer is rarely connected to dynamic actor-level adoption and non-economic 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University-based entrepreneurial ecosystems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Heterogeneous actors and complementarities shape venture and innovation outcomes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Ecosystem lists and architectures often lack a falsifiable transfer-to-adoption mechanism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Diffusion and network models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Adoption depends on innovation effects, imitation and network exposure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Transfer-channel configuration and multidimensional downstream value are usually exogenous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Open platforms and digital intermediation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Reusable infrastructures expand access and lower search/replication 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Availability or a recommendation is sometimes treated as if it were realised adoption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Knowledge valorisation and third mission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University impact extends beyond licensing income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Economic, social, territorial and scientific outcomes are not consistently linked to who adopted, when and through which arrangement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Table 2</w:t>
      </w:r>
      <w:r>
        <w:t xml:space="preserve"> </w:t>
      </w:r>
      <w:r>
        <w:t xml:space="preserve">Arrangement-specific pathways and measurement boundaries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838"/>
        <w:gridCol w:w="1490"/>
        <w:gridCol w:w="1615"/>
        <w:gridCol w:w="1677"/>
        <w:gridCol w:w="229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Arrangement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Primary friction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Immediate output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Expected adoption pathway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Minimum future measure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M-TT1 formal transfer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appropriation and transaction uncertainty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codified rights and enforceable agreements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lower legal/commercial uncertainty for 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eligible cases; negotiation; executed agreement; implementation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M-TT2 co-development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tacit-knowledge and application-fit gaps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joint learning, adaptation and implementation 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higher fit, capability and relevant exposure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participation; milestone; technical iteration; subsequent implementation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M-TT3 open platforms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access, interoperability and replication 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reusable modules, APIs, data and documentation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broader access and lower reuse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eligible users; authenticated use; reuse; implementation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M-TT4 AI-enabled matching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search and partner-identification 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ranked candidate options subject to human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faster qualified discovery, conditional on 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eligibility-to-implementation funnel, rank and model version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Table 3</w:t>
      </w:r>
      <w:r>
        <w:t xml:space="preserve"> </w:t>
      </w:r>
      <w:r>
        <w:t xml:space="preserve">Evidence inventory and present reproducibility status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980"/>
        <w:gridCol w:w="1691"/>
        <w:gridCol w:w="2819"/>
        <w:gridCol w:w="242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Role in this article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Claims it can support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Present limitation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Anonymised project deliverable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theory provenance and descriptive instantiation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reported ecosystem size, aggregate network statistics, four project-monitoring scores and aggregate adopter label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actor–technology event file, edge list, item-level score data or complete actor roster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Peer-reviewed and policy literature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 definition, mechanism logic and boundary conditions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theoretical relationships and comparison with adjacent research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does not validate the proposed model in this setting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Synthetic-data reproducibility package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reproduction of the synthetic experiment and its figures and tables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parameter-recovery and predictive-comparison outputs under the specified data-generating 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synthetic demonstration; does not reproduce project measurements or establish real-world validity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 project-derived manuscripts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overlap audit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distinction from ecosystem-foresight and human–AI-orchestration contributions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empirical evidence for this article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Table 4</w:t>
      </w:r>
      <w:r>
        <w:t xml:space="preserve"> </w:t>
      </w:r>
      <w:r>
        <w:t xml:space="preserve">Construct definitions, indicators and required evidence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34"/>
        <w:gridCol w:w="1974"/>
        <w:gridCol w:w="2571"/>
        <w:gridCol w:w="1813"/>
        <w:gridCol w:w="82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Operational definition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Illustrative indicators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Required evidence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 status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M-TT1 formal transfer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actor–technology access to codified transfer arrangements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eligible case, negotiation, executed licence or R&amp;D agreement, cycle 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linked TTO and contract 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ecosystem-level score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M-TT2 co-development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actor–technology participation in repeated joint adaptation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active project, accepted milestone, prototype iteration, reciprocal contribution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linked project and laboratory 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ecosystem-level score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M-TT3 open platforms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actor–technology use and reuse of shared technical assets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authenticated use, API call, module reuse, documentation and interoperability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linked telemetry and repository 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ecosystem-level score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M-TT4 AI-enabled matching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actor–technology exposure to ranked, evidence-backed options subject to human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eligible, assessed, ranked, shown, viewed, accepted, contacted, contracted, piloted, implemented, discontinued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versioned recommendation and workflow log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prospective; no operational funnel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Readiness</w:t>
            </w:r>
            <w:r>
              <w:t xml:space="preserve"> </w:t>
            </w:r>
            <m:oMath>
              <m:sSub>
                <m:e>
                  <m:r>
                    <m:t>R</m:t>
                  </m:r>
                </m:e>
                <m:sub>
                  <m:r>
                    <m:t>i</m:t>
                  </m:r>
                  <m:r>
                    <m:t>g</m:t>
                  </m:r>
                  <m:r>
                    <m:t>t</m:t>
                  </m:r>
                </m:sub>
              </m:sSub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pre-exposure capability, fit and acceptable implementation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validated absorptive-capacity items, technical fit, skills, complementary assets, budget and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survey plus documentary checks with technology identifier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technology-resolved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Exposure</w:t>
            </w:r>
            <w:r>
              <w:t xml:space="preserve"> </w:t>
            </w:r>
            <m:oMath>
              <m:sSub>
                <m:e>
                  <m:r>
                    <m:t>E</m:t>
                  </m:r>
                </m:e>
                <m:sub>
                  <m:r>
                    <m:t>i</m:t>
                  </m:r>
                  <m:r>
                    <m:t>g</m:t>
                  </m:r>
                  <m:r>
                    <m:t>t</m:t>
                  </m:r>
                </m:sub>
              </m:sSub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lagged relevant relational contact with prior adopters of technology</w:t>
            </w:r>
            <w:r>
              <w:t xml:space="preserve"> </w:t>
            </w:r>
            <m:oMath>
              <m:r>
                <m:t>g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layer, direction, strength, recency and adopter 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timestamped multiplex edge 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aggregate network statistics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Adoption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i</m:t>
                  </m:r>
                  <m:r>
                    <m:t>g</m:t>
                  </m:r>
                  <m:r>
                    <m:t>t</m:t>
                  </m:r>
                </m:sub>
              </m:sSub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first verified productive or societal implementation of technology</w:t>
            </w:r>
            <w:r>
              <w:t xml:space="preserve"> </w:t>
            </w:r>
            <m:oMath>
              <m:r>
                <m:t>g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go-live, routine validated pilot, procurement or production record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recipient-confirmed implementation event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eight aggregate actor labels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Value</w:t>
            </w:r>
            <w:r>
              <w:t xml:space="preserve"> </w:t>
            </w:r>
            <m:oMath>
              <m:r>
                <m:t>Δ</m:t>
              </m:r>
              <m:sSubSup>
                <m:e>
                  <m:r>
                    <m:t>V</m:t>
                  </m:r>
                </m:e>
                <m:sub>
                  <m:r>
                    <m:t>i</m:t>
                  </m:r>
                  <m:r>
                    <m:t>g</m:t>
                  </m:r>
                  <m:r>
                    <m:t>d</m:t>
                  </m:r>
                  <m:r>
                    <m:t>h</m:t>
                  </m:r>
                </m:sub>
                <m:sup>
                  <m:r>
                    <m:t>a</m:t>
                  </m:r>
                  <m:r>
                    <m:t>t</m:t>
                  </m:r>
                  <m:r>
                    <m:t>t</m:t>
                  </m:r>
                  <m:r>
                    <m:t>r</m:t>
                  </m:r>
                </m:sup>
              </m:sSub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outcome change attributable to adoption relative to a defensible counterfactual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economic, social, territorial and scientific measures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outcome record, baseline or comparator, attribution and anti-duplication rule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unavailable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Table 5</w:t>
      </w:r>
      <w:r>
        <w:t xml:space="preserve"> </w:t>
      </w:r>
      <w:r>
        <w:t xml:space="preserve">Prospective proposition tests and falsification conditions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276"/>
        <w:gridCol w:w="3481"/>
        <w:gridCol w:w="2640"/>
        <w:gridCol w:w="52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Proposition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Primary prospective test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Evidence against the proposition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Tested here?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P1 co-development–platform complementarity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positive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×</m:t>
              </m:r>
              <m:sSub>
                <m:e>
                  <m:r>
                    <m:t>X</m:t>
                  </m:r>
                </m:e>
                <m:sub>
                  <m:r>
                    <m:t>3</m:t>
                  </m:r>
                </m:sub>
              </m:sSub>
            </m:oMath>
            <w:r>
              <w:t xml:space="preserve"> </w:t>
            </w:r>
            <w:r>
              <w:t xml:space="preserve">term and improved temporal fit over an additive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interaction is null or negative and reusable access does not change conversion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P2 network-exposure pathway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lagged arrangement access predicts later exposure; exposure predicts later adoption under stated mediation assumptions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exposure neither changes after participation nor predicts adoption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P3 readiness-gated matching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positive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4</m:t>
                  </m:r>
                </m:sub>
              </m:sSub>
              <m:r>
                <m:rPr>
                  <m:sty m:val="p"/>
                </m:rPr>
                <m:t>×</m:t>
              </m:r>
              <m:r>
                <m:t>R</m:t>
              </m:r>
            </m:oMath>
            <w:r>
              <w:t xml:space="preserve"> </w:t>
            </w:r>
            <w:r>
              <w:t xml:space="preserve">term and readiness-stratified funnel conversion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reviewed matches convert independently of readiness or more strongly at low 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P4 adoption-attributable 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post-adoption outcome change relative to a defensible counterfactual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 changes precede adoption or are explained by programme inputs unrelated to adoption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P5 reach and spillovers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cross-community reach predicts dimension-specific EIM conditional on direct-adopter 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reach adds no explanatory or predictive 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Table 6</w:t>
      </w:r>
      <w:r>
        <w:t xml:space="preserve"> </w:t>
      </w:r>
      <w:r>
        <w:t xml:space="preserve">Descriptive evidence boundaries of the current project record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11"/>
        <w:gridCol w:w="2344"/>
        <w:gridCol w:w="406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Reported item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Value in project record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Evidentiary status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Formal transfer (M-TT1)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Project-monitoring score; unvalidated 0–1 scheme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Co-development (M-TT2)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Project-monitoring score; unvalidated 0–1 scheme (highest reported)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Open platforms (M-TT3)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Project-monitoring score; unvalidated 0–1 scheme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AI-enabled matching (M-TT4)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 design capability; not an operating algorithm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Network snapshot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 actors; 124 relationships; density 0.115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Aggregate; density arithmetically consistent with an undirected simple graph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Adopter labels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actors (17.0%)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technology- or time-resolved; not an adoption rate for a risk set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Note. Scores use the project’s own 0–1 monitoring scheme; they are relative positions, not externally validated or comparable psychometric scales. The M-TT4 score reflects a prospective design capability, not the performance of an operating algorithm.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Table 7</w:t>
      </w:r>
      <w:r>
        <w:t xml:space="preserve"> </w:t>
      </w:r>
      <w:r>
        <w:t xml:space="preserve">Out-of-sample predictive comparison on synthetic data (mean over 400 replications; lower is better)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350"/>
        <w:gridCol w:w="2132"/>
        <w:gridCol w:w="243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Model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Mean Brier (SD)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Mean log loss (SD)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Intercept-only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0.123 (0.012)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0.419 (0.034)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Bass comparator (Eq. 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0.121 (0.011)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0.407 (0.027)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Actor–technology hazard (Eq. 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0.116 (0.011)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0.390 (0.028)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Note. Mean over 400 replications; models estimated on periods 1–7 and evaluated on the held-out periods 8–10; standard deviations across replications in parentheses; lower is better. The paired Brier advantage of the hazard over the Bass comparator is −0.005 (95% Monte Carlo confidence interval [−0.005, −0.004]; the hazard is lower in 97% of replications). Coefficient recovery, bias, RMSE and interval coverage are reported in Table A1. Synthetic data only; illustrative of computational estimability and parameter recoverability under the specified design, not empirical validation.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Table A1</w:t>
      </w:r>
      <w:r>
        <w:t xml:space="preserve"> </w:t>
      </w:r>
      <w:r>
        <w:t xml:space="preserve">Parameter recovery of the actor–technology adoption hazard on synthetic data (400 replications)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683"/>
        <w:gridCol w:w="990"/>
        <w:gridCol w:w="1485"/>
        <w:gridCol w:w="990"/>
        <w:gridCol w:w="990"/>
        <w:gridCol w:w="178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Coefficient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Mean est.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Bias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RMSE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95% coverage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α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-4.60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-4.648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-0.048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0.943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β</w:t>
            </w:r>
            <w:r>
              <w:rPr>
                <w:vertAlign w:val="subscript"/>
              </w:rP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β</w:t>
            </w:r>
            <w:r>
              <w:rPr>
                <w:vertAlign w:val="subscript"/>
              </w:rPr>
              <w:t xml:space="preserve">ΔR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β</w:t>
            </w:r>
            <w:r>
              <w:rPr>
                <w:vertAlign w:val="subscript"/>
              </w:rPr>
              <w:t xml:space="preserve">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β</w:t>
            </w:r>
            <w:r>
              <w:rPr>
                <w:vertAlign w:val="sub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β</w:t>
            </w:r>
            <w:r>
              <w:rPr>
                <w:vertAlign w:val="sub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β</w:t>
            </w:r>
            <w:r>
              <w:rPr>
                <w:vertAlign w:val="subscript"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0.943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β</w:t>
            </w:r>
            <w:r>
              <w:rPr>
                <w:vertAlign w:val="subscript"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β</w:t>
            </w:r>
            <w:r>
              <w:rPr>
                <w:vertAlign w:val="subscript"/>
              </w:rP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0.953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β</w:t>
            </w:r>
            <w:r>
              <w:rPr>
                <w:vertAlign w:val="subscript"/>
              </w:rPr>
              <w:t xml:space="preserve">4R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0.973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Note. True values are the data-generating coefficients; Bias is mean estimate minus true value; RMSE is the root-mean-square error across replications; 95% coverage is the proportion of replications whose 95% Wald interval contains the true value (nominal 0.95). Synthetic data only.</w:t>
      </w:r>
    </w:p>
    <w:p>
      <w:r>
        <w:pict>
          <v:rect style="width:0;height:1.5pt" o:hralign="center" o:hrstd="t" o:hr="t"/>
        </w:pict>
      </w:r>
    </w:p>
    <w:bookmarkEnd w:id="20"/>
    <w:sectPr>
      <w:pgSz w:w="16838" w:h="11906" w:orient="landscape"/>
      <w:pgMar w:top="1134" w:right="1134" w:bottom="1134" w:left="1134" w:header="720" w:footer="720" w:gutter="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2026-08-03T11:28:33Z</dcterms:created>
  <dcterms:modified xsi:type="dcterms:W3CDTF">2026-08-03T11:28:33Z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