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BFF138">
      <w:pPr>
        <w:rPr>
          <w:rFonts w:hint="eastAsia"/>
        </w:rPr>
      </w:pPr>
      <w:r>
        <w:rPr>
          <w:rFonts w:hint="default" w:ascii="Times New Roman" w:hAnsi="Times New Roman" w:cs="Times New Roman"/>
          <w:b/>
          <w:bCs/>
          <w:sz w:val="30"/>
          <w:szCs w:val="30"/>
        </w:rPr>
        <w:t>Appendix</w:t>
      </w:r>
      <w:r>
        <w:rPr>
          <w:rFonts w:hint="eastAsia" w:ascii="Times New Roman" w:hAnsi="Times New Roman" w:cs="Times New Roman"/>
          <w:b/>
          <w:bCs/>
          <w:sz w:val="30"/>
          <w:szCs w:val="30"/>
          <w:lang w:val="en-US" w:eastAsia="zh-CN"/>
        </w:rPr>
        <w:t xml:space="preserve"> A</w:t>
      </w:r>
      <w:r>
        <w:rPr>
          <w:rFonts w:hint="default" w:ascii="Times New Roman" w:hAnsi="Times New Roman" w:cs="Times New Roman"/>
          <w:b/>
          <w:bCs/>
          <w:sz w:val="30"/>
          <w:szCs w:val="30"/>
        </w:rPr>
        <w:t>. Coding Scheme for the Interview Data</w:t>
      </w:r>
    </w:p>
    <w:p w14:paraId="31A0AB6D">
      <w:pPr>
        <w:rPr>
          <w:rFonts w:hint="eastAsia"/>
        </w:rPr>
      </w:pPr>
    </w:p>
    <w:p w14:paraId="468BB060">
      <w:pPr>
        <w:rPr>
          <w:rFonts w:hint="eastAsia"/>
        </w:rPr>
      </w:pPr>
      <w:r>
        <w:rPr>
          <w:rFonts w:hint="default" w:ascii="Times New Roman" w:hAnsi="Times New Roman" w:cs="Times New Roman"/>
          <w:b/>
          <w:bCs/>
          <w:sz w:val="24"/>
          <w:szCs w:val="24"/>
          <w:lang w:val="en-US" w:eastAsia="zh-CN"/>
        </w:rPr>
        <w:t>A</w:t>
      </w:r>
      <w:r>
        <w:rPr>
          <w:rFonts w:hint="default" w:ascii="Times New Roman" w:hAnsi="Times New Roman" w:cs="Times New Roman"/>
          <w:b/>
          <w:bCs/>
          <w:sz w:val="24"/>
          <w:szCs w:val="24"/>
        </w:rPr>
        <w:t>1. Notes on the Coding Scheme</w:t>
      </w:r>
    </w:p>
    <w:p w14:paraId="7590D1AA">
      <w:pPr>
        <w:rPr>
          <w:rFonts w:hint="eastAsia"/>
        </w:rPr>
      </w:pPr>
      <w:r>
        <w:rPr>
          <w:rFonts w:hint="default" w:ascii="Times New Roman" w:hAnsi="Times New Roman" w:cs="Times New Roman"/>
        </w:rPr>
        <w:t>Interview excerpts quoted in the main manuscript are labelled using two sets of identifiers, the T-series and the I-series. Three points require clarification.</w:t>
      </w:r>
    </w:p>
    <w:p w14:paraId="48E54192">
      <w:pPr>
        <w:rPr>
          <w:rFonts w:hint="eastAsia"/>
        </w:rPr>
      </w:pPr>
    </w:p>
    <w:p w14:paraId="0EE7F04A">
      <w:pPr>
        <w:keepNext w:val="0"/>
        <w:keepLines w:val="0"/>
        <w:pageBreakBefore w:val="0"/>
        <w:widowControl w:val="0"/>
        <w:kinsoku/>
        <w:wordWrap/>
        <w:overflowPunct/>
        <w:topLinePunct w:val="0"/>
        <w:autoSpaceDE/>
        <w:autoSpaceDN/>
        <w:bidi w:val="0"/>
        <w:adjustRightInd/>
        <w:snapToGrid/>
        <w:spacing w:after="60"/>
        <w:textAlignment w:val="auto"/>
        <w:rPr>
          <w:rFonts w:hint="default" w:ascii="Times New Roman" w:hAnsi="Times New Roman" w:cs="Times New Roman"/>
        </w:rPr>
      </w:pPr>
      <w:r>
        <w:rPr>
          <w:rFonts w:hint="default" w:ascii="Times New Roman" w:hAnsi="Times New Roman" w:cs="Times New Roman"/>
        </w:rPr>
        <w:t>First, these identifiers refer to quoted excerpts rather than individual participants. Because several teachers contributed excerpts related to more than one theme, the number of excerpt identifiers exceeds the number of teacher participants. Table A1 therefore shows the correspondence between the eight teacher participants and the excerpt identifiers used in the main manuscript.</w:t>
      </w:r>
    </w:p>
    <w:p w14:paraId="557C4478">
      <w:pPr>
        <w:keepNext w:val="0"/>
        <w:keepLines w:val="0"/>
        <w:pageBreakBefore w:val="0"/>
        <w:widowControl w:val="0"/>
        <w:kinsoku/>
        <w:wordWrap/>
        <w:overflowPunct/>
        <w:topLinePunct w:val="0"/>
        <w:autoSpaceDE/>
        <w:autoSpaceDN/>
        <w:bidi w:val="0"/>
        <w:adjustRightInd/>
        <w:snapToGrid/>
        <w:spacing w:after="60"/>
        <w:textAlignment w:val="auto"/>
        <w:rPr>
          <w:rFonts w:hint="default" w:ascii="Times New Roman" w:hAnsi="Times New Roman" w:cs="Times New Roman"/>
        </w:rPr>
      </w:pPr>
    </w:p>
    <w:p w14:paraId="32F7846E">
      <w:pPr>
        <w:keepNext w:val="0"/>
        <w:keepLines w:val="0"/>
        <w:pageBreakBefore w:val="0"/>
        <w:widowControl w:val="0"/>
        <w:kinsoku/>
        <w:wordWrap/>
        <w:overflowPunct/>
        <w:topLinePunct w:val="0"/>
        <w:autoSpaceDE/>
        <w:autoSpaceDN/>
        <w:bidi w:val="0"/>
        <w:adjustRightInd/>
        <w:snapToGrid/>
        <w:spacing w:after="60"/>
        <w:textAlignment w:val="auto"/>
        <w:rPr>
          <w:rFonts w:hint="default" w:ascii="Times New Roman" w:hAnsi="Times New Roman" w:cs="Times New Roman"/>
        </w:rPr>
      </w:pPr>
      <w:r>
        <w:rPr>
          <w:rFonts w:hint="default" w:ascii="Times New Roman" w:hAnsi="Times New Roman" w:cs="Times New Roman"/>
        </w:rPr>
        <w:t>Second, both the T-series and the I-series refer to excerpts drawn from the semi-structured interviews with primary and secondary school teachers. The two sets of identifiers arose during data processing and do not represent different participant groups or data sources. The original identifiers have been retained unchanged to ensure consistency with the submitted manuscript. The suffix “-Q” similarly forms part of the original excerpt identifier and does not denote a different type of participant or data source.</w:t>
      </w:r>
    </w:p>
    <w:p w14:paraId="66DB0411">
      <w:pPr>
        <w:keepNext w:val="0"/>
        <w:keepLines w:val="0"/>
        <w:pageBreakBefore w:val="0"/>
        <w:widowControl w:val="0"/>
        <w:kinsoku/>
        <w:wordWrap/>
        <w:overflowPunct/>
        <w:topLinePunct w:val="0"/>
        <w:autoSpaceDE/>
        <w:autoSpaceDN/>
        <w:bidi w:val="0"/>
        <w:adjustRightInd/>
        <w:snapToGrid/>
        <w:spacing w:after="60"/>
        <w:textAlignment w:val="auto"/>
        <w:rPr>
          <w:rFonts w:hint="default" w:ascii="Times New Roman" w:hAnsi="Times New Roman" w:cs="Times New Roman"/>
        </w:rPr>
      </w:pPr>
    </w:p>
    <w:p w14:paraId="07E8976C">
      <w:pPr>
        <w:keepNext w:val="0"/>
        <w:keepLines w:val="0"/>
        <w:pageBreakBefore w:val="0"/>
        <w:widowControl w:val="0"/>
        <w:kinsoku/>
        <w:wordWrap/>
        <w:overflowPunct/>
        <w:topLinePunct w:val="0"/>
        <w:autoSpaceDE/>
        <w:autoSpaceDN/>
        <w:bidi w:val="0"/>
        <w:adjustRightInd/>
        <w:snapToGrid/>
        <w:spacing w:after="60"/>
        <w:textAlignment w:val="auto"/>
        <w:rPr>
          <w:rFonts w:hint="default" w:ascii="Times New Roman" w:hAnsi="Times New Roman" w:cs="Times New Roman"/>
        </w:rPr>
      </w:pPr>
      <w:r>
        <w:rPr>
          <w:rFonts w:hint="default" w:ascii="Times New Roman" w:hAnsi="Times New Roman" w:cs="Times New Roman"/>
        </w:rPr>
        <w:t>Third, Participant identifiers P1–P8 are used in this appendix and in the accompanying anonymised interview transcripts to indicate individual teacher participants; these identifiers do not appear in the main manuscript.</w:t>
      </w:r>
    </w:p>
    <w:p w14:paraId="77EBA03A">
      <w:pPr>
        <w:keepNext w:val="0"/>
        <w:keepLines w:val="0"/>
        <w:pageBreakBefore w:val="0"/>
        <w:widowControl w:val="0"/>
        <w:kinsoku/>
        <w:wordWrap/>
        <w:overflowPunct/>
        <w:topLinePunct w:val="0"/>
        <w:autoSpaceDE/>
        <w:autoSpaceDN/>
        <w:bidi w:val="0"/>
        <w:adjustRightInd/>
        <w:snapToGrid/>
        <w:spacing w:after="60"/>
        <w:textAlignment w:val="auto"/>
        <w:rPr>
          <w:rFonts w:hint="default" w:ascii="Times New Roman" w:hAnsi="Times New Roman" w:cs="Times New Roman"/>
        </w:rPr>
      </w:pPr>
    </w:p>
    <w:p w14:paraId="44DF9307">
      <w:pPr>
        <w:ind w:firstLine="211" w:firstLineChars="100"/>
        <w:rPr>
          <w:rFonts w:hint="eastAsia"/>
        </w:rPr>
      </w:pPr>
      <w:r>
        <w:rPr>
          <w:rFonts w:hint="default" w:ascii="Times New Roman" w:hAnsi="Times New Roman" w:cs="Times New Roman"/>
          <w:b/>
          <w:bCs/>
        </w:rPr>
        <w:t xml:space="preserve">Table </w:t>
      </w:r>
      <w:r>
        <w:rPr>
          <w:rFonts w:hint="eastAsia" w:ascii="Times New Roman" w:hAnsi="Times New Roman" w:cs="Times New Roman"/>
          <w:b/>
          <w:bCs/>
          <w:lang w:val="en-US" w:eastAsia="zh-CN"/>
        </w:rPr>
        <w:t>A</w:t>
      </w:r>
      <w:r>
        <w:rPr>
          <w:rFonts w:hint="default" w:ascii="Times New Roman" w:hAnsi="Times New Roman" w:cs="Times New Roman"/>
          <w:b/>
          <w:bCs/>
        </w:rPr>
        <w:t>1</w:t>
      </w:r>
      <w:r>
        <w:rPr>
          <w:rFonts w:hint="eastAsia" w:ascii="Times New Roman" w:hAnsi="Times New Roman" w:cs="Times New Roman"/>
          <w:b/>
          <w:bCs/>
          <w:lang w:val="en-US" w:eastAsia="zh-CN"/>
        </w:rPr>
        <w:t xml:space="preserve"> Teacher participants and the identifiers under which their excerpts are quoted</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250"/>
        <w:gridCol w:w="772"/>
        <w:gridCol w:w="603"/>
        <w:gridCol w:w="1558"/>
        <w:gridCol w:w="1125"/>
        <w:gridCol w:w="1775"/>
        <w:gridCol w:w="1000"/>
        <w:gridCol w:w="950"/>
      </w:tblGrid>
      <w:tr w14:paraId="68AF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vAlign w:val="top"/>
          </w:tcPr>
          <w:p w14:paraId="3C13C58C">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vertAlign w:val="baseline"/>
              </w:rPr>
            </w:pPr>
            <w:r>
              <w:rPr>
                <w:rFonts w:hint="default" w:ascii="Times New Roman" w:hAnsi="Times New Roman" w:eastAsia="宋体" w:cs="Times New Roman"/>
                <w:b/>
                <w:bCs/>
                <w:i w:val="0"/>
                <w:iCs w:val="0"/>
                <w:color w:val="000000"/>
                <w:kern w:val="0"/>
                <w:sz w:val="17"/>
                <w:szCs w:val="17"/>
                <w:u w:val="none"/>
                <w:lang w:val="en-US" w:eastAsia="zh-CN" w:bidi="ar"/>
              </w:rPr>
              <w:t>Participant</w:t>
            </w:r>
          </w:p>
        </w:tc>
        <w:tc>
          <w:tcPr>
            <w:tcW w:w="1250" w:type="dxa"/>
            <w:vAlign w:val="top"/>
          </w:tcPr>
          <w:p w14:paraId="644AC130">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vertAlign w:val="baseline"/>
              </w:rPr>
            </w:pPr>
            <w:r>
              <w:rPr>
                <w:rFonts w:hint="default" w:ascii="Times New Roman" w:hAnsi="Times New Roman" w:eastAsia="宋体" w:cs="Times New Roman"/>
                <w:b/>
                <w:bCs/>
                <w:i w:val="0"/>
                <w:iCs w:val="0"/>
                <w:color w:val="000000"/>
                <w:kern w:val="0"/>
                <w:sz w:val="17"/>
                <w:szCs w:val="17"/>
                <w:u w:val="none"/>
                <w:lang w:val="en-US" w:eastAsia="zh-CN" w:bidi="ar"/>
              </w:rPr>
              <w:t>Identifier(s) in the text</w:t>
            </w:r>
          </w:p>
        </w:tc>
        <w:tc>
          <w:tcPr>
            <w:tcW w:w="772" w:type="dxa"/>
            <w:vAlign w:val="top"/>
          </w:tcPr>
          <w:p w14:paraId="13DBF0CD">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vertAlign w:val="baseline"/>
              </w:rPr>
            </w:pPr>
            <w:r>
              <w:rPr>
                <w:rFonts w:hint="default" w:ascii="Times New Roman" w:hAnsi="Times New Roman" w:eastAsia="宋体" w:cs="Times New Roman"/>
                <w:b/>
                <w:bCs/>
                <w:i w:val="0"/>
                <w:iCs w:val="0"/>
                <w:color w:val="000000"/>
                <w:kern w:val="0"/>
                <w:sz w:val="17"/>
                <w:szCs w:val="17"/>
                <w:u w:val="none"/>
                <w:lang w:val="en-US" w:eastAsia="zh-CN" w:bidi="ar"/>
              </w:rPr>
              <w:t>Gender</w:t>
            </w:r>
          </w:p>
        </w:tc>
        <w:tc>
          <w:tcPr>
            <w:tcW w:w="603" w:type="dxa"/>
            <w:vAlign w:val="top"/>
          </w:tcPr>
          <w:p w14:paraId="063D83D0">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vertAlign w:val="baseline"/>
              </w:rPr>
            </w:pPr>
            <w:r>
              <w:rPr>
                <w:rFonts w:hint="default" w:ascii="Times New Roman" w:hAnsi="Times New Roman" w:eastAsia="宋体" w:cs="Times New Roman"/>
                <w:b/>
                <w:bCs/>
                <w:i w:val="0"/>
                <w:iCs w:val="0"/>
                <w:color w:val="000000"/>
                <w:kern w:val="0"/>
                <w:sz w:val="17"/>
                <w:szCs w:val="17"/>
                <w:u w:val="none"/>
                <w:lang w:val="en-US" w:eastAsia="zh-CN" w:bidi="ar"/>
              </w:rPr>
              <w:t>Years of teaching</w:t>
            </w:r>
          </w:p>
        </w:tc>
        <w:tc>
          <w:tcPr>
            <w:tcW w:w="1558" w:type="dxa"/>
            <w:vAlign w:val="top"/>
          </w:tcPr>
          <w:p w14:paraId="20D8E654">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vertAlign w:val="baseline"/>
              </w:rPr>
            </w:pPr>
            <w:r>
              <w:rPr>
                <w:rFonts w:hint="default" w:ascii="Times New Roman" w:hAnsi="Times New Roman" w:eastAsia="宋体" w:cs="Times New Roman"/>
                <w:b/>
                <w:bCs/>
                <w:i w:val="0"/>
                <w:iCs w:val="0"/>
                <w:color w:val="000000"/>
                <w:kern w:val="0"/>
                <w:sz w:val="17"/>
                <w:szCs w:val="17"/>
                <w:u w:val="none"/>
                <w:lang w:val="en-US" w:eastAsia="zh-CN" w:bidi="ar"/>
              </w:rPr>
              <w:t>School level</w:t>
            </w:r>
          </w:p>
        </w:tc>
        <w:tc>
          <w:tcPr>
            <w:tcW w:w="1125" w:type="dxa"/>
            <w:vAlign w:val="top"/>
          </w:tcPr>
          <w:p w14:paraId="31C0530C">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vertAlign w:val="baseline"/>
              </w:rPr>
            </w:pPr>
            <w:r>
              <w:rPr>
                <w:rFonts w:hint="default" w:ascii="Times New Roman" w:hAnsi="Times New Roman" w:eastAsia="宋体" w:cs="Times New Roman"/>
                <w:b/>
                <w:bCs/>
                <w:i w:val="0"/>
                <w:iCs w:val="0"/>
                <w:color w:val="000000"/>
                <w:kern w:val="0"/>
                <w:sz w:val="17"/>
                <w:szCs w:val="17"/>
                <w:u w:val="none"/>
                <w:lang w:val="en-US" w:eastAsia="zh-CN" w:bidi="ar"/>
              </w:rPr>
              <w:t>Subject</w:t>
            </w:r>
          </w:p>
        </w:tc>
        <w:tc>
          <w:tcPr>
            <w:tcW w:w="1775" w:type="dxa"/>
            <w:vAlign w:val="top"/>
          </w:tcPr>
          <w:p w14:paraId="48C7E4FC">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vertAlign w:val="baseline"/>
              </w:rPr>
            </w:pPr>
            <w:r>
              <w:rPr>
                <w:rFonts w:hint="default" w:ascii="Times New Roman" w:hAnsi="Times New Roman" w:eastAsia="宋体" w:cs="Times New Roman"/>
                <w:b/>
                <w:bCs/>
                <w:i w:val="0"/>
                <w:iCs w:val="0"/>
                <w:color w:val="000000"/>
                <w:kern w:val="0"/>
                <w:sz w:val="17"/>
                <w:szCs w:val="17"/>
                <w:u w:val="none"/>
                <w:lang w:val="en-US" w:eastAsia="zh-CN" w:bidi="ar"/>
              </w:rPr>
              <w:t>School type</w:t>
            </w:r>
          </w:p>
        </w:tc>
        <w:tc>
          <w:tcPr>
            <w:tcW w:w="1000" w:type="dxa"/>
            <w:vAlign w:val="top"/>
          </w:tcPr>
          <w:p w14:paraId="0DF3998F">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vertAlign w:val="baseline"/>
              </w:rPr>
            </w:pPr>
            <w:r>
              <w:rPr>
                <w:rFonts w:hint="default" w:ascii="Times New Roman" w:hAnsi="Times New Roman" w:eastAsia="宋体" w:cs="Times New Roman"/>
                <w:b/>
                <w:bCs/>
                <w:i w:val="0"/>
                <w:iCs w:val="0"/>
                <w:color w:val="000000"/>
                <w:kern w:val="0"/>
                <w:sz w:val="17"/>
                <w:szCs w:val="17"/>
                <w:u w:val="none"/>
                <w:lang w:val="en-US" w:eastAsia="zh-CN" w:bidi="ar"/>
              </w:rPr>
              <w:t>Province</w:t>
            </w:r>
          </w:p>
        </w:tc>
        <w:tc>
          <w:tcPr>
            <w:tcW w:w="950" w:type="dxa"/>
            <w:vAlign w:val="top"/>
          </w:tcPr>
          <w:p w14:paraId="10614C84">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vertAlign w:val="baseline"/>
              </w:rPr>
            </w:pPr>
            <w:r>
              <w:rPr>
                <w:rFonts w:hint="default" w:ascii="Times New Roman" w:hAnsi="Times New Roman" w:eastAsia="宋体" w:cs="Times New Roman"/>
                <w:b/>
                <w:bCs/>
                <w:i w:val="0"/>
                <w:iCs w:val="0"/>
                <w:color w:val="000000"/>
                <w:kern w:val="0"/>
                <w:sz w:val="17"/>
                <w:szCs w:val="17"/>
                <w:u w:val="none"/>
                <w:lang w:val="en-US" w:eastAsia="zh-CN" w:bidi="ar"/>
              </w:rPr>
              <w:t>Duration</w:t>
            </w:r>
          </w:p>
        </w:tc>
      </w:tr>
      <w:tr w14:paraId="3DD9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vAlign w:val="center"/>
          </w:tcPr>
          <w:p w14:paraId="5D277978">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P1</w:t>
            </w:r>
          </w:p>
        </w:tc>
        <w:tc>
          <w:tcPr>
            <w:tcW w:w="1250" w:type="dxa"/>
            <w:vAlign w:val="top"/>
          </w:tcPr>
          <w:p w14:paraId="74C8D212">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T01-Q, I04, I06</w:t>
            </w:r>
          </w:p>
        </w:tc>
        <w:tc>
          <w:tcPr>
            <w:tcW w:w="772" w:type="dxa"/>
            <w:vAlign w:val="center"/>
          </w:tcPr>
          <w:p w14:paraId="4BE39804">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[F]</w:t>
            </w:r>
          </w:p>
        </w:tc>
        <w:tc>
          <w:tcPr>
            <w:tcW w:w="603" w:type="dxa"/>
            <w:vAlign w:val="center"/>
          </w:tcPr>
          <w:p w14:paraId="23B61333">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[8]</w:t>
            </w:r>
          </w:p>
        </w:tc>
        <w:tc>
          <w:tcPr>
            <w:tcW w:w="1558" w:type="dxa"/>
            <w:vAlign w:val="center"/>
          </w:tcPr>
          <w:p w14:paraId="33861C19">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Upper secondary</w:t>
            </w:r>
          </w:p>
        </w:tc>
        <w:tc>
          <w:tcPr>
            <w:tcW w:w="1125" w:type="dxa"/>
            <w:vAlign w:val="center"/>
          </w:tcPr>
          <w:p w14:paraId="07392CA2">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Chinese</w:t>
            </w:r>
          </w:p>
        </w:tc>
        <w:tc>
          <w:tcPr>
            <w:tcW w:w="1775" w:type="dxa"/>
            <w:vAlign w:val="center"/>
          </w:tcPr>
          <w:p w14:paraId="25F1F830">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Municipal demonstration school</w:t>
            </w:r>
          </w:p>
        </w:tc>
        <w:tc>
          <w:tcPr>
            <w:tcW w:w="1000" w:type="dxa"/>
            <w:vAlign w:val="center"/>
          </w:tcPr>
          <w:p w14:paraId="601474E0">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Sichuan</w:t>
            </w:r>
          </w:p>
        </w:tc>
        <w:tc>
          <w:tcPr>
            <w:tcW w:w="950" w:type="dxa"/>
            <w:vAlign w:val="center"/>
          </w:tcPr>
          <w:p w14:paraId="26D6EB28">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ca. 25min</w:t>
            </w:r>
          </w:p>
        </w:tc>
      </w:tr>
      <w:tr w14:paraId="461F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vAlign w:val="center"/>
          </w:tcPr>
          <w:p w14:paraId="7C903B0B">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P2</w:t>
            </w:r>
          </w:p>
        </w:tc>
        <w:tc>
          <w:tcPr>
            <w:tcW w:w="1250" w:type="dxa"/>
            <w:vAlign w:val="top"/>
          </w:tcPr>
          <w:p w14:paraId="158AACF9">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T04-Q, I05</w:t>
            </w:r>
          </w:p>
        </w:tc>
        <w:tc>
          <w:tcPr>
            <w:tcW w:w="772" w:type="dxa"/>
            <w:vAlign w:val="center"/>
          </w:tcPr>
          <w:p w14:paraId="2042246B">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[M]</w:t>
            </w:r>
          </w:p>
        </w:tc>
        <w:tc>
          <w:tcPr>
            <w:tcW w:w="603" w:type="dxa"/>
            <w:vAlign w:val="center"/>
          </w:tcPr>
          <w:p w14:paraId="46E347E7">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[15]</w:t>
            </w:r>
          </w:p>
        </w:tc>
        <w:tc>
          <w:tcPr>
            <w:tcW w:w="1558" w:type="dxa"/>
            <w:vAlign w:val="center"/>
          </w:tcPr>
          <w:p w14:paraId="7DC0EA1E">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Upper secondary</w:t>
            </w:r>
          </w:p>
        </w:tc>
        <w:tc>
          <w:tcPr>
            <w:tcW w:w="1125" w:type="dxa"/>
            <w:vAlign w:val="center"/>
          </w:tcPr>
          <w:p w14:paraId="5805CA75">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Chinese</w:t>
            </w:r>
          </w:p>
        </w:tc>
        <w:tc>
          <w:tcPr>
            <w:tcW w:w="1775" w:type="dxa"/>
            <w:vAlign w:val="center"/>
          </w:tcPr>
          <w:p w14:paraId="2698B0D4">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Municipal school</w:t>
            </w:r>
          </w:p>
        </w:tc>
        <w:tc>
          <w:tcPr>
            <w:tcW w:w="1000" w:type="dxa"/>
            <w:vAlign w:val="center"/>
          </w:tcPr>
          <w:p w14:paraId="3723120D">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Shandong</w:t>
            </w:r>
          </w:p>
        </w:tc>
        <w:tc>
          <w:tcPr>
            <w:tcW w:w="950" w:type="dxa"/>
            <w:vAlign w:val="center"/>
          </w:tcPr>
          <w:p w14:paraId="2A4C6123">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ca. 25min</w:t>
            </w:r>
          </w:p>
        </w:tc>
      </w:tr>
      <w:tr w14:paraId="4565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vAlign w:val="center"/>
          </w:tcPr>
          <w:p w14:paraId="53B668B9">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P3</w:t>
            </w:r>
          </w:p>
        </w:tc>
        <w:tc>
          <w:tcPr>
            <w:tcW w:w="1250" w:type="dxa"/>
            <w:vAlign w:val="top"/>
          </w:tcPr>
          <w:p w14:paraId="3F23998F">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I01, I07</w:t>
            </w:r>
          </w:p>
        </w:tc>
        <w:tc>
          <w:tcPr>
            <w:tcW w:w="772" w:type="dxa"/>
            <w:vAlign w:val="center"/>
          </w:tcPr>
          <w:p w14:paraId="3C09CFE8">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[F]</w:t>
            </w:r>
          </w:p>
        </w:tc>
        <w:tc>
          <w:tcPr>
            <w:tcW w:w="603" w:type="dxa"/>
            <w:vAlign w:val="center"/>
          </w:tcPr>
          <w:p w14:paraId="00AE27BB">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[7]</w:t>
            </w:r>
          </w:p>
        </w:tc>
        <w:tc>
          <w:tcPr>
            <w:tcW w:w="1558" w:type="dxa"/>
            <w:vAlign w:val="center"/>
          </w:tcPr>
          <w:p w14:paraId="4C401FB6">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Lower secondary</w:t>
            </w:r>
          </w:p>
        </w:tc>
        <w:tc>
          <w:tcPr>
            <w:tcW w:w="1125" w:type="dxa"/>
            <w:vAlign w:val="center"/>
          </w:tcPr>
          <w:p w14:paraId="2FFF4BC0">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English</w:t>
            </w:r>
          </w:p>
        </w:tc>
        <w:tc>
          <w:tcPr>
            <w:tcW w:w="1775" w:type="dxa"/>
            <w:vAlign w:val="center"/>
          </w:tcPr>
          <w:p w14:paraId="76ADD7CA">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District school</w:t>
            </w:r>
          </w:p>
        </w:tc>
        <w:tc>
          <w:tcPr>
            <w:tcW w:w="1000" w:type="dxa"/>
            <w:vAlign w:val="center"/>
          </w:tcPr>
          <w:p w14:paraId="37568D62">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Shandong</w:t>
            </w:r>
          </w:p>
        </w:tc>
        <w:tc>
          <w:tcPr>
            <w:tcW w:w="950" w:type="dxa"/>
            <w:vAlign w:val="center"/>
          </w:tcPr>
          <w:p w14:paraId="1115B9AC">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ca. 30min</w:t>
            </w:r>
          </w:p>
        </w:tc>
      </w:tr>
      <w:tr w14:paraId="76B4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vAlign w:val="center"/>
          </w:tcPr>
          <w:p w14:paraId="1BA5775E">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P4</w:t>
            </w:r>
          </w:p>
        </w:tc>
        <w:tc>
          <w:tcPr>
            <w:tcW w:w="1250" w:type="dxa"/>
            <w:vAlign w:val="top"/>
          </w:tcPr>
          <w:p w14:paraId="5DEB7460">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T06-Q, T08-Q</w:t>
            </w:r>
          </w:p>
        </w:tc>
        <w:tc>
          <w:tcPr>
            <w:tcW w:w="772" w:type="dxa"/>
            <w:vAlign w:val="center"/>
          </w:tcPr>
          <w:p w14:paraId="1E5598B1">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[F]</w:t>
            </w:r>
          </w:p>
        </w:tc>
        <w:tc>
          <w:tcPr>
            <w:tcW w:w="603" w:type="dxa"/>
            <w:vAlign w:val="center"/>
          </w:tcPr>
          <w:p w14:paraId="679BCB4E">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[18]</w:t>
            </w:r>
          </w:p>
        </w:tc>
        <w:tc>
          <w:tcPr>
            <w:tcW w:w="1558" w:type="dxa"/>
            <w:vAlign w:val="center"/>
          </w:tcPr>
          <w:p w14:paraId="6FC90512">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Upper secondary</w:t>
            </w:r>
          </w:p>
        </w:tc>
        <w:tc>
          <w:tcPr>
            <w:tcW w:w="1125" w:type="dxa"/>
            <w:vAlign w:val="center"/>
          </w:tcPr>
          <w:p w14:paraId="376EA9FF">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Arts</w:t>
            </w:r>
          </w:p>
        </w:tc>
        <w:tc>
          <w:tcPr>
            <w:tcW w:w="1775" w:type="dxa"/>
            <w:vAlign w:val="center"/>
          </w:tcPr>
          <w:p w14:paraId="141F3EE0">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Municipal school</w:t>
            </w:r>
          </w:p>
        </w:tc>
        <w:tc>
          <w:tcPr>
            <w:tcW w:w="1000" w:type="dxa"/>
            <w:vAlign w:val="center"/>
          </w:tcPr>
          <w:p w14:paraId="2C476562">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Henan</w:t>
            </w:r>
          </w:p>
        </w:tc>
        <w:tc>
          <w:tcPr>
            <w:tcW w:w="950" w:type="dxa"/>
            <w:vAlign w:val="center"/>
          </w:tcPr>
          <w:p w14:paraId="2DAB4730">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ca. 25min</w:t>
            </w:r>
          </w:p>
        </w:tc>
      </w:tr>
      <w:tr w14:paraId="5F8D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vAlign w:val="center"/>
          </w:tcPr>
          <w:p w14:paraId="18310EC4">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P5</w:t>
            </w:r>
          </w:p>
        </w:tc>
        <w:tc>
          <w:tcPr>
            <w:tcW w:w="1250" w:type="dxa"/>
            <w:vAlign w:val="top"/>
          </w:tcPr>
          <w:p w14:paraId="2F81CA25">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I02</w:t>
            </w:r>
          </w:p>
        </w:tc>
        <w:tc>
          <w:tcPr>
            <w:tcW w:w="772" w:type="dxa"/>
            <w:vAlign w:val="center"/>
          </w:tcPr>
          <w:p w14:paraId="12E3023F">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[F]</w:t>
            </w:r>
          </w:p>
        </w:tc>
        <w:tc>
          <w:tcPr>
            <w:tcW w:w="603" w:type="dxa"/>
            <w:vAlign w:val="center"/>
          </w:tcPr>
          <w:p w14:paraId="6D2C16E6">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1558" w:type="dxa"/>
            <w:vAlign w:val="center"/>
          </w:tcPr>
          <w:p w14:paraId="40AC4EFE">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Primary/Lower sec.</w:t>
            </w:r>
          </w:p>
        </w:tc>
        <w:tc>
          <w:tcPr>
            <w:tcW w:w="1125" w:type="dxa"/>
            <w:vAlign w:val="center"/>
          </w:tcPr>
          <w:p w14:paraId="72FE53A2">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Chinese</w:t>
            </w:r>
          </w:p>
        </w:tc>
        <w:tc>
          <w:tcPr>
            <w:tcW w:w="1775" w:type="dxa"/>
            <w:vAlign w:val="center"/>
          </w:tcPr>
          <w:p w14:paraId="492515B6">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District school</w:t>
            </w:r>
          </w:p>
        </w:tc>
        <w:tc>
          <w:tcPr>
            <w:tcW w:w="1000" w:type="dxa"/>
            <w:vAlign w:val="center"/>
          </w:tcPr>
          <w:p w14:paraId="7F470166">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Shandong</w:t>
            </w:r>
          </w:p>
        </w:tc>
        <w:tc>
          <w:tcPr>
            <w:tcW w:w="950" w:type="dxa"/>
            <w:vAlign w:val="center"/>
          </w:tcPr>
          <w:p w14:paraId="6E0DE012">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ca. 30min</w:t>
            </w:r>
          </w:p>
        </w:tc>
      </w:tr>
      <w:tr w14:paraId="3D24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vAlign w:val="center"/>
          </w:tcPr>
          <w:p w14:paraId="4AB6CE43">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P6</w:t>
            </w:r>
          </w:p>
        </w:tc>
        <w:tc>
          <w:tcPr>
            <w:tcW w:w="1250" w:type="dxa"/>
            <w:vAlign w:val="top"/>
          </w:tcPr>
          <w:p w14:paraId="796EEEC6">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T03-Q, I03</w:t>
            </w:r>
          </w:p>
        </w:tc>
        <w:tc>
          <w:tcPr>
            <w:tcW w:w="772" w:type="dxa"/>
            <w:vAlign w:val="center"/>
          </w:tcPr>
          <w:p w14:paraId="0FB9E5ED">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[F]</w:t>
            </w:r>
          </w:p>
        </w:tc>
        <w:tc>
          <w:tcPr>
            <w:tcW w:w="603" w:type="dxa"/>
            <w:vAlign w:val="center"/>
          </w:tcPr>
          <w:p w14:paraId="68B0752B">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[5]</w:t>
            </w:r>
          </w:p>
        </w:tc>
        <w:tc>
          <w:tcPr>
            <w:tcW w:w="1558" w:type="dxa"/>
            <w:vAlign w:val="center"/>
          </w:tcPr>
          <w:p w14:paraId="63EBF203">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Lower secondary</w:t>
            </w:r>
          </w:p>
        </w:tc>
        <w:tc>
          <w:tcPr>
            <w:tcW w:w="1125" w:type="dxa"/>
            <w:vAlign w:val="center"/>
          </w:tcPr>
          <w:p w14:paraId="034D2FC3">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Mathematics</w:t>
            </w:r>
          </w:p>
        </w:tc>
        <w:tc>
          <w:tcPr>
            <w:tcW w:w="1775" w:type="dxa"/>
            <w:vAlign w:val="center"/>
          </w:tcPr>
          <w:p w14:paraId="5F1B6D5E">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District school</w:t>
            </w:r>
          </w:p>
        </w:tc>
        <w:tc>
          <w:tcPr>
            <w:tcW w:w="1000" w:type="dxa"/>
            <w:vAlign w:val="center"/>
          </w:tcPr>
          <w:p w14:paraId="31FEB81B">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Shandong</w:t>
            </w:r>
          </w:p>
        </w:tc>
        <w:tc>
          <w:tcPr>
            <w:tcW w:w="950" w:type="dxa"/>
            <w:vAlign w:val="center"/>
          </w:tcPr>
          <w:p w14:paraId="29D8573D">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ca. 35min</w:t>
            </w:r>
          </w:p>
        </w:tc>
      </w:tr>
      <w:tr w14:paraId="6B55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vAlign w:val="center"/>
          </w:tcPr>
          <w:p w14:paraId="436BD0BA">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P7</w:t>
            </w:r>
          </w:p>
        </w:tc>
        <w:tc>
          <w:tcPr>
            <w:tcW w:w="1250" w:type="dxa"/>
            <w:vAlign w:val="center"/>
          </w:tcPr>
          <w:p w14:paraId="76FCA7DA">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T07-Q</w:t>
            </w:r>
          </w:p>
        </w:tc>
        <w:tc>
          <w:tcPr>
            <w:tcW w:w="772" w:type="dxa"/>
            <w:vAlign w:val="center"/>
          </w:tcPr>
          <w:p w14:paraId="198FE8D2">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[M]</w:t>
            </w:r>
          </w:p>
        </w:tc>
        <w:tc>
          <w:tcPr>
            <w:tcW w:w="603" w:type="dxa"/>
            <w:vAlign w:val="center"/>
          </w:tcPr>
          <w:p w14:paraId="092B58E8">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[15]</w:t>
            </w:r>
          </w:p>
        </w:tc>
        <w:tc>
          <w:tcPr>
            <w:tcW w:w="1558" w:type="dxa"/>
            <w:vAlign w:val="center"/>
          </w:tcPr>
          <w:p w14:paraId="16188525">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Upper secondary</w:t>
            </w:r>
          </w:p>
        </w:tc>
        <w:tc>
          <w:tcPr>
            <w:tcW w:w="1125" w:type="dxa"/>
            <w:vAlign w:val="center"/>
          </w:tcPr>
          <w:p w14:paraId="6E24157D">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Politics</w:t>
            </w:r>
          </w:p>
        </w:tc>
        <w:tc>
          <w:tcPr>
            <w:tcW w:w="1775" w:type="dxa"/>
            <w:vAlign w:val="center"/>
          </w:tcPr>
          <w:p w14:paraId="62B0B291">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District ordinary school</w:t>
            </w:r>
          </w:p>
        </w:tc>
        <w:tc>
          <w:tcPr>
            <w:tcW w:w="1000" w:type="dxa"/>
            <w:vAlign w:val="center"/>
          </w:tcPr>
          <w:p w14:paraId="31259BFD">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Chongqing</w:t>
            </w:r>
          </w:p>
        </w:tc>
        <w:tc>
          <w:tcPr>
            <w:tcW w:w="950" w:type="dxa"/>
            <w:vAlign w:val="center"/>
          </w:tcPr>
          <w:p w14:paraId="2F0D00FD">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ca. 25min</w:t>
            </w:r>
          </w:p>
        </w:tc>
      </w:tr>
      <w:tr w14:paraId="68C2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vAlign w:val="center"/>
          </w:tcPr>
          <w:p w14:paraId="7B62038F">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P8</w:t>
            </w:r>
          </w:p>
        </w:tc>
        <w:tc>
          <w:tcPr>
            <w:tcW w:w="1250" w:type="dxa"/>
            <w:vAlign w:val="top"/>
          </w:tcPr>
          <w:p w14:paraId="41ACF0E2">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T02-Q, T09-Q</w:t>
            </w:r>
          </w:p>
        </w:tc>
        <w:tc>
          <w:tcPr>
            <w:tcW w:w="772" w:type="dxa"/>
            <w:vAlign w:val="center"/>
          </w:tcPr>
          <w:p w14:paraId="745E28D1">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[F]</w:t>
            </w:r>
          </w:p>
        </w:tc>
        <w:tc>
          <w:tcPr>
            <w:tcW w:w="603" w:type="dxa"/>
            <w:vAlign w:val="center"/>
          </w:tcPr>
          <w:p w14:paraId="598B287A">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[5]</w:t>
            </w:r>
          </w:p>
        </w:tc>
        <w:tc>
          <w:tcPr>
            <w:tcW w:w="1558" w:type="dxa"/>
            <w:vAlign w:val="center"/>
          </w:tcPr>
          <w:p w14:paraId="111C2011">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Lower secondary</w:t>
            </w:r>
          </w:p>
        </w:tc>
        <w:tc>
          <w:tcPr>
            <w:tcW w:w="1125" w:type="dxa"/>
            <w:vAlign w:val="center"/>
          </w:tcPr>
          <w:p w14:paraId="028C27FC">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Biology</w:t>
            </w:r>
          </w:p>
        </w:tc>
        <w:tc>
          <w:tcPr>
            <w:tcW w:w="1775" w:type="dxa"/>
            <w:vAlign w:val="center"/>
          </w:tcPr>
          <w:p w14:paraId="2D0D96F8">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District school</w:t>
            </w:r>
          </w:p>
        </w:tc>
        <w:tc>
          <w:tcPr>
            <w:tcW w:w="1000" w:type="dxa"/>
            <w:vAlign w:val="center"/>
          </w:tcPr>
          <w:p w14:paraId="2EE0798F">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Shandong</w:t>
            </w:r>
          </w:p>
        </w:tc>
        <w:tc>
          <w:tcPr>
            <w:tcW w:w="950" w:type="dxa"/>
            <w:vAlign w:val="center"/>
          </w:tcPr>
          <w:p w14:paraId="3A79EC42">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ca. 30min</w:t>
            </w:r>
          </w:p>
        </w:tc>
      </w:tr>
    </w:tbl>
    <w:p w14:paraId="699EEB9B">
      <w:pPr>
        <w:keepNext w:val="0"/>
        <w:keepLines w:val="0"/>
        <w:pageBreakBefore w:val="0"/>
        <w:widowControl w:val="0"/>
        <w:kinsoku/>
        <w:wordWrap/>
        <w:overflowPunct/>
        <w:topLinePunct w:val="0"/>
        <w:autoSpaceDE/>
        <w:autoSpaceDN/>
        <w:bidi w:val="0"/>
        <w:adjustRightInd w:val="0"/>
        <w:snapToGrid w:val="0"/>
        <w:spacing w:line="240" w:lineRule="auto"/>
        <w:ind w:left="160" w:leftChars="76" w:firstLine="0" w:firstLineChars="0"/>
        <w:textAlignment w:val="auto"/>
        <w:rPr>
          <w:rFonts w:hint="default" w:ascii="Times New Roman" w:hAnsi="Times New Roman" w:cs="Times New Roman"/>
          <w:sz w:val="16"/>
          <w:szCs w:val="16"/>
        </w:rPr>
      </w:pPr>
      <w:r>
        <w:rPr>
          <w:rFonts w:hint="default" w:ascii="Times New Roman" w:hAnsi="Times New Roman" w:cs="Times New Roman"/>
          <w:sz w:val="16"/>
          <w:szCs w:val="16"/>
        </w:rPr>
        <w:t>Note: Participant identifiers P1–P8 are used only in this appendix and do not appear in the main manuscript. Participants are listed in the order in which the interviews were conducted. Interview durations are approximate.</w:t>
      </w:r>
    </w:p>
    <w:p w14:paraId="09E479A4">
      <w:pPr>
        <w:rPr>
          <w:rFonts w:hint="eastAsia"/>
        </w:rPr>
      </w:pPr>
    </w:p>
    <w:p w14:paraId="3A961CF6">
      <w:pPr>
        <w:ind w:firstLine="211" w:firstLineChars="100"/>
        <w:rPr>
          <w:rFonts w:hint="eastAsia" w:ascii="Times New Roman" w:hAnsi="Times New Roman" w:cs="Times New Roman"/>
          <w:b/>
          <w:bCs/>
        </w:rPr>
      </w:pPr>
      <w:r>
        <w:rPr>
          <w:rFonts w:hint="eastAsia" w:ascii="Times New Roman" w:hAnsi="Times New Roman" w:cs="Times New Roman"/>
          <w:b/>
          <w:bCs/>
        </w:rPr>
        <w:t xml:space="preserve">Table </w:t>
      </w:r>
      <w:r>
        <w:rPr>
          <w:rFonts w:hint="eastAsia" w:ascii="Times New Roman" w:hAnsi="Times New Roman" w:cs="Times New Roman"/>
          <w:b/>
          <w:bCs/>
          <w:lang w:val="en-US" w:eastAsia="zh-CN"/>
        </w:rPr>
        <w:t>A</w:t>
      </w:r>
      <w:r>
        <w:rPr>
          <w:rFonts w:hint="eastAsia" w:ascii="Times New Roman" w:hAnsi="Times New Roman" w:cs="Times New Roman"/>
          <w:b/>
          <w:bCs/>
        </w:rPr>
        <w:t>2 Expert participants</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919"/>
        <w:gridCol w:w="4618"/>
        <w:gridCol w:w="1727"/>
        <w:gridCol w:w="1192"/>
      </w:tblGrid>
      <w:tr w14:paraId="64C3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vAlign w:val="top"/>
          </w:tcPr>
          <w:p w14:paraId="19DEFFD0">
            <w:pPr>
              <w:keepNext w:val="0"/>
              <w:keepLines w:val="0"/>
              <w:widowControl/>
              <w:suppressLineNumbers w:val="0"/>
              <w:jc w:val="left"/>
              <w:textAlignment w:val="top"/>
              <w:rPr>
                <w:rFonts w:hint="eastAsia"/>
                <w:vertAlign w:val="baseline"/>
              </w:rPr>
            </w:pPr>
            <w:r>
              <w:rPr>
                <w:rFonts w:hint="default" w:ascii="Times New Roman" w:hAnsi="Times New Roman" w:eastAsia="宋体" w:cs="Times New Roman"/>
                <w:b/>
                <w:bCs/>
                <w:i w:val="0"/>
                <w:iCs w:val="0"/>
                <w:color w:val="000000"/>
                <w:kern w:val="0"/>
                <w:sz w:val="17"/>
                <w:szCs w:val="17"/>
                <w:u w:val="none"/>
                <w:lang w:val="en-US" w:eastAsia="zh-CN" w:bidi="ar"/>
              </w:rPr>
              <w:t>Participant</w:t>
            </w:r>
          </w:p>
        </w:tc>
        <w:tc>
          <w:tcPr>
            <w:tcW w:w="919" w:type="dxa"/>
            <w:vAlign w:val="top"/>
          </w:tcPr>
          <w:p w14:paraId="30C78767">
            <w:pPr>
              <w:keepNext w:val="0"/>
              <w:keepLines w:val="0"/>
              <w:widowControl/>
              <w:suppressLineNumbers w:val="0"/>
              <w:jc w:val="left"/>
              <w:textAlignment w:val="top"/>
              <w:rPr>
                <w:rFonts w:hint="eastAsia"/>
                <w:vertAlign w:val="baseline"/>
              </w:rPr>
            </w:pPr>
            <w:r>
              <w:rPr>
                <w:rFonts w:hint="default" w:ascii="Times New Roman" w:hAnsi="Times New Roman" w:eastAsia="宋体" w:cs="Times New Roman"/>
                <w:b/>
                <w:bCs/>
                <w:i w:val="0"/>
                <w:iCs w:val="0"/>
                <w:color w:val="000000"/>
                <w:kern w:val="0"/>
                <w:sz w:val="17"/>
                <w:szCs w:val="17"/>
                <w:u w:val="none"/>
                <w:lang w:val="en-US" w:eastAsia="zh-CN" w:bidi="ar"/>
              </w:rPr>
              <w:t>Gender</w:t>
            </w:r>
          </w:p>
        </w:tc>
        <w:tc>
          <w:tcPr>
            <w:tcW w:w="4618" w:type="dxa"/>
            <w:vAlign w:val="top"/>
          </w:tcPr>
          <w:p w14:paraId="69DCB9CD">
            <w:pPr>
              <w:keepNext w:val="0"/>
              <w:keepLines w:val="0"/>
              <w:widowControl/>
              <w:suppressLineNumbers w:val="0"/>
              <w:jc w:val="left"/>
              <w:textAlignment w:val="top"/>
              <w:rPr>
                <w:rFonts w:hint="eastAsia"/>
                <w:vertAlign w:val="baseline"/>
              </w:rPr>
            </w:pPr>
            <w:r>
              <w:rPr>
                <w:rFonts w:hint="default" w:ascii="Times New Roman" w:hAnsi="Times New Roman" w:eastAsia="宋体" w:cs="Times New Roman"/>
                <w:b/>
                <w:bCs/>
                <w:i w:val="0"/>
                <w:iCs w:val="0"/>
                <w:color w:val="000000"/>
                <w:kern w:val="0"/>
                <w:sz w:val="17"/>
                <w:szCs w:val="17"/>
                <w:u w:val="none"/>
                <w:lang w:val="en-US" w:eastAsia="zh-CN" w:bidi="ar"/>
              </w:rPr>
              <w:t>Role</w:t>
            </w:r>
          </w:p>
        </w:tc>
        <w:tc>
          <w:tcPr>
            <w:tcW w:w="1727" w:type="dxa"/>
            <w:vAlign w:val="top"/>
          </w:tcPr>
          <w:p w14:paraId="31D2A915">
            <w:pPr>
              <w:keepNext w:val="0"/>
              <w:keepLines w:val="0"/>
              <w:widowControl/>
              <w:suppressLineNumbers w:val="0"/>
              <w:jc w:val="left"/>
              <w:textAlignment w:val="top"/>
              <w:rPr>
                <w:rFonts w:hint="eastAsia"/>
                <w:vertAlign w:val="baseline"/>
              </w:rPr>
            </w:pPr>
            <w:r>
              <w:rPr>
                <w:rFonts w:hint="default" w:ascii="Times New Roman" w:hAnsi="Times New Roman" w:eastAsia="宋体" w:cs="Times New Roman"/>
                <w:b/>
                <w:bCs/>
                <w:i w:val="0"/>
                <w:iCs w:val="0"/>
                <w:color w:val="000000"/>
                <w:kern w:val="0"/>
                <w:sz w:val="17"/>
                <w:szCs w:val="17"/>
                <w:u w:val="none"/>
                <w:lang w:val="en-US" w:eastAsia="zh-CN" w:bidi="ar"/>
              </w:rPr>
              <w:t>Institution type</w:t>
            </w:r>
          </w:p>
        </w:tc>
        <w:tc>
          <w:tcPr>
            <w:tcW w:w="1192" w:type="dxa"/>
            <w:vAlign w:val="top"/>
          </w:tcPr>
          <w:p w14:paraId="324815BC">
            <w:pPr>
              <w:keepNext w:val="0"/>
              <w:keepLines w:val="0"/>
              <w:widowControl/>
              <w:suppressLineNumbers w:val="0"/>
              <w:jc w:val="left"/>
              <w:textAlignment w:val="top"/>
              <w:rPr>
                <w:rFonts w:hint="eastAsia"/>
                <w:vertAlign w:val="baseline"/>
              </w:rPr>
            </w:pPr>
            <w:r>
              <w:rPr>
                <w:rFonts w:hint="default" w:ascii="Times New Roman" w:hAnsi="Times New Roman" w:eastAsia="宋体" w:cs="Times New Roman"/>
                <w:b/>
                <w:bCs/>
                <w:i w:val="0"/>
                <w:iCs w:val="0"/>
                <w:color w:val="000000"/>
                <w:kern w:val="0"/>
                <w:sz w:val="17"/>
                <w:szCs w:val="17"/>
                <w:u w:val="none"/>
                <w:lang w:val="en-US" w:eastAsia="zh-CN" w:bidi="ar"/>
              </w:rPr>
              <w:t>Duration</w:t>
            </w:r>
          </w:p>
        </w:tc>
      </w:tr>
      <w:tr w14:paraId="6A5A6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vAlign w:val="center"/>
          </w:tcPr>
          <w:p w14:paraId="25E5B557">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7"/>
                <w:szCs w:val="17"/>
                <w:u w:val="none"/>
                <w:lang w:val="en-US" w:eastAsia="zh-CN" w:bidi="ar"/>
              </w:rPr>
            </w:pPr>
            <w:r>
              <w:rPr>
                <w:rFonts w:hint="default" w:ascii="Times New Roman" w:hAnsi="Times New Roman" w:eastAsia="宋体" w:cs="Times New Roman"/>
                <w:i w:val="0"/>
                <w:iCs w:val="0"/>
                <w:color w:val="000000"/>
                <w:kern w:val="0"/>
                <w:sz w:val="17"/>
                <w:szCs w:val="17"/>
                <w:u w:val="none"/>
                <w:lang w:val="en-US" w:eastAsia="zh-CN" w:bidi="ar"/>
              </w:rPr>
              <w:t>E1</w:t>
            </w:r>
          </w:p>
        </w:tc>
        <w:tc>
          <w:tcPr>
            <w:tcW w:w="919" w:type="dxa"/>
            <w:vAlign w:val="center"/>
          </w:tcPr>
          <w:p w14:paraId="63904ED5">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7"/>
                <w:szCs w:val="17"/>
                <w:u w:val="none"/>
                <w:lang w:val="en-US" w:eastAsia="zh-CN" w:bidi="ar"/>
              </w:rPr>
            </w:pPr>
            <w:r>
              <w:rPr>
                <w:rFonts w:hint="eastAsia" w:ascii="Times New Roman" w:hAnsi="Times New Roman" w:eastAsia="宋体" w:cs="Times New Roman"/>
                <w:i w:val="0"/>
                <w:iCs w:val="0"/>
                <w:color w:val="000000"/>
                <w:kern w:val="0"/>
                <w:sz w:val="17"/>
                <w:szCs w:val="17"/>
                <w:u w:val="none"/>
                <w:lang w:val="en-US" w:eastAsia="zh-CN" w:bidi="ar"/>
              </w:rPr>
              <w:t>M</w:t>
            </w:r>
          </w:p>
        </w:tc>
        <w:tc>
          <w:tcPr>
            <w:tcW w:w="4618" w:type="dxa"/>
            <w:vAlign w:val="center"/>
          </w:tcPr>
          <w:p w14:paraId="70C76368">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default" w:ascii="Times New Roman" w:hAnsi="Times New Roman" w:eastAsia="宋体" w:cs="Times New Roman"/>
                <w:b/>
                <w:bCs/>
                <w:i w:val="0"/>
                <w:iCs w:val="0"/>
                <w:color w:val="000000"/>
                <w:kern w:val="0"/>
                <w:sz w:val="17"/>
                <w:szCs w:val="17"/>
                <w:u w:val="none"/>
                <w:lang w:val="en-US" w:eastAsia="zh-CN" w:bidi="ar"/>
              </w:rPr>
            </w:pPr>
            <w:r>
              <w:rPr>
                <w:rFonts w:hint="default" w:ascii="Times New Roman" w:hAnsi="Times New Roman" w:eastAsia="宋体" w:cs="Times New Roman"/>
                <w:i w:val="0"/>
                <w:iCs w:val="0"/>
                <w:color w:val="000000"/>
                <w:kern w:val="0"/>
                <w:sz w:val="17"/>
                <w:szCs w:val="17"/>
                <w:u w:val="none"/>
                <w:lang w:val="en-US" w:eastAsia="zh-CN" w:bidi="ar"/>
              </w:rPr>
              <w:t>University teacher; national and provincial teacher-training programmes</w:t>
            </w:r>
          </w:p>
        </w:tc>
        <w:tc>
          <w:tcPr>
            <w:tcW w:w="1727" w:type="dxa"/>
            <w:vAlign w:val="center"/>
          </w:tcPr>
          <w:p w14:paraId="67E334A4">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default" w:ascii="Times New Roman" w:hAnsi="Times New Roman" w:eastAsia="宋体" w:cs="Times New Roman"/>
                <w:b/>
                <w:bCs/>
                <w:i w:val="0"/>
                <w:iCs w:val="0"/>
                <w:color w:val="000000"/>
                <w:kern w:val="0"/>
                <w:sz w:val="17"/>
                <w:szCs w:val="17"/>
                <w:u w:val="none"/>
                <w:lang w:val="en-US" w:eastAsia="zh-CN" w:bidi="ar"/>
              </w:rPr>
            </w:pPr>
            <w:r>
              <w:rPr>
                <w:rFonts w:hint="default" w:ascii="Times New Roman" w:hAnsi="Times New Roman" w:eastAsia="宋体" w:cs="Times New Roman"/>
                <w:i w:val="0"/>
                <w:iCs w:val="0"/>
                <w:color w:val="000000"/>
                <w:kern w:val="0"/>
                <w:sz w:val="17"/>
                <w:szCs w:val="17"/>
                <w:u w:val="none"/>
                <w:lang w:val="en-US" w:eastAsia="zh-CN" w:bidi="ar"/>
              </w:rPr>
              <w:t>Higher education institution</w:t>
            </w:r>
          </w:p>
        </w:tc>
        <w:tc>
          <w:tcPr>
            <w:tcW w:w="1192" w:type="dxa"/>
            <w:vAlign w:val="center"/>
          </w:tcPr>
          <w:p w14:paraId="3FCCCC81">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7"/>
                <w:szCs w:val="17"/>
                <w:u w:val="none"/>
                <w:lang w:val="en-US" w:eastAsia="zh-CN" w:bidi="ar"/>
              </w:rPr>
            </w:pPr>
            <w:r>
              <w:rPr>
                <w:rFonts w:hint="default" w:ascii="Times New Roman" w:hAnsi="Times New Roman" w:eastAsia="宋体" w:cs="Times New Roman"/>
                <w:i w:val="0"/>
                <w:iCs w:val="0"/>
                <w:color w:val="000000"/>
                <w:kern w:val="0"/>
                <w:sz w:val="17"/>
                <w:szCs w:val="17"/>
                <w:u w:val="none"/>
                <w:lang w:val="en-US" w:eastAsia="zh-CN" w:bidi="ar"/>
              </w:rPr>
              <w:t>ca. 25 min</w:t>
            </w:r>
          </w:p>
        </w:tc>
      </w:tr>
      <w:tr w14:paraId="0428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vAlign w:val="center"/>
          </w:tcPr>
          <w:p w14:paraId="49058190">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7"/>
                <w:szCs w:val="17"/>
                <w:u w:val="none"/>
                <w:lang w:val="en-US" w:eastAsia="zh-CN" w:bidi="ar"/>
              </w:rPr>
            </w:pPr>
            <w:r>
              <w:rPr>
                <w:rFonts w:hint="default" w:ascii="Times New Roman" w:hAnsi="Times New Roman" w:eastAsia="宋体" w:cs="Times New Roman"/>
                <w:i w:val="0"/>
                <w:iCs w:val="0"/>
                <w:color w:val="000000"/>
                <w:kern w:val="0"/>
                <w:sz w:val="17"/>
                <w:szCs w:val="17"/>
                <w:u w:val="none"/>
                <w:lang w:val="en-US" w:eastAsia="zh-CN" w:bidi="ar"/>
              </w:rPr>
              <w:t>E2</w:t>
            </w:r>
          </w:p>
        </w:tc>
        <w:tc>
          <w:tcPr>
            <w:tcW w:w="919" w:type="dxa"/>
            <w:vAlign w:val="center"/>
          </w:tcPr>
          <w:p w14:paraId="394B82B3">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7"/>
                <w:szCs w:val="17"/>
                <w:u w:val="none"/>
                <w:lang w:val="en-US" w:eastAsia="zh-CN" w:bidi="ar"/>
              </w:rPr>
            </w:pPr>
            <w:r>
              <w:rPr>
                <w:rFonts w:hint="default" w:ascii="Times New Roman" w:hAnsi="Times New Roman" w:eastAsia="宋体" w:cs="Times New Roman"/>
                <w:i w:val="0"/>
                <w:iCs w:val="0"/>
                <w:color w:val="000000"/>
                <w:kern w:val="0"/>
                <w:sz w:val="17"/>
                <w:szCs w:val="17"/>
                <w:u w:val="none"/>
                <w:lang w:val="en-US" w:eastAsia="zh-CN" w:bidi="ar"/>
              </w:rPr>
              <w:t>M</w:t>
            </w:r>
          </w:p>
        </w:tc>
        <w:tc>
          <w:tcPr>
            <w:tcW w:w="4618" w:type="dxa"/>
            <w:vAlign w:val="center"/>
          </w:tcPr>
          <w:p w14:paraId="3947F2A1">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default" w:ascii="Times New Roman" w:hAnsi="Times New Roman" w:eastAsia="宋体" w:cs="Times New Roman"/>
                <w:b/>
                <w:bCs/>
                <w:i w:val="0"/>
                <w:iCs w:val="0"/>
                <w:color w:val="000000"/>
                <w:kern w:val="0"/>
                <w:sz w:val="17"/>
                <w:szCs w:val="17"/>
                <w:u w:val="none"/>
                <w:lang w:val="en-US" w:eastAsia="zh-CN" w:bidi="ar"/>
              </w:rPr>
            </w:pPr>
            <w:r>
              <w:rPr>
                <w:rFonts w:hint="default" w:ascii="Times New Roman" w:hAnsi="Times New Roman" w:eastAsia="宋体" w:cs="Times New Roman"/>
                <w:i w:val="0"/>
                <w:iCs w:val="0"/>
                <w:color w:val="000000"/>
                <w:kern w:val="0"/>
                <w:sz w:val="17"/>
                <w:szCs w:val="17"/>
                <w:u w:val="none"/>
                <w:lang w:val="en-US" w:eastAsia="zh-CN" w:bidi="ar"/>
              </w:rPr>
              <w:t>University teacher, faculty of education; national and municipal programmes</w:t>
            </w:r>
          </w:p>
        </w:tc>
        <w:tc>
          <w:tcPr>
            <w:tcW w:w="1727" w:type="dxa"/>
            <w:vAlign w:val="center"/>
          </w:tcPr>
          <w:p w14:paraId="6BB65310">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default" w:ascii="Times New Roman" w:hAnsi="Times New Roman" w:eastAsia="宋体" w:cs="Times New Roman"/>
                <w:b/>
                <w:bCs/>
                <w:i w:val="0"/>
                <w:iCs w:val="0"/>
                <w:color w:val="000000"/>
                <w:kern w:val="0"/>
                <w:sz w:val="17"/>
                <w:szCs w:val="17"/>
                <w:u w:val="none"/>
                <w:lang w:val="en-US" w:eastAsia="zh-CN" w:bidi="ar"/>
              </w:rPr>
            </w:pPr>
            <w:r>
              <w:rPr>
                <w:rFonts w:hint="default" w:ascii="Times New Roman" w:hAnsi="Times New Roman" w:eastAsia="宋体" w:cs="Times New Roman"/>
                <w:i w:val="0"/>
                <w:iCs w:val="0"/>
                <w:color w:val="000000"/>
                <w:kern w:val="0"/>
                <w:sz w:val="17"/>
                <w:szCs w:val="17"/>
                <w:u w:val="none"/>
                <w:lang w:val="en-US" w:eastAsia="zh-CN" w:bidi="ar"/>
              </w:rPr>
              <w:t>Higher education institution</w:t>
            </w:r>
          </w:p>
        </w:tc>
        <w:tc>
          <w:tcPr>
            <w:tcW w:w="1192" w:type="dxa"/>
            <w:vAlign w:val="center"/>
          </w:tcPr>
          <w:p w14:paraId="678B7AC6">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default" w:ascii="Times New Roman" w:hAnsi="Times New Roman" w:eastAsia="宋体" w:cs="Times New Roman"/>
                <w:b/>
                <w:bCs/>
                <w:i w:val="0"/>
                <w:iCs w:val="0"/>
                <w:color w:val="000000"/>
                <w:kern w:val="0"/>
                <w:sz w:val="17"/>
                <w:szCs w:val="17"/>
                <w:u w:val="none"/>
                <w:lang w:val="en-US" w:eastAsia="zh-CN" w:bidi="ar"/>
              </w:rPr>
            </w:pPr>
            <w:r>
              <w:rPr>
                <w:rFonts w:hint="default" w:ascii="Times New Roman" w:hAnsi="Times New Roman" w:eastAsia="宋体" w:cs="Times New Roman"/>
                <w:i w:val="0"/>
                <w:iCs w:val="0"/>
                <w:color w:val="000000"/>
                <w:kern w:val="0"/>
                <w:sz w:val="17"/>
                <w:szCs w:val="17"/>
                <w:u w:val="none"/>
                <w:lang w:val="en-US" w:eastAsia="zh-CN" w:bidi="ar"/>
              </w:rPr>
              <w:t>ca. 40 min</w:t>
            </w:r>
          </w:p>
        </w:tc>
      </w:tr>
    </w:tbl>
    <w:p w14:paraId="46E5FE7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cs="Times New Roman"/>
          <w:sz w:val="16"/>
          <w:szCs w:val="16"/>
        </w:rPr>
      </w:pPr>
      <w:r>
        <w:rPr>
          <w:rFonts w:hint="eastAsia" w:ascii="Times New Roman" w:hAnsi="Times New Roman" w:cs="Times New Roman"/>
          <w:sz w:val="16"/>
          <w:szCs w:val="16"/>
        </w:rPr>
        <w:t>Note. The two expert interviews were included in the qualitative coding process as supplementary and interpretive data, particularly for themes related to training barriers and online learning environment design. No expert excerpts were quoted in the main manuscript. Where relevant, expert excerpts are presented in the coding matrix solely to document the analytic basis of the relevant codes.</w:t>
      </w:r>
    </w:p>
    <w:p w14:paraId="400B2FB5">
      <w:pPr>
        <w:rPr>
          <w:rFonts w:hint="default" w:ascii="Times New Roman" w:hAnsi="Times New Roman" w:cs="Times New Roman"/>
          <w:b/>
          <w:bCs/>
          <w:sz w:val="24"/>
          <w:szCs w:val="24"/>
          <w:lang w:val="en-US" w:eastAsia="zh-CN"/>
        </w:rPr>
      </w:pPr>
    </w:p>
    <w:p w14:paraId="045C1CA7">
      <w:pPr>
        <w:rPr>
          <w:rFonts w:hint="default" w:ascii="Times New Roman" w:hAnsi="Times New Roman" w:cs="Times New Roman"/>
          <w:b/>
          <w:bCs/>
          <w:sz w:val="24"/>
          <w:szCs w:val="24"/>
          <w:lang w:val="en-US" w:eastAsia="zh-CN"/>
        </w:rPr>
      </w:pPr>
      <w:bookmarkStart w:id="0" w:name="_GoBack"/>
      <w:bookmarkEnd w:id="0"/>
    </w:p>
    <w:p w14:paraId="5E371594">
      <w:pPr>
        <w:rPr>
          <w:rFonts w:hint="default" w:ascii="Times New Roman" w:hAnsi="Times New Roman" w:cs="Times New Roman"/>
        </w:rPr>
      </w:pPr>
      <w:r>
        <w:rPr>
          <w:rFonts w:hint="default" w:ascii="Times New Roman" w:hAnsi="Times New Roman" w:cs="Times New Roman"/>
          <w:b/>
          <w:bCs/>
          <w:sz w:val="24"/>
          <w:szCs w:val="24"/>
          <w:lang w:val="en-US" w:eastAsia="zh-CN"/>
        </w:rPr>
        <w:t>A2. Coding Matrix for RQ1</w:t>
      </w:r>
    </w:p>
    <w:p w14:paraId="60D3368B">
      <w:pPr>
        <w:rPr>
          <w:rFonts w:hint="eastAsia"/>
        </w:rPr>
      </w:pPr>
      <w:r>
        <w:rPr>
          <w:rFonts w:hint="default" w:ascii="Times New Roman" w:hAnsi="Times New Roman" w:cs="Times New Roman"/>
          <w:sz w:val="20"/>
          <w:szCs w:val="20"/>
        </w:rPr>
        <w:t>RQ1: What is the current state of AI literacy among primary and secondary school teachers, and how do they engage in AI-related learning?</w:t>
      </w:r>
    </w:p>
    <w:tbl>
      <w:tblPr>
        <w:tblStyle w:val="3"/>
        <w:tblW w:w="10168" w:type="dxa"/>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89"/>
        <w:gridCol w:w="1627"/>
        <w:gridCol w:w="2400"/>
        <w:gridCol w:w="4852"/>
      </w:tblGrid>
      <w:tr w14:paraId="3FCB22C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289" w:type="dxa"/>
            <w:tcBorders>
              <w:bottom w:val="single" w:color="000000" w:sz="8" w:space="0"/>
            </w:tcBorders>
          </w:tcPr>
          <w:p w14:paraId="1AD79FA7">
            <w:pPr>
              <w:rPr>
                <w:rFonts w:hint="default" w:ascii="Times New Roman" w:hAnsi="Times New Roman" w:cs="Times New Roman"/>
                <w:b w:val="0"/>
                <w:bCs/>
                <w:sz w:val="18"/>
                <w:szCs w:val="18"/>
              </w:rPr>
            </w:pPr>
            <w:r>
              <w:rPr>
                <w:rFonts w:hint="default" w:ascii="Times New Roman" w:hAnsi="Times New Roman" w:eastAsia="Times New Roman" w:cs="Times New Roman"/>
                <w:b w:val="0"/>
                <w:bCs/>
                <w:i w:val="0"/>
                <w:sz w:val="18"/>
                <w:szCs w:val="18"/>
              </w:rPr>
              <w:t>Theme</w:t>
            </w:r>
          </w:p>
        </w:tc>
        <w:tc>
          <w:tcPr>
            <w:tcW w:w="1627" w:type="dxa"/>
            <w:tcBorders>
              <w:bottom w:val="single" w:color="000000" w:sz="8" w:space="0"/>
            </w:tcBorders>
          </w:tcPr>
          <w:p w14:paraId="64E60191">
            <w:pPr>
              <w:rPr>
                <w:rFonts w:hint="default" w:ascii="Times New Roman" w:hAnsi="Times New Roman" w:cs="Times New Roman"/>
                <w:b w:val="0"/>
                <w:bCs/>
                <w:sz w:val="18"/>
                <w:szCs w:val="18"/>
              </w:rPr>
            </w:pPr>
            <w:r>
              <w:rPr>
                <w:rFonts w:hint="default" w:ascii="Times New Roman" w:hAnsi="Times New Roman" w:eastAsia="Times New Roman" w:cs="Times New Roman"/>
                <w:b w:val="0"/>
                <w:bCs/>
                <w:i w:val="0"/>
                <w:sz w:val="18"/>
                <w:szCs w:val="18"/>
              </w:rPr>
              <w:t>Code</w:t>
            </w:r>
          </w:p>
        </w:tc>
        <w:tc>
          <w:tcPr>
            <w:tcW w:w="2400" w:type="dxa"/>
            <w:tcBorders>
              <w:bottom w:val="single" w:color="000000" w:sz="8" w:space="0"/>
            </w:tcBorders>
          </w:tcPr>
          <w:p w14:paraId="69B11A7B">
            <w:pPr>
              <w:rPr>
                <w:rFonts w:hint="default" w:ascii="Times New Roman" w:hAnsi="Times New Roman" w:cs="Times New Roman"/>
                <w:b w:val="0"/>
                <w:bCs/>
                <w:sz w:val="18"/>
                <w:szCs w:val="18"/>
              </w:rPr>
            </w:pPr>
            <w:r>
              <w:rPr>
                <w:rFonts w:hint="default" w:ascii="Times New Roman" w:hAnsi="Times New Roman" w:eastAsia="Times New Roman" w:cs="Times New Roman"/>
                <w:b w:val="0"/>
                <w:bCs/>
                <w:i w:val="0"/>
                <w:sz w:val="18"/>
                <w:szCs w:val="18"/>
              </w:rPr>
              <w:t>Definition</w:t>
            </w:r>
          </w:p>
        </w:tc>
        <w:tc>
          <w:tcPr>
            <w:tcW w:w="4852" w:type="dxa"/>
            <w:tcBorders>
              <w:bottom w:val="single" w:color="000000" w:sz="8" w:space="0"/>
            </w:tcBorders>
          </w:tcPr>
          <w:p w14:paraId="61426880">
            <w:pPr>
              <w:rPr>
                <w:rFonts w:hint="default" w:ascii="Times New Roman" w:hAnsi="Times New Roman" w:cs="Times New Roman"/>
                <w:b w:val="0"/>
                <w:bCs/>
                <w:sz w:val="18"/>
                <w:szCs w:val="18"/>
              </w:rPr>
            </w:pPr>
            <w:r>
              <w:rPr>
                <w:rFonts w:hint="default" w:ascii="Times New Roman" w:hAnsi="Times New Roman" w:eastAsia="Times New Roman" w:cs="Times New Roman"/>
                <w:b w:val="0"/>
                <w:bCs/>
                <w:i w:val="0"/>
                <w:sz w:val="18"/>
                <w:szCs w:val="18"/>
              </w:rPr>
              <w:t>Illustration</w:t>
            </w:r>
          </w:p>
        </w:tc>
      </w:tr>
      <w:tr w14:paraId="40CBBD2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3" w:hRule="atLeast"/>
        </w:trPr>
        <w:tc>
          <w:tcPr>
            <w:tcW w:w="1289" w:type="dxa"/>
            <w:vAlign w:val="center"/>
          </w:tcPr>
          <w:p w14:paraId="31F924D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b w:val="0"/>
                <w:bCs/>
                <w:sz w:val="18"/>
                <w:szCs w:val="18"/>
              </w:rPr>
            </w:pPr>
            <w:r>
              <w:rPr>
                <w:rFonts w:hint="default" w:ascii="Times New Roman" w:hAnsi="Times New Roman" w:eastAsia="宋体" w:cs="Times New Roman"/>
                <w:b w:val="0"/>
                <w:bCs/>
                <w:i w:val="0"/>
                <w:iCs w:val="0"/>
                <w:color w:val="000000"/>
                <w:kern w:val="0"/>
                <w:sz w:val="18"/>
                <w:szCs w:val="18"/>
                <w:u w:val="none"/>
                <w:lang w:val="en-US" w:eastAsia="zh-CN" w:bidi="ar"/>
              </w:rPr>
              <w:t>Modes and Channels of AI-Related Learning</w:t>
            </w:r>
          </w:p>
        </w:tc>
        <w:tc>
          <w:tcPr>
            <w:tcW w:w="1627" w:type="dxa"/>
            <w:vAlign w:val="center"/>
          </w:tcPr>
          <w:p w14:paraId="7CE822D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b w:val="0"/>
                <w:bCs/>
                <w:sz w:val="18"/>
                <w:szCs w:val="18"/>
              </w:rPr>
            </w:pPr>
            <w:r>
              <w:rPr>
                <w:rFonts w:hint="default" w:ascii="Times New Roman" w:hAnsi="Times New Roman" w:eastAsia="宋体" w:cs="Times New Roman"/>
                <w:b w:val="0"/>
                <w:bCs/>
                <w:i w:val="0"/>
                <w:iCs w:val="0"/>
                <w:color w:val="000000"/>
                <w:kern w:val="0"/>
                <w:sz w:val="18"/>
                <w:szCs w:val="18"/>
                <w:u w:val="none"/>
                <w:lang w:val="en-US" w:eastAsia="zh-CN" w:bidi="ar"/>
              </w:rPr>
              <w:t>Fragmented and Mobile Learning</w:t>
            </w:r>
          </w:p>
        </w:tc>
        <w:tc>
          <w:tcPr>
            <w:tcW w:w="2400" w:type="dxa"/>
            <w:vAlign w:val="center"/>
          </w:tcPr>
          <w:p w14:paraId="3C8B7AE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Because of heavy teaching and administrative workloads, teachers often lack extended periods of time for AI-related learning and therefore rely on mobile devices and fragmented periods of free time.</w:t>
            </w:r>
          </w:p>
        </w:tc>
        <w:tc>
          <w:tcPr>
            <w:tcW w:w="4852" w:type="dxa"/>
            <w:vAlign w:val="center"/>
          </w:tcPr>
          <w:p w14:paraId="011E4FC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Fonts w:hint="default" w:ascii="Times New Roman" w:hAnsi="Times New Roman" w:eastAsia="宋体" w:cs="Times New Roman"/>
                <w:b/>
                <w:bCs/>
                <w:i w:val="0"/>
                <w:iCs w:val="0"/>
                <w:color w:val="000000"/>
                <w:kern w:val="0"/>
                <w:sz w:val="18"/>
                <w:szCs w:val="18"/>
                <w:u w:val="none"/>
                <w:lang w:val="en-US" w:eastAsia="zh-CN" w:bidi="ar"/>
              </w:rPr>
              <w:t xml:space="preserve">Teacher: </w:t>
            </w:r>
            <w:r>
              <w:rPr>
                <w:rFonts w:hint="default" w:ascii="Times New Roman" w:hAnsi="Times New Roman" w:eastAsia="宋体" w:cs="Times New Roman"/>
                <w:i w:val="0"/>
                <w:iCs w:val="0"/>
                <w:color w:val="000000"/>
                <w:kern w:val="0"/>
                <w:sz w:val="18"/>
                <w:szCs w:val="18"/>
                <w:u w:val="none"/>
                <w:lang w:val="en-US" w:eastAsia="zh-CN" w:bidi="ar"/>
              </w:rPr>
              <w:t xml:space="preserve">“We now rely more on mobile phones for learning. Teachers often have fragmented periods of time available, so this approach is more convenient. In the office, we use computers for lesson preparation and entering grades. The few minutes when we are actually able to learn something are often while waiting to go to class or during the lunch break, when we can quickly look at something on our phones. If you ask me to sit down at a computer specifically to study, I basically do not have that kind of time.” </w:t>
            </w:r>
          </w:p>
        </w:tc>
      </w:tr>
      <w:tr w14:paraId="322EE8A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5" w:hRule="atLeast"/>
        </w:trPr>
        <w:tc>
          <w:tcPr>
            <w:tcW w:w="1289" w:type="dxa"/>
            <w:vAlign w:val="center"/>
          </w:tcPr>
          <w:p w14:paraId="266BA0EB">
            <w:pPr>
              <w:keepNext w:val="0"/>
              <w:keepLines w:val="0"/>
              <w:pageBreakBefore w:val="0"/>
              <w:kinsoku/>
              <w:wordWrap/>
              <w:overflowPunct/>
              <w:topLinePunct w:val="0"/>
              <w:autoSpaceDE/>
              <w:autoSpaceDN/>
              <w:bidi w:val="0"/>
              <w:adjustRightInd w:val="0"/>
              <w:snapToGrid w:val="0"/>
              <w:rPr>
                <w:rFonts w:hint="default" w:ascii="Times New Roman" w:hAnsi="Times New Roman" w:cs="Times New Roman"/>
                <w:b w:val="0"/>
                <w:bCs/>
                <w:sz w:val="18"/>
                <w:szCs w:val="18"/>
              </w:rPr>
            </w:pPr>
          </w:p>
        </w:tc>
        <w:tc>
          <w:tcPr>
            <w:tcW w:w="1627" w:type="dxa"/>
            <w:vAlign w:val="center"/>
          </w:tcPr>
          <w:p w14:paraId="01DAFAF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b w:val="0"/>
                <w:bCs/>
                <w:sz w:val="18"/>
                <w:szCs w:val="18"/>
              </w:rPr>
            </w:pPr>
            <w:r>
              <w:rPr>
                <w:rFonts w:hint="default" w:ascii="Times New Roman" w:hAnsi="Times New Roman" w:eastAsia="宋体" w:cs="Times New Roman"/>
                <w:b w:val="0"/>
                <w:bCs/>
                <w:i w:val="0"/>
                <w:iCs w:val="0"/>
                <w:color w:val="000000"/>
                <w:kern w:val="0"/>
                <w:sz w:val="18"/>
                <w:szCs w:val="18"/>
                <w:u w:val="none"/>
                <w:lang w:val="en-US" w:eastAsia="zh-CN" w:bidi="ar"/>
              </w:rPr>
              <w:t>Self-Directed, Problem-Driven, and Social Learning</w:t>
            </w:r>
          </w:p>
        </w:tc>
        <w:tc>
          <w:tcPr>
            <w:tcW w:w="2400" w:type="dxa"/>
            <w:vAlign w:val="center"/>
          </w:tcPr>
          <w:p w14:paraId="39FB262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Teachers frequently learn about AI through self-directed exploration and immediate problem solving, while also drawing on colleagues, teacher communities, and social media as informal learning channels.</w:t>
            </w:r>
          </w:p>
        </w:tc>
        <w:tc>
          <w:tcPr>
            <w:tcW w:w="4852" w:type="dxa"/>
            <w:vAlign w:val="center"/>
          </w:tcPr>
          <w:p w14:paraId="570D374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Teacher:</w:t>
            </w:r>
            <w:r>
              <w:rPr>
                <w:rFonts w:hint="default" w:ascii="Times New Roman" w:hAnsi="Times New Roman" w:eastAsia="宋体" w:cs="Times New Roman"/>
                <w:i w:val="0"/>
                <w:iCs w:val="0"/>
                <w:color w:val="000000"/>
                <w:kern w:val="0"/>
                <w:sz w:val="18"/>
                <w:szCs w:val="18"/>
                <w:u w:val="none"/>
                <w:lang w:val="en-US" w:eastAsia="zh-CN" w:bidi="ar"/>
              </w:rPr>
              <w:t xml:space="preserve"> “Yes. I have attended some training, but in most cases I have learned more through independent exploration.” </w:t>
            </w:r>
          </w:p>
          <w:p w14:paraId="04C0ECE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Style w:val="7"/>
                <w:rFonts w:hint="default" w:ascii="Times New Roman" w:hAnsi="Times New Roman" w:cs="Times New Roman"/>
                <w:sz w:val="18"/>
                <w:szCs w:val="18"/>
                <w:lang w:val="en-US" w:eastAsia="zh-CN" w:bidi="ar"/>
              </w:rPr>
              <w:t>Teacher:</w:t>
            </w:r>
            <w:r>
              <w:rPr>
                <w:rStyle w:val="8"/>
                <w:rFonts w:hint="default" w:ascii="Times New Roman" w:hAnsi="Times New Roman" w:cs="Times New Roman"/>
                <w:sz w:val="18"/>
                <w:szCs w:val="18"/>
                <w:lang w:val="en-US" w:eastAsia="zh-CN" w:bidi="ar"/>
              </w:rPr>
              <w:t xml:space="preserve"> “One is colleagues. We have a WeChat group for political education teaching-research in our district, and whenever someone finds something useful, they share it there. Another source is short videos. Some teachers share this kind of content on Douyin and Xiaohongshu. And then there is simply trial and error. I look for a tool when I actually encounter a problem. I do not try to master a tool first and then search for somewhere to use it, because if I learn it that way I will just forget it.”</w:t>
            </w:r>
          </w:p>
        </w:tc>
      </w:tr>
      <w:tr w14:paraId="4F32760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1" w:hRule="atLeast"/>
        </w:trPr>
        <w:tc>
          <w:tcPr>
            <w:tcW w:w="1289" w:type="dxa"/>
            <w:vAlign w:val="center"/>
          </w:tcPr>
          <w:p w14:paraId="602BF500">
            <w:pPr>
              <w:keepNext w:val="0"/>
              <w:keepLines w:val="0"/>
              <w:pageBreakBefore w:val="0"/>
              <w:kinsoku/>
              <w:wordWrap/>
              <w:overflowPunct/>
              <w:topLinePunct w:val="0"/>
              <w:autoSpaceDE/>
              <w:autoSpaceDN/>
              <w:bidi w:val="0"/>
              <w:adjustRightInd w:val="0"/>
              <w:snapToGrid w:val="0"/>
              <w:rPr>
                <w:rFonts w:hint="default" w:ascii="Times New Roman" w:hAnsi="Times New Roman" w:cs="Times New Roman"/>
                <w:b w:val="0"/>
                <w:bCs/>
                <w:sz w:val="18"/>
                <w:szCs w:val="18"/>
              </w:rPr>
            </w:pPr>
          </w:p>
        </w:tc>
        <w:tc>
          <w:tcPr>
            <w:tcW w:w="1627" w:type="dxa"/>
            <w:vAlign w:val="center"/>
          </w:tcPr>
          <w:p w14:paraId="5C51FEE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b w:val="0"/>
                <w:bCs/>
                <w:sz w:val="18"/>
                <w:szCs w:val="18"/>
              </w:rPr>
            </w:pPr>
            <w:r>
              <w:rPr>
                <w:rFonts w:hint="default" w:ascii="Times New Roman" w:hAnsi="Times New Roman" w:eastAsia="宋体" w:cs="Times New Roman"/>
                <w:b w:val="0"/>
                <w:bCs/>
                <w:i w:val="0"/>
                <w:iCs w:val="0"/>
                <w:color w:val="000000"/>
                <w:kern w:val="0"/>
                <w:sz w:val="18"/>
                <w:szCs w:val="18"/>
                <w:u w:val="none"/>
                <w:lang w:val="en-US" w:eastAsia="zh-CN" w:bidi="ar"/>
              </w:rPr>
              <w:t>Uneven Access to Formal Training</w:t>
            </w:r>
          </w:p>
        </w:tc>
        <w:tc>
          <w:tcPr>
            <w:tcW w:w="2400" w:type="dxa"/>
            <w:vAlign w:val="center"/>
          </w:tcPr>
          <w:p w14:paraId="3E1A9E2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Teachers differ substantially in the frequency, availability, and level of formal AI-related training provided by schools and local education systems.</w:t>
            </w:r>
          </w:p>
        </w:tc>
        <w:tc>
          <w:tcPr>
            <w:tcW w:w="4852" w:type="dxa"/>
            <w:vAlign w:val="center"/>
          </w:tcPr>
          <w:p w14:paraId="11E2AD0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Teacher:</w:t>
            </w:r>
            <w:r>
              <w:rPr>
                <w:rFonts w:hint="default" w:ascii="Times New Roman" w:hAnsi="Times New Roman" w:eastAsia="宋体" w:cs="Times New Roman"/>
                <w:i w:val="0"/>
                <w:iCs w:val="0"/>
                <w:color w:val="000000"/>
                <w:kern w:val="0"/>
                <w:sz w:val="18"/>
                <w:szCs w:val="18"/>
                <w:u w:val="none"/>
                <w:lang w:val="en-US" w:eastAsia="zh-CN" w:bidi="ar"/>
              </w:rPr>
              <w:t xml:space="preserve"> “Yes. Over the past two years, AI-focused training has been relatively frequent and substantial. For example, across the whole school, we hold two large AI training lectures each semester in which all staff participate, one at the beginning and one at the end of the semester.”</w:t>
            </w:r>
          </w:p>
          <w:p w14:paraId="75606B1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Style w:val="8"/>
                <w:rFonts w:hint="default" w:ascii="Times New Roman" w:hAnsi="Times New Roman" w:cs="Times New Roman"/>
                <w:sz w:val="18"/>
                <w:szCs w:val="18"/>
                <w:lang w:val="en-US" w:eastAsia="zh-CN" w:bidi="ar"/>
              </w:rPr>
            </w:pPr>
            <w:r>
              <w:rPr>
                <w:rStyle w:val="7"/>
                <w:rFonts w:hint="default" w:ascii="Times New Roman" w:hAnsi="Times New Roman" w:cs="Times New Roman"/>
                <w:sz w:val="18"/>
                <w:szCs w:val="18"/>
                <w:lang w:val="en-US" w:eastAsia="zh-CN" w:bidi="ar"/>
              </w:rPr>
              <w:t>Teacher:</w:t>
            </w:r>
            <w:r>
              <w:rPr>
                <w:rStyle w:val="8"/>
                <w:rFonts w:hint="default" w:ascii="Times New Roman" w:hAnsi="Times New Roman" w:cs="Times New Roman"/>
                <w:sz w:val="18"/>
                <w:szCs w:val="18"/>
                <w:lang w:val="en-US" w:eastAsia="zh-CN" w:bidi="ar"/>
              </w:rPr>
              <w:t xml:space="preserve"> “About once a semester, or even less often.” </w:t>
            </w:r>
          </w:p>
          <w:p w14:paraId="4C4ADE7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Style w:val="7"/>
                <w:rFonts w:hint="default" w:ascii="Times New Roman" w:hAnsi="Times New Roman" w:cs="Times New Roman"/>
                <w:sz w:val="18"/>
                <w:szCs w:val="18"/>
                <w:lang w:val="en-US" w:eastAsia="zh-CN" w:bidi="ar"/>
              </w:rPr>
              <w:t>Teacher:</w:t>
            </w:r>
            <w:r>
              <w:rPr>
                <w:rStyle w:val="8"/>
                <w:rFonts w:hint="default" w:ascii="Times New Roman" w:hAnsi="Times New Roman" w:cs="Times New Roman"/>
                <w:sz w:val="18"/>
                <w:szCs w:val="18"/>
                <w:lang w:val="en-US" w:eastAsia="zh-CN" w:bidi="ar"/>
              </w:rPr>
              <w:t xml:space="preserve"> “At present, neither our school nor art education in Luoyang has provided any AI training.”</w:t>
            </w:r>
          </w:p>
        </w:tc>
      </w:tr>
      <w:tr w14:paraId="1597340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6" w:hRule="atLeast"/>
        </w:trPr>
        <w:tc>
          <w:tcPr>
            <w:tcW w:w="1289" w:type="dxa"/>
            <w:vAlign w:val="center"/>
          </w:tcPr>
          <w:p w14:paraId="1DFC262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b w:val="0"/>
                <w:bCs/>
                <w:sz w:val="18"/>
                <w:szCs w:val="18"/>
              </w:rPr>
            </w:pPr>
            <w:r>
              <w:rPr>
                <w:rFonts w:hint="default" w:ascii="Times New Roman" w:hAnsi="Times New Roman" w:eastAsia="宋体" w:cs="Times New Roman"/>
                <w:b w:val="0"/>
                <w:bCs/>
                <w:i w:val="0"/>
                <w:iCs w:val="0"/>
                <w:color w:val="000000"/>
                <w:kern w:val="0"/>
                <w:sz w:val="18"/>
                <w:szCs w:val="18"/>
                <w:u w:val="none"/>
                <w:lang w:val="en-US" w:eastAsia="zh-CN" w:bidi="ar"/>
              </w:rPr>
              <w:t>Current Applications of AI in Teaching and Learning</w:t>
            </w:r>
          </w:p>
        </w:tc>
        <w:tc>
          <w:tcPr>
            <w:tcW w:w="1627" w:type="dxa"/>
            <w:vAlign w:val="center"/>
          </w:tcPr>
          <w:p w14:paraId="5FAFB9D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b w:val="0"/>
                <w:bCs/>
                <w:sz w:val="18"/>
                <w:szCs w:val="18"/>
              </w:rPr>
            </w:pPr>
            <w:r>
              <w:rPr>
                <w:rFonts w:hint="default" w:ascii="Times New Roman" w:hAnsi="Times New Roman" w:eastAsia="宋体" w:cs="Times New Roman"/>
                <w:b w:val="0"/>
                <w:bCs/>
                <w:i w:val="0"/>
                <w:iCs w:val="0"/>
                <w:color w:val="000000"/>
                <w:kern w:val="0"/>
                <w:sz w:val="18"/>
                <w:szCs w:val="18"/>
                <w:u w:val="none"/>
                <w:lang w:val="en-US" w:eastAsia="zh-CN" w:bidi="ar"/>
              </w:rPr>
              <w:t>Lesson Preparation and Teaching Resource Development</w:t>
            </w:r>
          </w:p>
        </w:tc>
        <w:tc>
          <w:tcPr>
            <w:tcW w:w="2400" w:type="dxa"/>
            <w:vAlign w:val="center"/>
          </w:tcPr>
          <w:p w14:paraId="6A9FA94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Teachers use AI to search for, generate, organize, and refine images, videos, presentation slides, exercises, and other teaching resources, thereby reducing the time required for lesson preparation.</w:t>
            </w:r>
          </w:p>
        </w:tc>
        <w:tc>
          <w:tcPr>
            <w:tcW w:w="4852" w:type="dxa"/>
            <w:vAlign w:val="center"/>
          </w:tcPr>
          <w:p w14:paraId="52FB773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Fonts w:hint="default" w:ascii="Times New Roman" w:hAnsi="Times New Roman" w:eastAsia="宋体" w:cs="Times New Roman"/>
                <w:b/>
                <w:bCs/>
                <w:i w:val="0"/>
                <w:iCs w:val="0"/>
                <w:color w:val="000000"/>
                <w:kern w:val="0"/>
                <w:sz w:val="18"/>
                <w:szCs w:val="18"/>
                <w:u w:val="none"/>
                <w:lang w:val="en-US" w:eastAsia="zh-CN" w:bidi="ar"/>
              </w:rPr>
              <w:t xml:space="preserve">Teacher: </w:t>
            </w:r>
            <w:r>
              <w:rPr>
                <w:rFonts w:hint="default" w:ascii="Times New Roman" w:hAnsi="Times New Roman" w:eastAsia="宋体" w:cs="Times New Roman"/>
                <w:i w:val="0"/>
                <w:iCs w:val="0"/>
                <w:color w:val="000000"/>
                <w:kern w:val="0"/>
                <w:sz w:val="18"/>
                <w:szCs w:val="18"/>
                <w:u w:val="none"/>
                <w:lang w:val="en-US" w:eastAsia="zh-CN" w:bidi="ar"/>
              </w:rPr>
              <w:t xml:space="preserve">“Preparing teaching materials, such as images, videos, PowerPoint slides, and practice exercises, takes a considerable amount of time. Now, AI can help me with these tasks. In the past, I might spend half an hour searching for a suitable diagram and still not find one I liked. Now if I describe what I need clearly, AI can generate it directly, and I only need to revise it before using it.” </w:t>
            </w:r>
          </w:p>
        </w:tc>
      </w:tr>
      <w:tr w14:paraId="13EC5E0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9" w:type="dxa"/>
            <w:vAlign w:val="center"/>
          </w:tcPr>
          <w:p w14:paraId="468B0DCB">
            <w:pPr>
              <w:keepNext w:val="0"/>
              <w:keepLines w:val="0"/>
              <w:pageBreakBefore w:val="0"/>
              <w:kinsoku/>
              <w:wordWrap/>
              <w:overflowPunct/>
              <w:topLinePunct w:val="0"/>
              <w:autoSpaceDE/>
              <w:autoSpaceDN/>
              <w:bidi w:val="0"/>
              <w:adjustRightInd w:val="0"/>
              <w:snapToGrid w:val="0"/>
              <w:rPr>
                <w:rFonts w:hint="default" w:ascii="Times New Roman" w:hAnsi="Times New Roman" w:cs="Times New Roman"/>
                <w:b w:val="0"/>
                <w:bCs/>
                <w:sz w:val="18"/>
                <w:szCs w:val="18"/>
              </w:rPr>
            </w:pPr>
          </w:p>
        </w:tc>
        <w:tc>
          <w:tcPr>
            <w:tcW w:w="1627" w:type="dxa"/>
            <w:vAlign w:val="center"/>
          </w:tcPr>
          <w:p w14:paraId="214052F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b w:val="0"/>
                <w:bCs/>
                <w:sz w:val="18"/>
                <w:szCs w:val="18"/>
              </w:rPr>
            </w:pPr>
            <w:r>
              <w:rPr>
                <w:rFonts w:hint="default" w:ascii="Times New Roman" w:hAnsi="Times New Roman" w:eastAsia="宋体" w:cs="Times New Roman"/>
                <w:b w:val="0"/>
                <w:bCs/>
                <w:i w:val="0"/>
                <w:iCs w:val="0"/>
                <w:color w:val="000000"/>
                <w:kern w:val="0"/>
                <w:sz w:val="18"/>
                <w:szCs w:val="18"/>
                <w:u w:val="none"/>
                <w:lang w:val="en-US" w:eastAsia="zh-CN" w:bidi="ar"/>
              </w:rPr>
              <w:t>Classroom Interaction and Learning Activity Design</w:t>
            </w:r>
          </w:p>
        </w:tc>
        <w:tc>
          <w:tcPr>
            <w:tcW w:w="2400" w:type="dxa"/>
            <w:vAlign w:val="center"/>
          </w:tcPr>
          <w:p w14:paraId="1BFF090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Teachers are beginning to integrate AI into classroom activities by using it to create interactive scenarios, support dialogue and debate, and promote student participation and critical thinking.</w:t>
            </w:r>
          </w:p>
        </w:tc>
        <w:tc>
          <w:tcPr>
            <w:tcW w:w="4852" w:type="dxa"/>
            <w:vAlign w:val="center"/>
          </w:tcPr>
          <w:p w14:paraId="62C01E6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Fonts w:hint="default" w:ascii="Times New Roman" w:hAnsi="Times New Roman" w:eastAsia="宋体" w:cs="Times New Roman"/>
                <w:b/>
                <w:bCs/>
                <w:i w:val="0"/>
                <w:iCs w:val="0"/>
                <w:color w:val="000000"/>
                <w:kern w:val="0"/>
                <w:sz w:val="18"/>
                <w:szCs w:val="18"/>
                <w:u w:val="none"/>
                <w:lang w:val="en-US" w:eastAsia="zh-CN" w:bidi="ar"/>
              </w:rPr>
              <w:t>Teacher:</w:t>
            </w:r>
            <w:r>
              <w:rPr>
                <w:rFonts w:hint="default" w:ascii="Times New Roman" w:hAnsi="Times New Roman" w:eastAsia="宋体" w:cs="Times New Roman"/>
                <w:i w:val="0"/>
                <w:iCs w:val="0"/>
                <w:color w:val="000000"/>
                <w:kern w:val="0"/>
                <w:sz w:val="18"/>
                <w:szCs w:val="18"/>
                <w:u w:val="none"/>
                <w:lang w:val="en-US" w:eastAsia="zh-CN" w:bidi="ar"/>
              </w:rPr>
              <w:t xml:space="preserve"> “Yes. The most typical example is using it as an opponent in a debate. For example, when teaching cultural exchange and mutual learning, or discussing how to view certain Western perspectives, I project the AI system onto the large screen and let students ask it questions live. Then we analyze its answers together. Sometimes it gives responses that do not fully align with our standpoint. That actually becomes excellent teaching material. I ask students: Is this argument defensible? What is wrong with it? The students immediately become engaged. It works better than me simply lecturing.”</w:t>
            </w:r>
          </w:p>
        </w:tc>
      </w:tr>
      <w:tr w14:paraId="557E2C4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9" w:type="dxa"/>
            <w:vAlign w:val="center"/>
          </w:tcPr>
          <w:p w14:paraId="508D08F4">
            <w:pPr>
              <w:keepNext w:val="0"/>
              <w:keepLines w:val="0"/>
              <w:pageBreakBefore w:val="0"/>
              <w:kinsoku/>
              <w:wordWrap/>
              <w:overflowPunct/>
              <w:topLinePunct w:val="0"/>
              <w:autoSpaceDE/>
              <w:autoSpaceDN/>
              <w:bidi w:val="0"/>
              <w:adjustRightInd w:val="0"/>
              <w:snapToGrid w:val="0"/>
              <w:rPr>
                <w:rFonts w:hint="default" w:ascii="Times New Roman" w:hAnsi="Times New Roman" w:cs="Times New Roman"/>
                <w:b w:val="0"/>
                <w:bCs/>
                <w:sz w:val="18"/>
                <w:szCs w:val="18"/>
              </w:rPr>
            </w:pPr>
          </w:p>
        </w:tc>
        <w:tc>
          <w:tcPr>
            <w:tcW w:w="1627" w:type="dxa"/>
            <w:vAlign w:val="center"/>
          </w:tcPr>
          <w:p w14:paraId="721CE32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b w:val="0"/>
                <w:bCs/>
                <w:sz w:val="18"/>
                <w:szCs w:val="18"/>
              </w:rPr>
            </w:pPr>
            <w:r>
              <w:rPr>
                <w:rFonts w:hint="default" w:ascii="Times New Roman" w:hAnsi="Times New Roman" w:eastAsia="宋体" w:cs="Times New Roman"/>
                <w:b w:val="0"/>
                <w:bCs/>
                <w:i w:val="0"/>
                <w:iCs w:val="0"/>
                <w:color w:val="000000"/>
                <w:kern w:val="0"/>
                <w:sz w:val="18"/>
                <w:szCs w:val="18"/>
                <w:u w:val="none"/>
                <w:lang w:val="en-US" w:eastAsia="zh-CN" w:bidi="ar"/>
              </w:rPr>
              <w:t>Assessment and Learning Analytics</w:t>
            </w:r>
          </w:p>
        </w:tc>
        <w:tc>
          <w:tcPr>
            <w:tcW w:w="2400" w:type="dxa"/>
            <w:vAlign w:val="center"/>
          </w:tcPr>
          <w:p w14:paraId="33A4FC1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Teachers use AI-supported systems to analyze exercises, assessment results, and learning data in order to identify patterns of student performance and inform instructional decisions.</w:t>
            </w:r>
          </w:p>
        </w:tc>
        <w:tc>
          <w:tcPr>
            <w:tcW w:w="4852" w:type="dxa"/>
            <w:vAlign w:val="center"/>
          </w:tcPr>
          <w:p w14:paraId="1D95CA3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Fonts w:hint="default" w:ascii="Times New Roman" w:hAnsi="Times New Roman" w:eastAsia="宋体" w:cs="Times New Roman"/>
                <w:b/>
                <w:bCs/>
                <w:i w:val="0"/>
                <w:iCs w:val="0"/>
                <w:color w:val="000000"/>
                <w:kern w:val="0"/>
                <w:sz w:val="18"/>
                <w:szCs w:val="18"/>
                <w:u w:val="none"/>
                <w:lang w:val="en-US" w:eastAsia="zh-CN" w:bidi="ar"/>
              </w:rPr>
              <w:t>Teacher:</w:t>
            </w:r>
            <w:r>
              <w:rPr>
                <w:rFonts w:hint="default" w:ascii="Times New Roman" w:hAnsi="Times New Roman" w:eastAsia="宋体" w:cs="Times New Roman"/>
                <w:i w:val="0"/>
                <w:iCs w:val="0"/>
                <w:color w:val="000000"/>
                <w:kern w:val="0"/>
                <w:sz w:val="18"/>
                <w:szCs w:val="18"/>
                <w:u w:val="none"/>
                <w:lang w:val="en-US" w:eastAsia="zh-CN" w:bidi="ar"/>
              </w:rPr>
              <w:t xml:space="preserve"> “The most direct example is the pass rate for each item in a set of exercises. The system provides background statistics, such as what percentage of students answered a particular question correctly and which questions caused more problems. I look at the generated report mainly in relation to subject learning.”</w:t>
            </w:r>
          </w:p>
        </w:tc>
      </w:tr>
      <w:tr w14:paraId="2768127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5" w:hRule="atLeast"/>
        </w:trPr>
        <w:tc>
          <w:tcPr>
            <w:tcW w:w="1289" w:type="dxa"/>
            <w:vAlign w:val="center"/>
          </w:tcPr>
          <w:p w14:paraId="624744E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b w:val="0"/>
                <w:bCs/>
                <w:sz w:val="18"/>
                <w:szCs w:val="18"/>
              </w:rPr>
            </w:pPr>
            <w:r>
              <w:rPr>
                <w:rFonts w:hint="default" w:ascii="Times New Roman" w:hAnsi="Times New Roman" w:eastAsia="宋体" w:cs="Times New Roman"/>
                <w:b w:val="0"/>
                <w:bCs/>
                <w:i w:val="0"/>
                <w:iCs w:val="0"/>
                <w:color w:val="000000"/>
                <w:kern w:val="0"/>
                <w:sz w:val="18"/>
                <w:szCs w:val="18"/>
                <w:u w:val="none"/>
                <w:lang w:val="en-US" w:eastAsia="zh-CN" w:bidi="ar"/>
              </w:rPr>
              <w:t>Characteristics of Teachers’ AI Competence</w:t>
            </w:r>
          </w:p>
        </w:tc>
        <w:tc>
          <w:tcPr>
            <w:tcW w:w="1627" w:type="dxa"/>
            <w:vAlign w:val="center"/>
          </w:tcPr>
          <w:p w14:paraId="0B4BDEC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b w:val="0"/>
                <w:bCs/>
                <w:sz w:val="18"/>
                <w:szCs w:val="18"/>
              </w:rPr>
            </w:pPr>
            <w:r>
              <w:rPr>
                <w:rFonts w:hint="default" w:ascii="Times New Roman" w:hAnsi="Times New Roman" w:eastAsia="宋体" w:cs="Times New Roman"/>
                <w:b w:val="0"/>
                <w:bCs/>
                <w:i w:val="0"/>
                <w:iCs w:val="0"/>
                <w:color w:val="000000"/>
                <w:kern w:val="0"/>
                <w:sz w:val="18"/>
                <w:szCs w:val="18"/>
                <w:u w:val="none"/>
                <w:lang w:val="en-US" w:eastAsia="zh-CN" w:bidi="ar"/>
              </w:rPr>
              <w:t>Awareness Exceeding Actual Application</w:t>
            </w:r>
          </w:p>
        </w:tc>
        <w:tc>
          <w:tcPr>
            <w:tcW w:w="2400" w:type="dxa"/>
            <w:vAlign w:val="center"/>
          </w:tcPr>
          <w:p w14:paraId="424CF70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Teachers generally recognize the importance of learning about and using AI, but this awareness has not yet been consistently translated into sustained and routine classroom practice.</w:t>
            </w:r>
          </w:p>
        </w:tc>
        <w:tc>
          <w:tcPr>
            <w:tcW w:w="4852" w:type="dxa"/>
            <w:vAlign w:val="center"/>
          </w:tcPr>
          <w:p w14:paraId="4A3E953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Teacher:</w:t>
            </w:r>
            <w:r>
              <w:rPr>
                <w:rFonts w:hint="default" w:ascii="Times New Roman" w:hAnsi="Times New Roman" w:eastAsia="宋体" w:cs="Times New Roman"/>
                <w:i w:val="0"/>
                <w:iCs w:val="0"/>
                <w:color w:val="000000"/>
                <w:kern w:val="0"/>
                <w:sz w:val="18"/>
                <w:szCs w:val="18"/>
                <w:u w:val="none"/>
                <w:lang w:val="en-US" w:eastAsia="zh-CN" w:bidi="ar"/>
              </w:rPr>
              <w:t xml:space="preserve"> “I think everyone has some awareness. Teachers are now conscious of the need to learn about and understand AI, and during training it seems that everyone studies quite seriously, both younger and older teachers. But when it comes to actual application in everyday work and interactions with students, we still need professional guidance.”                 </w:t>
            </w:r>
          </w:p>
          <w:p w14:paraId="6F2E391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Style w:val="7"/>
                <w:rFonts w:hint="default" w:ascii="Times New Roman" w:hAnsi="Times New Roman" w:cs="Times New Roman"/>
                <w:sz w:val="18"/>
                <w:szCs w:val="18"/>
                <w:lang w:val="en-US" w:eastAsia="zh-CN" w:bidi="ar"/>
              </w:rPr>
              <w:t>Teacher:</w:t>
            </w:r>
            <w:r>
              <w:rPr>
                <w:rStyle w:val="8"/>
                <w:rFonts w:hint="default" w:ascii="Times New Roman" w:hAnsi="Times New Roman" w:cs="Times New Roman"/>
                <w:sz w:val="18"/>
                <w:szCs w:val="18"/>
                <w:lang w:val="en-US" w:eastAsia="zh-CN" w:bidi="ar"/>
              </w:rPr>
              <w:t xml:space="preserve"> “At present, perhaps only around 10% of teachers are actively trying to use it. Most teachers are probably not very enthusiastic about using AI, and I think the main reason many are not actively using it is that they do not know how to use it.”</w:t>
            </w:r>
          </w:p>
        </w:tc>
      </w:tr>
      <w:tr w14:paraId="2DB9872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9" w:type="dxa"/>
            <w:vAlign w:val="center"/>
          </w:tcPr>
          <w:p w14:paraId="18086A12">
            <w:pPr>
              <w:keepNext w:val="0"/>
              <w:keepLines w:val="0"/>
              <w:pageBreakBefore w:val="0"/>
              <w:kinsoku/>
              <w:wordWrap/>
              <w:overflowPunct/>
              <w:topLinePunct w:val="0"/>
              <w:autoSpaceDE/>
              <w:autoSpaceDN/>
              <w:bidi w:val="0"/>
              <w:adjustRightInd w:val="0"/>
              <w:snapToGrid w:val="0"/>
              <w:rPr>
                <w:rFonts w:hint="default" w:ascii="Times New Roman" w:hAnsi="Times New Roman" w:cs="Times New Roman"/>
                <w:b w:val="0"/>
                <w:bCs/>
                <w:sz w:val="18"/>
                <w:szCs w:val="18"/>
              </w:rPr>
            </w:pPr>
          </w:p>
        </w:tc>
        <w:tc>
          <w:tcPr>
            <w:tcW w:w="1627" w:type="dxa"/>
            <w:vAlign w:val="center"/>
          </w:tcPr>
          <w:p w14:paraId="19D10DF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b w:val="0"/>
                <w:bCs/>
                <w:sz w:val="18"/>
                <w:szCs w:val="18"/>
              </w:rPr>
            </w:pPr>
            <w:r>
              <w:rPr>
                <w:rFonts w:hint="default" w:ascii="Times New Roman" w:hAnsi="Times New Roman" w:eastAsia="宋体" w:cs="Times New Roman"/>
                <w:b w:val="0"/>
                <w:bCs/>
                <w:i w:val="0"/>
                <w:iCs w:val="0"/>
                <w:color w:val="000000"/>
                <w:kern w:val="0"/>
                <w:sz w:val="18"/>
                <w:szCs w:val="18"/>
                <w:u w:val="none"/>
                <w:lang w:val="en-US" w:eastAsia="zh-CN" w:bidi="ar"/>
              </w:rPr>
              <w:t>Predominantly Tool-Level Use with Limited Deep Integration</w:t>
            </w:r>
          </w:p>
        </w:tc>
        <w:tc>
          <w:tcPr>
            <w:tcW w:w="2400" w:type="dxa"/>
            <w:vAlign w:val="center"/>
          </w:tcPr>
          <w:p w14:paraId="1A54EEA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Many teachers currently use AI mainly for information retrieval, resource generation, and other basic tool functions, while deeper pedagogical integration and more advanced applications remain limited.</w:t>
            </w:r>
          </w:p>
        </w:tc>
        <w:tc>
          <w:tcPr>
            <w:tcW w:w="4852" w:type="dxa"/>
            <w:vAlign w:val="center"/>
          </w:tcPr>
          <w:p w14:paraId="00D95B5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Fonts w:hint="default" w:ascii="Times New Roman" w:hAnsi="Times New Roman" w:eastAsia="宋体" w:cs="Times New Roman"/>
                <w:b/>
                <w:bCs/>
                <w:i w:val="0"/>
                <w:iCs w:val="0"/>
                <w:color w:val="000000"/>
                <w:kern w:val="0"/>
                <w:sz w:val="18"/>
                <w:szCs w:val="18"/>
                <w:u w:val="none"/>
                <w:lang w:val="en-US" w:eastAsia="zh-CN" w:bidi="ar"/>
              </w:rPr>
              <w:t>Teacher</w:t>
            </w:r>
            <w:r>
              <w:rPr>
                <w:rFonts w:hint="default" w:ascii="Times New Roman" w:hAnsi="Times New Roman" w:eastAsia="宋体" w:cs="Times New Roman"/>
                <w:i w:val="0"/>
                <w:iCs w:val="0"/>
                <w:color w:val="000000"/>
                <w:kern w:val="0"/>
                <w:sz w:val="18"/>
                <w:szCs w:val="18"/>
                <w:u w:val="none"/>
                <w:lang w:val="en-US" w:eastAsia="zh-CN" w:bidi="ar"/>
              </w:rPr>
              <w:t>: “In the future, I hope we can first deepen our learning. At present, our understanding of AI technology is still relatively superficial. Most of us mainly use software to search for and retrieve information. We still have only a partial and shallow understanding of how to explore AI more deeply and use it more effectively and specifically to support different subjects, whether for lesson preparation or teaching.”</w:t>
            </w:r>
          </w:p>
        </w:tc>
      </w:tr>
      <w:tr w14:paraId="226FBFA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9" w:type="dxa"/>
            <w:vAlign w:val="center"/>
          </w:tcPr>
          <w:p w14:paraId="2CB11965">
            <w:pPr>
              <w:keepNext w:val="0"/>
              <w:keepLines w:val="0"/>
              <w:pageBreakBefore w:val="0"/>
              <w:kinsoku/>
              <w:wordWrap/>
              <w:overflowPunct/>
              <w:topLinePunct w:val="0"/>
              <w:autoSpaceDE/>
              <w:autoSpaceDN/>
              <w:bidi w:val="0"/>
              <w:adjustRightInd w:val="0"/>
              <w:snapToGrid w:val="0"/>
              <w:rPr>
                <w:rFonts w:hint="default" w:ascii="Times New Roman" w:hAnsi="Times New Roman" w:cs="Times New Roman"/>
                <w:b w:val="0"/>
                <w:bCs/>
                <w:sz w:val="18"/>
                <w:szCs w:val="18"/>
              </w:rPr>
            </w:pPr>
          </w:p>
        </w:tc>
        <w:tc>
          <w:tcPr>
            <w:tcW w:w="1627" w:type="dxa"/>
            <w:vAlign w:val="center"/>
          </w:tcPr>
          <w:p w14:paraId="0CEE3A3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b w:val="0"/>
                <w:bCs/>
                <w:sz w:val="18"/>
                <w:szCs w:val="18"/>
              </w:rPr>
            </w:pPr>
            <w:r>
              <w:rPr>
                <w:rFonts w:hint="default" w:ascii="Times New Roman" w:hAnsi="Times New Roman" w:eastAsia="宋体" w:cs="Times New Roman"/>
                <w:b w:val="0"/>
                <w:bCs/>
                <w:i w:val="0"/>
                <w:iCs w:val="0"/>
                <w:color w:val="000000"/>
                <w:kern w:val="0"/>
                <w:sz w:val="18"/>
                <w:szCs w:val="18"/>
                <w:u w:val="none"/>
                <w:lang w:val="en-US" w:eastAsia="zh-CN" w:bidi="ar"/>
              </w:rPr>
              <w:t>Contextual Variations in Competence and Application</w:t>
            </w:r>
          </w:p>
        </w:tc>
        <w:tc>
          <w:tcPr>
            <w:tcW w:w="2400" w:type="dxa"/>
            <w:vAlign w:val="center"/>
          </w:tcPr>
          <w:p w14:paraId="79242AF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Teachers’ AI competence and application vary according to contextual factors such as age, subject characteristics, school resources, and regional conditions.</w:t>
            </w:r>
          </w:p>
        </w:tc>
        <w:tc>
          <w:tcPr>
            <w:tcW w:w="4852" w:type="dxa"/>
            <w:vAlign w:val="center"/>
          </w:tcPr>
          <w:p w14:paraId="6D03B18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Teacher:</w:t>
            </w:r>
            <w:r>
              <w:rPr>
                <w:rFonts w:hint="default" w:ascii="Times New Roman" w:hAnsi="Times New Roman" w:eastAsia="宋体" w:cs="Times New Roman"/>
                <w:i w:val="0"/>
                <w:iCs w:val="0"/>
                <w:color w:val="000000"/>
                <w:kern w:val="0"/>
                <w:sz w:val="18"/>
                <w:szCs w:val="18"/>
                <w:u w:val="none"/>
                <w:lang w:val="en-US" w:eastAsia="zh-CN" w:bidi="ar"/>
              </w:rPr>
              <w:t xml:space="preserve"> “Many teachers are over forty-five, and older teachers tend to use AI less. That is already the situation in an urban campus; in rural areas, the use of AI in education is even more limited.” </w:t>
            </w:r>
          </w:p>
          <w:p w14:paraId="5DC04DE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Style w:val="8"/>
                <w:rFonts w:hint="default" w:ascii="Times New Roman" w:hAnsi="Times New Roman" w:cs="Times New Roman"/>
                <w:sz w:val="18"/>
                <w:szCs w:val="18"/>
                <w:lang w:val="en-US" w:eastAsia="zh-CN" w:bidi="ar"/>
              </w:rPr>
            </w:pPr>
            <w:r>
              <w:rPr>
                <w:rStyle w:val="7"/>
                <w:rFonts w:hint="default" w:ascii="Times New Roman" w:hAnsi="Times New Roman" w:cs="Times New Roman"/>
                <w:sz w:val="18"/>
                <w:szCs w:val="18"/>
                <w:lang w:val="en-US" w:eastAsia="zh-CN" w:bidi="ar"/>
              </w:rPr>
              <w:t>Teacher:</w:t>
            </w:r>
            <w:r>
              <w:rPr>
                <w:rStyle w:val="8"/>
                <w:rFonts w:hint="default" w:ascii="Times New Roman" w:hAnsi="Times New Roman" w:cs="Times New Roman"/>
                <w:sz w:val="18"/>
                <w:szCs w:val="18"/>
                <w:lang w:val="en-US" w:eastAsia="zh-CN" w:bidi="ar"/>
              </w:rPr>
              <w:t xml:space="preserve"> “So I think the role of AI is related to the nature of each subject and may differ across disciplines.” </w:t>
            </w:r>
          </w:p>
          <w:p w14:paraId="4FAC680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cs="Times New Roman"/>
                <w:sz w:val="18"/>
                <w:szCs w:val="18"/>
              </w:rPr>
            </w:pPr>
            <w:r>
              <w:rPr>
                <w:rStyle w:val="7"/>
                <w:rFonts w:hint="default" w:ascii="Times New Roman" w:hAnsi="Times New Roman" w:cs="Times New Roman"/>
                <w:sz w:val="18"/>
                <w:szCs w:val="18"/>
                <w:lang w:val="en-US" w:eastAsia="zh-CN" w:bidi="ar"/>
              </w:rPr>
              <w:t>Teacher:</w:t>
            </w:r>
            <w:r>
              <w:rPr>
                <w:rStyle w:val="8"/>
                <w:rFonts w:hint="default" w:ascii="Times New Roman" w:hAnsi="Times New Roman" w:cs="Times New Roman"/>
                <w:sz w:val="18"/>
                <w:szCs w:val="18"/>
                <w:lang w:val="en-US" w:eastAsia="zh-CN" w:bidi="ar"/>
              </w:rPr>
              <w:t xml:space="preserve"> “Even within Qingdao, hardware differences are large. We previously took students to participate in digital experiment competitions. In Shibei District, which is still part of the central urban area, there were only three sets of digital biology equipment across more than twenty schools. In places such as Laoshan, however, some schools may have more than ten sets in their digital biology laboratories and can use them routinely in daily teaching.”</w:t>
            </w:r>
          </w:p>
        </w:tc>
      </w:tr>
    </w:tbl>
    <w:p w14:paraId="40C3D5AC">
      <w:pPr>
        <w:keepNext w:val="0"/>
        <w:keepLines w:val="0"/>
        <w:pageBreakBefore w:val="0"/>
        <w:kinsoku/>
        <w:wordWrap/>
        <w:overflowPunct/>
        <w:topLinePunct w:val="0"/>
        <w:autoSpaceDE/>
        <w:autoSpaceDN/>
        <w:bidi w:val="0"/>
        <w:adjustRightInd w:val="0"/>
        <w:snapToGrid w:val="0"/>
        <w:rPr>
          <w:rFonts w:hint="default" w:eastAsiaTheme="minorEastAsia"/>
          <w:lang w:val="en-US" w:eastAsia="zh-CN"/>
        </w:rPr>
      </w:pPr>
      <w:r>
        <w:rPr>
          <w:rFonts w:hint="eastAsia" w:ascii="Times New Roman" w:hAnsi="Times New Roman" w:cs="Times New Roman"/>
          <w:sz w:val="18"/>
          <w:szCs w:val="18"/>
          <w:lang w:val="en-US" w:eastAsia="zh-CN"/>
        </w:rPr>
        <w:t xml:space="preserve">Note: </w:t>
      </w:r>
      <w:r>
        <w:rPr>
          <w:rFonts w:hint="eastAsia" w:ascii="Times New Roman" w:hAnsi="Times New Roman" w:cs="Times New Roman"/>
          <w:sz w:val="18"/>
          <w:szCs w:val="18"/>
        </w:rPr>
        <w:t>All illustrative excerpts in this table are drawn from teacher interviews.</w:t>
      </w:r>
    </w:p>
    <w:p w14:paraId="08CD1C65">
      <w:pPr>
        <w:keepNext w:val="0"/>
        <w:keepLines w:val="0"/>
        <w:pageBreakBefore w:val="0"/>
        <w:kinsoku/>
        <w:wordWrap/>
        <w:overflowPunct/>
        <w:topLinePunct w:val="0"/>
        <w:autoSpaceDE/>
        <w:autoSpaceDN/>
        <w:bidi w:val="0"/>
        <w:adjustRightInd w:val="0"/>
        <w:snapToGrid w:val="0"/>
        <w:rPr>
          <w:rFonts w:hint="eastAsia"/>
        </w:rPr>
      </w:pPr>
    </w:p>
    <w:p w14:paraId="1114C95C">
      <w:pPr>
        <w:rPr>
          <w:rFonts w:hint="eastAsia"/>
        </w:rPr>
      </w:pPr>
    </w:p>
    <w:p w14:paraId="5468BCD6">
      <w:pPr>
        <w:rPr>
          <w:rFonts w:hint="eastAsia"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A3. Coding Matrix for RQ2</w:t>
      </w:r>
    </w:p>
    <w:p w14:paraId="6B76EFD7">
      <w:pPr>
        <w:keepNext w:val="0"/>
        <w:keepLines w:val="0"/>
        <w:pageBreakBefore w:val="0"/>
        <w:widowControl w:val="0"/>
        <w:kinsoku/>
        <w:wordWrap/>
        <w:overflowPunct/>
        <w:topLinePunct w:val="0"/>
        <w:autoSpaceDE/>
        <w:autoSpaceDN/>
        <w:bidi w:val="0"/>
        <w:adjustRightInd/>
        <w:snapToGrid/>
        <w:spacing w:after="60"/>
        <w:textAlignment w:val="auto"/>
        <w:rPr>
          <w:rFonts w:hint="eastAsia" w:ascii="Times New Roman" w:hAnsi="Times New Roman" w:cs="Times New Roman"/>
          <w:sz w:val="20"/>
          <w:szCs w:val="20"/>
        </w:rPr>
      </w:pPr>
      <w:r>
        <w:rPr>
          <w:rFonts w:hint="eastAsia" w:ascii="Times New Roman" w:hAnsi="Times New Roman" w:cs="Times New Roman"/>
          <w:sz w:val="20"/>
          <w:szCs w:val="20"/>
        </w:rPr>
        <w:t>RQ2: What are teachers</w:t>
      </w:r>
      <w:r>
        <w:rPr>
          <w:rFonts w:hint="default" w:ascii="Times New Roman" w:hAnsi="Times New Roman" w:cs="Times New Roman"/>
          <w:sz w:val="20"/>
          <w:szCs w:val="20"/>
          <w:lang w:val="en-US" w:eastAsia="zh-CN"/>
        </w:rPr>
        <w:t>’</w:t>
      </w:r>
      <w:r>
        <w:rPr>
          <w:rFonts w:hint="eastAsia" w:ascii="Times New Roman" w:hAnsi="Times New Roman" w:cs="Times New Roman"/>
          <w:sz w:val="20"/>
          <w:szCs w:val="20"/>
        </w:rPr>
        <w:t xml:space="preserve"> attitudes toward, barriers to, and learning needs regarding AI education?</w:t>
      </w:r>
    </w:p>
    <w:tbl>
      <w:tblPr>
        <w:tblStyle w:val="3"/>
        <w:tblW w:w="10161" w:type="dxa"/>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89"/>
        <w:gridCol w:w="1645"/>
        <w:gridCol w:w="2373"/>
        <w:gridCol w:w="4854"/>
      </w:tblGrid>
      <w:tr w14:paraId="68A72AB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9" w:type="dxa"/>
            <w:tcBorders>
              <w:bottom w:val="single" w:color="000000" w:sz="8" w:space="0"/>
            </w:tcBorders>
            <w:vAlign w:val="center"/>
          </w:tcPr>
          <w:p w14:paraId="27EB3467">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default" w:ascii="Times New Roman" w:hAnsi="Times New Roman" w:cs="Times New Roman"/>
                <w:b w:val="0"/>
                <w:bCs w:val="0"/>
                <w:sz w:val="18"/>
                <w:szCs w:val="18"/>
              </w:rPr>
            </w:pPr>
            <w:r>
              <w:rPr>
                <w:rFonts w:hint="default" w:ascii="Times New Roman" w:hAnsi="Times New Roman" w:eastAsia="宋体" w:cs="Times New Roman"/>
                <w:b w:val="0"/>
                <w:bCs w:val="0"/>
                <w:kern w:val="0"/>
                <w:sz w:val="18"/>
                <w:szCs w:val="18"/>
                <w:lang w:val="en-US" w:eastAsia="zh-CN" w:bidi="ar"/>
              </w:rPr>
              <w:t>Theme</w:t>
            </w:r>
          </w:p>
        </w:tc>
        <w:tc>
          <w:tcPr>
            <w:tcW w:w="1645" w:type="dxa"/>
            <w:tcBorders>
              <w:bottom w:val="single" w:color="000000" w:sz="8" w:space="0"/>
            </w:tcBorders>
            <w:vAlign w:val="center"/>
          </w:tcPr>
          <w:p w14:paraId="7F0492F1">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default" w:ascii="Times New Roman" w:hAnsi="Times New Roman" w:cs="Times New Roman"/>
                <w:b w:val="0"/>
                <w:bCs w:val="0"/>
                <w:sz w:val="18"/>
                <w:szCs w:val="18"/>
              </w:rPr>
            </w:pPr>
            <w:r>
              <w:rPr>
                <w:rFonts w:hint="default" w:ascii="Times New Roman" w:hAnsi="Times New Roman" w:eastAsia="宋体" w:cs="Times New Roman"/>
                <w:b w:val="0"/>
                <w:bCs w:val="0"/>
                <w:kern w:val="0"/>
                <w:sz w:val="18"/>
                <w:szCs w:val="18"/>
                <w:lang w:val="en-US" w:eastAsia="zh-CN" w:bidi="ar"/>
              </w:rPr>
              <w:t>Code</w:t>
            </w:r>
          </w:p>
        </w:tc>
        <w:tc>
          <w:tcPr>
            <w:tcW w:w="2373" w:type="dxa"/>
            <w:tcBorders>
              <w:bottom w:val="single" w:color="000000" w:sz="8" w:space="0"/>
            </w:tcBorders>
            <w:vAlign w:val="center"/>
          </w:tcPr>
          <w:p w14:paraId="324EEC21">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default" w:ascii="Times New Roman" w:hAnsi="Times New Roman" w:cs="Times New Roman"/>
                <w:b w:val="0"/>
                <w:bCs w:val="0"/>
                <w:sz w:val="18"/>
                <w:szCs w:val="18"/>
              </w:rPr>
            </w:pPr>
            <w:r>
              <w:rPr>
                <w:rFonts w:hint="default" w:ascii="Times New Roman" w:hAnsi="Times New Roman" w:eastAsia="宋体" w:cs="Times New Roman"/>
                <w:b w:val="0"/>
                <w:bCs w:val="0"/>
                <w:kern w:val="0"/>
                <w:sz w:val="18"/>
                <w:szCs w:val="18"/>
                <w:lang w:val="en-US" w:eastAsia="zh-CN" w:bidi="ar"/>
              </w:rPr>
              <w:t>Definition</w:t>
            </w:r>
          </w:p>
        </w:tc>
        <w:tc>
          <w:tcPr>
            <w:tcW w:w="4854" w:type="dxa"/>
            <w:tcBorders>
              <w:bottom w:val="single" w:color="000000" w:sz="8" w:space="0"/>
            </w:tcBorders>
            <w:vAlign w:val="center"/>
          </w:tcPr>
          <w:p w14:paraId="18F4026C">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default" w:ascii="Times New Roman" w:hAnsi="Times New Roman" w:cs="Times New Roman"/>
                <w:b w:val="0"/>
                <w:bCs w:val="0"/>
                <w:sz w:val="18"/>
                <w:szCs w:val="18"/>
              </w:rPr>
            </w:pPr>
            <w:r>
              <w:rPr>
                <w:rFonts w:hint="default" w:ascii="Times New Roman" w:hAnsi="Times New Roman" w:eastAsia="宋体" w:cs="Times New Roman"/>
                <w:b w:val="0"/>
                <w:bCs w:val="0"/>
                <w:kern w:val="0"/>
                <w:sz w:val="18"/>
                <w:szCs w:val="18"/>
                <w:lang w:val="en-US" w:eastAsia="zh-CN" w:bidi="ar"/>
              </w:rPr>
              <w:t>Illustration</w:t>
            </w:r>
          </w:p>
        </w:tc>
      </w:tr>
      <w:tr w14:paraId="083C85A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9" w:type="dxa"/>
            <w:vAlign w:val="center"/>
          </w:tcPr>
          <w:p w14:paraId="5E85F018">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b w:val="0"/>
                <w:bCs w:val="0"/>
                <w:sz w:val="18"/>
                <w:szCs w:val="18"/>
              </w:rPr>
            </w:pPr>
            <w:r>
              <w:rPr>
                <w:rStyle w:val="6"/>
                <w:rFonts w:hint="default" w:ascii="Times New Roman" w:hAnsi="Times New Roman" w:eastAsia="宋体" w:cs="Times New Roman"/>
                <w:b w:val="0"/>
                <w:bCs w:val="0"/>
                <w:kern w:val="0"/>
                <w:sz w:val="18"/>
                <w:szCs w:val="18"/>
                <w:lang w:val="en-US" w:eastAsia="zh-CN" w:bidi="ar"/>
              </w:rPr>
              <w:t>Teachers’ Acceptance and Use of AI in Education</w:t>
            </w:r>
          </w:p>
        </w:tc>
        <w:tc>
          <w:tcPr>
            <w:tcW w:w="1645" w:type="dxa"/>
            <w:vAlign w:val="center"/>
          </w:tcPr>
          <w:p w14:paraId="2B52C3C8">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b w:val="0"/>
                <w:bCs w:val="0"/>
                <w:sz w:val="18"/>
                <w:szCs w:val="18"/>
              </w:rPr>
            </w:pPr>
            <w:r>
              <w:rPr>
                <w:rStyle w:val="6"/>
                <w:rFonts w:hint="default" w:ascii="Times New Roman" w:hAnsi="Times New Roman" w:eastAsia="宋体" w:cs="Times New Roman"/>
                <w:b w:val="0"/>
                <w:bCs w:val="0"/>
                <w:kern w:val="0"/>
                <w:sz w:val="18"/>
                <w:szCs w:val="18"/>
                <w:lang w:val="en-US" w:eastAsia="zh-CN" w:bidi="ar"/>
              </w:rPr>
              <w:t>Performance Expectancy</w:t>
            </w:r>
          </w:p>
        </w:tc>
        <w:tc>
          <w:tcPr>
            <w:tcW w:w="2373" w:type="dxa"/>
            <w:vAlign w:val="center"/>
          </w:tcPr>
          <w:p w14:paraId="17D7C830">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Fonts w:hint="default" w:ascii="Times New Roman" w:hAnsi="Times New Roman" w:eastAsia="宋体" w:cs="Times New Roman"/>
                <w:kern w:val="0"/>
                <w:sz w:val="18"/>
                <w:szCs w:val="18"/>
                <w:lang w:val="en-US" w:eastAsia="zh-CN" w:bidi="ar"/>
              </w:rPr>
              <w:t>Teachers perceive AI as capable of improving teaching and work efficiency, reducing repetitive tasks, and supporting more efficient instructional decision-making and feedback.</w:t>
            </w:r>
          </w:p>
        </w:tc>
        <w:tc>
          <w:tcPr>
            <w:tcW w:w="4854" w:type="dxa"/>
            <w:vAlign w:val="center"/>
          </w:tcPr>
          <w:p w14:paraId="3C2DB560">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Style w:val="6"/>
                <w:rFonts w:hint="default" w:ascii="Times New Roman" w:hAnsi="Times New Roman" w:eastAsia="宋体" w:cs="Times New Roman"/>
                <w:kern w:val="0"/>
                <w:sz w:val="18"/>
                <w:szCs w:val="18"/>
                <w:lang w:val="en-US" w:eastAsia="zh-CN" w:bidi="ar"/>
              </w:rPr>
              <w:t>Teacher:</w:t>
            </w:r>
            <w:r>
              <w:rPr>
                <w:rStyle w:val="6"/>
                <w:rFonts w:hint="eastAsia" w:eastAsia="宋体" w:cs="Times New Roman"/>
                <w:kern w:val="0"/>
                <w:sz w:val="18"/>
                <w:szCs w:val="18"/>
                <w:lang w:val="en-US" w:eastAsia="zh-CN" w:bidi="ar"/>
              </w:rPr>
              <w:t xml:space="preserve"> </w:t>
            </w:r>
            <w:r>
              <w:rPr>
                <w:rFonts w:hint="default" w:ascii="Times New Roman" w:hAnsi="Times New Roman" w:eastAsia="宋体" w:cs="Times New Roman"/>
                <w:kern w:val="0"/>
                <w:sz w:val="18"/>
                <w:szCs w:val="18"/>
                <w:lang w:val="en-US" w:eastAsia="zh-CN" w:bidi="ar"/>
              </w:rPr>
              <w:t xml:space="preserve">“AI can improve both my classroom teaching efficiency and my overall work efficiency. Once we become accustomed to using certain applications, they can save us a considerable amount of time, particularly for tasks such as error correction and feedback. In the past, after marking a set of test papers, I still had to calculate which questions had the highest error rates myself. Now the report is generated directly, and I can use the time saved for lesson preparation.” </w:t>
            </w:r>
          </w:p>
        </w:tc>
      </w:tr>
      <w:tr w14:paraId="381D7BE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9" w:type="dxa"/>
            <w:vAlign w:val="center"/>
          </w:tcPr>
          <w:p w14:paraId="2C79A62A">
            <w:pPr>
              <w:keepNext w:val="0"/>
              <w:keepLines w:val="0"/>
              <w:pageBreakBefore w:val="0"/>
              <w:kinsoku/>
              <w:wordWrap/>
              <w:overflowPunct/>
              <w:topLinePunct w:val="0"/>
              <w:autoSpaceDE/>
              <w:autoSpaceDN/>
              <w:bidi w:val="0"/>
              <w:adjustRightInd w:val="0"/>
              <w:snapToGrid w:val="0"/>
              <w:textAlignment w:val="auto"/>
              <w:rPr>
                <w:rFonts w:hint="default" w:ascii="Times New Roman" w:hAnsi="Times New Roman" w:cs="Times New Roman"/>
                <w:b w:val="0"/>
                <w:bCs w:val="0"/>
                <w:sz w:val="18"/>
                <w:szCs w:val="18"/>
              </w:rPr>
            </w:pPr>
          </w:p>
        </w:tc>
        <w:tc>
          <w:tcPr>
            <w:tcW w:w="1645" w:type="dxa"/>
            <w:vAlign w:val="center"/>
          </w:tcPr>
          <w:p w14:paraId="18836CCC">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b w:val="0"/>
                <w:bCs w:val="0"/>
                <w:sz w:val="18"/>
                <w:szCs w:val="18"/>
              </w:rPr>
            </w:pPr>
            <w:r>
              <w:rPr>
                <w:rStyle w:val="6"/>
                <w:rFonts w:hint="default" w:ascii="Times New Roman" w:hAnsi="Times New Roman" w:eastAsia="宋体" w:cs="Times New Roman"/>
                <w:b w:val="0"/>
                <w:bCs w:val="0"/>
                <w:kern w:val="0"/>
                <w:sz w:val="18"/>
                <w:szCs w:val="18"/>
                <w:lang w:val="en-US" w:eastAsia="zh-CN" w:bidi="ar"/>
              </w:rPr>
              <w:t>Effort Expectancy</w:t>
            </w:r>
          </w:p>
        </w:tc>
        <w:tc>
          <w:tcPr>
            <w:tcW w:w="2373" w:type="dxa"/>
            <w:vAlign w:val="center"/>
          </w:tcPr>
          <w:p w14:paraId="49B955BE">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Fonts w:hint="default" w:ascii="Times New Roman" w:hAnsi="Times New Roman" w:eastAsia="宋体" w:cs="Times New Roman"/>
                <w:kern w:val="0"/>
                <w:sz w:val="18"/>
                <w:szCs w:val="18"/>
                <w:lang w:val="en-US" w:eastAsia="zh-CN" w:bidi="ar"/>
              </w:rPr>
              <w:t>Although teachers recognize the value of AI, they are also concerned about the effort required to learn, test, adjust, and integrate AI tools into their teaching.</w:t>
            </w:r>
          </w:p>
        </w:tc>
        <w:tc>
          <w:tcPr>
            <w:tcW w:w="4854" w:type="dxa"/>
            <w:vAlign w:val="center"/>
          </w:tcPr>
          <w:p w14:paraId="3D035FCE">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Style w:val="6"/>
                <w:rFonts w:hint="default" w:ascii="Times New Roman" w:hAnsi="Times New Roman" w:eastAsia="宋体" w:cs="Times New Roman"/>
                <w:kern w:val="0"/>
                <w:sz w:val="18"/>
                <w:szCs w:val="18"/>
                <w:lang w:val="en-US" w:eastAsia="zh-CN" w:bidi="ar"/>
              </w:rPr>
              <w:t>Teacher:</w:t>
            </w:r>
            <w:r>
              <w:rPr>
                <w:rStyle w:val="6"/>
                <w:rFonts w:hint="eastAsia" w:eastAsia="宋体" w:cs="Times New Roman"/>
                <w:kern w:val="0"/>
                <w:sz w:val="18"/>
                <w:szCs w:val="18"/>
                <w:lang w:val="en-US" w:eastAsia="zh-CN" w:bidi="ar"/>
              </w:rPr>
              <w:t xml:space="preserve"> </w:t>
            </w:r>
            <w:r>
              <w:rPr>
                <w:rFonts w:hint="default" w:ascii="Times New Roman" w:hAnsi="Times New Roman" w:eastAsia="宋体" w:cs="Times New Roman"/>
                <w:kern w:val="0"/>
                <w:sz w:val="18"/>
                <w:szCs w:val="18"/>
                <w:lang w:val="en-US" w:eastAsia="zh-CN" w:bidi="ar"/>
              </w:rPr>
              <w:t xml:space="preserve">“When I first started using these tools, I had to test and adjust them repeatedly, which took a great deal of time. Before I could actually use them in the classroom, I had already spent a lot of time preparing, and that was a major challenge. Ideally, the tools should already be properly configured so that I can use them directly. We already have a lot to do. If I have to keep revising prompts for one lesson and spend half a day doing that, only to get something that may still not be suitable, I would rather write it myself.” </w:t>
            </w:r>
          </w:p>
        </w:tc>
      </w:tr>
      <w:tr w14:paraId="03A0019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9" w:type="dxa"/>
            <w:vAlign w:val="center"/>
          </w:tcPr>
          <w:p w14:paraId="1A4D1CA6">
            <w:pPr>
              <w:keepNext w:val="0"/>
              <w:keepLines w:val="0"/>
              <w:pageBreakBefore w:val="0"/>
              <w:kinsoku/>
              <w:wordWrap/>
              <w:overflowPunct/>
              <w:topLinePunct w:val="0"/>
              <w:autoSpaceDE/>
              <w:autoSpaceDN/>
              <w:bidi w:val="0"/>
              <w:adjustRightInd w:val="0"/>
              <w:snapToGrid w:val="0"/>
              <w:textAlignment w:val="auto"/>
              <w:rPr>
                <w:rFonts w:hint="default" w:ascii="Times New Roman" w:hAnsi="Times New Roman" w:cs="Times New Roman"/>
                <w:b w:val="0"/>
                <w:bCs w:val="0"/>
                <w:sz w:val="18"/>
                <w:szCs w:val="18"/>
              </w:rPr>
            </w:pPr>
          </w:p>
        </w:tc>
        <w:tc>
          <w:tcPr>
            <w:tcW w:w="1645" w:type="dxa"/>
            <w:vAlign w:val="center"/>
          </w:tcPr>
          <w:p w14:paraId="5862AEE8">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b w:val="0"/>
                <w:bCs w:val="0"/>
                <w:sz w:val="18"/>
                <w:szCs w:val="18"/>
              </w:rPr>
            </w:pPr>
            <w:r>
              <w:rPr>
                <w:rStyle w:val="6"/>
                <w:rFonts w:hint="default" w:ascii="Times New Roman" w:hAnsi="Times New Roman" w:eastAsia="宋体" w:cs="Times New Roman"/>
                <w:b w:val="0"/>
                <w:bCs w:val="0"/>
                <w:kern w:val="0"/>
                <w:sz w:val="18"/>
                <w:szCs w:val="18"/>
                <w:lang w:val="en-US" w:eastAsia="zh-CN" w:bidi="ar"/>
              </w:rPr>
              <w:t>Social Influence</w:t>
            </w:r>
          </w:p>
        </w:tc>
        <w:tc>
          <w:tcPr>
            <w:tcW w:w="2373" w:type="dxa"/>
            <w:vAlign w:val="center"/>
          </w:tcPr>
          <w:p w14:paraId="38DFCF60">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Fonts w:hint="default" w:ascii="Times New Roman" w:hAnsi="Times New Roman" w:eastAsia="宋体" w:cs="Times New Roman"/>
                <w:kern w:val="0"/>
                <w:sz w:val="18"/>
                <w:szCs w:val="18"/>
                <w:lang w:val="en-US" w:eastAsia="zh-CN" w:bidi="ar"/>
              </w:rPr>
              <w:t>Teachers’ willingness to adopt and continue using AI is influenced by the attitudes and expectations of education authorities, school leaders, and the wider organizational environment.</w:t>
            </w:r>
          </w:p>
        </w:tc>
        <w:tc>
          <w:tcPr>
            <w:tcW w:w="4854" w:type="dxa"/>
            <w:vAlign w:val="center"/>
          </w:tcPr>
          <w:p w14:paraId="027B013D">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Style w:val="6"/>
                <w:rFonts w:hint="default" w:ascii="Times New Roman" w:hAnsi="Times New Roman" w:eastAsia="宋体" w:cs="Times New Roman"/>
                <w:kern w:val="0"/>
                <w:sz w:val="18"/>
                <w:szCs w:val="18"/>
                <w:lang w:val="en-US" w:eastAsia="zh-CN" w:bidi="ar"/>
              </w:rPr>
              <w:t>Teacher:</w:t>
            </w:r>
            <w:r>
              <w:rPr>
                <w:rStyle w:val="6"/>
                <w:rFonts w:hint="eastAsia" w:eastAsia="宋体" w:cs="Times New Roman"/>
                <w:kern w:val="0"/>
                <w:sz w:val="18"/>
                <w:szCs w:val="18"/>
                <w:lang w:val="en-US" w:eastAsia="zh-CN" w:bidi="ar"/>
              </w:rPr>
              <w:t xml:space="preserve"> </w:t>
            </w:r>
            <w:r>
              <w:rPr>
                <w:rFonts w:hint="default" w:ascii="Times New Roman" w:hAnsi="Times New Roman" w:eastAsia="宋体" w:cs="Times New Roman"/>
                <w:kern w:val="0"/>
                <w:sz w:val="18"/>
                <w:szCs w:val="18"/>
                <w:lang w:val="en-US" w:eastAsia="zh-CN" w:bidi="ar"/>
              </w:rPr>
              <w:t>“Initially, we were somewhat uncertain about whether AI should be used in teaching. More recently, however, both the local education bureau and school leaders have expressed strong support for its use, while also emphasizing the importance of using it appropriately and responsibly. With that attitude from above, teachers feel more reassured. Otherwise, everyone worries about problems arising and would rather avoid using it.”</w:t>
            </w:r>
          </w:p>
        </w:tc>
      </w:tr>
      <w:tr w14:paraId="2F0A1E8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9" w:type="dxa"/>
            <w:vAlign w:val="center"/>
          </w:tcPr>
          <w:p w14:paraId="005D3652">
            <w:pPr>
              <w:keepNext w:val="0"/>
              <w:keepLines w:val="0"/>
              <w:pageBreakBefore w:val="0"/>
              <w:kinsoku/>
              <w:wordWrap/>
              <w:overflowPunct/>
              <w:topLinePunct w:val="0"/>
              <w:autoSpaceDE/>
              <w:autoSpaceDN/>
              <w:bidi w:val="0"/>
              <w:adjustRightInd w:val="0"/>
              <w:snapToGrid w:val="0"/>
              <w:textAlignment w:val="auto"/>
              <w:rPr>
                <w:rFonts w:hint="default" w:ascii="Times New Roman" w:hAnsi="Times New Roman" w:cs="Times New Roman"/>
                <w:b w:val="0"/>
                <w:bCs w:val="0"/>
                <w:sz w:val="18"/>
                <w:szCs w:val="18"/>
              </w:rPr>
            </w:pPr>
          </w:p>
        </w:tc>
        <w:tc>
          <w:tcPr>
            <w:tcW w:w="1645" w:type="dxa"/>
            <w:vAlign w:val="center"/>
          </w:tcPr>
          <w:p w14:paraId="2213CCDE">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b w:val="0"/>
                <w:bCs w:val="0"/>
                <w:sz w:val="18"/>
                <w:szCs w:val="18"/>
              </w:rPr>
            </w:pPr>
            <w:r>
              <w:rPr>
                <w:rStyle w:val="6"/>
                <w:rFonts w:hint="default" w:ascii="Times New Roman" w:hAnsi="Times New Roman" w:eastAsia="宋体" w:cs="Times New Roman"/>
                <w:b w:val="0"/>
                <w:bCs w:val="0"/>
                <w:kern w:val="0"/>
                <w:sz w:val="18"/>
                <w:szCs w:val="18"/>
                <w:lang w:val="en-US" w:eastAsia="zh-CN" w:bidi="ar"/>
              </w:rPr>
              <w:t>Facilitating Conditions</w:t>
            </w:r>
          </w:p>
        </w:tc>
        <w:tc>
          <w:tcPr>
            <w:tcW w:w="2373" w:type="dxa"/>
            <w:vAlign w:val="center"/>
          </w:tcPr>
          <w:p w14:paraId="25E97008">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Fonts w:hint="default" w:ascii="Times New Roman" w:hAnsi="Times New Roman" w:eastAsia="宋体" w:cs="Times New Roman"/>
                <w:kern w:val="0"/>
                <w:sz w:val="18"/>
                <w:szCs w:val="18"/>
                <w:lang w:val="en-US" w:eastAsia="zh-CN" w:bidi="ar"/>
              </w:rPr>
              <w:t>Teachers’ learning and actual use of AI are influenced by external conditions including equipment, software, funding, technical support, training resources, and organizational support from schools.</w:t>
            </w:r>
          </w:p>
        </w:tc>
        <w:tc>
          <w:tcPr>
            <w:tcW w:w="4854" w:type="dxa"/>
            <w:vAlign w:val="center"/>
          </w:tcPr>
          <w:p w14:paraId="6A999835">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kern w:val="0"/>
                <w:sz w:val="18"/>
                <w:szCs w:val="18"/>
                <w:lang w:val="en-US" w:eastAsia="zh-CN" w:bidi="ar"/>
              </w:rPr>
            </w:pPr>
            <w:r>
              <w:rPr>
                <w:rStyle w:val="6"/>
                <w:rFonts w:hint="default" w:ascii="Times New Roman" w:hAnsi="Times New Roman" w:eastAsia="宋体" w:cs="Times New Roman"/>
                <w:kern w:val="0"/>
                <w:sz w:val="18"/>
                <w:szCs w:val="18"/>
                <w:lang w:val="en-US" w:eastAsia="zh-CN" w:bidi="ar"/>
              </w:rPr>
              <w:t>Teacher:</w:t>
            </w:r>
            <w:r>
              <w:rPr>
                <w:rStyle w:val="6"/>
                <w:rFonts w:hint="eastAsia" w:eastAsia="宋体" w:cs="Times New Roman"/>
                <w:kern w:val="0"/>
                <w:sz w:val="18"/>
                <w:szCs w:val="18"/>
                <w:lang w:val="en-US" w:eastAsia="zh-CN" w:bidi="ar"/>
              </w:rPr>
              <w:t xml:space="preserve"> </w:t>
            </w:r>
            <w:r>
              <w:rPr>
                <w:rFonts w:hint="default" w:ascii="Times New Roman" w:hAnsi="Times New Roman" w:eastAsia="宋体" w:cs="Times New Roman"/>
                <w:kern w:val="0"/>
                <w:sz w:val="18"/>
                <w:szCs w:val="18"/>
                <w:lang w:val="en-US" w:eastAsia="zh-CN" w:bidi="ar"/>
              </w:rPr>
              <w:t>“Our school has limited resources, so we do not receive much support. We also cannot afford to pay for training ourselves, and the school does not reimburse these expenses, so we can only learn on our own.”</w:t>
            </w:r>
          </w:p>
          <w:p w14:paraId="43D84BE6">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Style w:val="6"/>
                <w:rFonts w:hint="default" w:ascii="Times New Roman" w:hAnsi="Times New Roman" w:eastAsia="宋体" w:cs="Times New Roman"/>
                <w:kern w:val="0"/>
                <w:sz w:val="18"/>
                <w:szCs w:val="18"/>
                <w:lang w:val="en-US" w:eastAsia="zh-CN" w:bidi="ar"/>
              </w:rPr>
              <w:t>Teacher:</w:t>
            </w:r>
            <w:r>
              <w:rPr>
                <w:rFonts w:hint="default" w:ascii="Times New Roman" w:hAnsi="Times New Roman" w:eastAsia="宋体" w:cs="Times New Roman"/>
                <w:kern w:val="0"/>
                <w:sz w:val="18"/>
                <w:szCs w:val="18"/>
                <w:lang w:val="en-US" w:eastAsia="zh-CN" w:bidi="ar"/>
              </w:rPr>
              <w:t xml:space="preserve"> “Yes. I think it needs to be promoted from the school level downward. For example, the school’s computers need to have the relevant tools, or the school needs to provide unified training before we can really understand them.”</w:t>
            </w:r>
          </w:p>
        </w:tc>
      </w:tr>
      <w:tr w14:paraId="43A90F2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9" w:type="dxa"/>
            <w:vAlign w:val="center"/>
          </w:tcPr>
          <w:p w14:paraId="4DCCEFCF">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b w:val="0"/>
                <w:bCs w:val="0"/>
                <w:sz w:val="18"/>
                <w:szCs w:val="18"/>
              </w:rPr>
            </w:pPr>
            <w:r>
              <w:rPr>
                <w:rStyle w:val="6"/>
                <w:rFonts w:hint="default" w:ascii="Times New Roman" w:hAnsi="Times New Roman" w:eastAsia="宋体" w:cs="Times New Roman"/>
                <w:b w:val="0"/>
                <w:bCs w:val="0"/>
                <w:kern w:val="0"/>
                <w:sz w:val="18"/>
                <w:szCs w:val="18"/>
                <w:lang w:val="en-US" w:eastAsia="zh-CN" w:bidi="ar"/>
              </w:rPr>
              <w:t>Barriers to AI Learning and Application</w:t>
            </w:r>
          </w:p>
        </w:tc>
        <w:tc>
          <w:tcPr>
            <w:tcW w:w="1645" w:type="dxa"/>
            <w:vAlign w:val="center"/>
          </w:tcPr>
          <w:p w14:paraId="4D65A704">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b w:val="0"/>
                <w:bCs w:val="0"/>
                <w:sz w:val="18"/>
                <w:szCs w:val="18"/>
              </w:rPr>
            </w:pPr>
            <w:r>
              <w:rPr>
                <w:rStyle w:val="6"/>
                <w:rFonts w:hint="default" w:ascii="Times New Roman" w:hAnsi="Times New Roman" w:eastAsia="宋体" w:cs="Times New Roman"/>
                <w:b w:val="0"/>
                <w:bCs w:val="0"/>
                <w:kern w:val="0"/>
                <w:sz w:val="18"/>
                <w:szCs w:val="18"/>
                <w:lang w:val="en-US" w:eastAsia="zh-CN" w:bidi="ar"/>
              </w:rPr>
              <w:t>Time and Learning-Investment Constraints</w:t>
            </w:r>
          </w:p>
        </w:tc>
        <w:tc>
          <w:tcPr>
            <w:tcW w:w="2373" w:type="dxa"/>
            <w:vAlign w:val="center"/>
          </w:tcPr>
          <w:p w14:paraId="46409C8A">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b w:val="0"/>
                <w:bCs w:val="0"/>
                <w:sz w:val="18"/>
                <w:szCs w:val="18"/>
              </w:rPr>
            </w:pPr>
            <w:r>
              <w:rPr>
                <w:rFonts w:hint="default" w:ascii="Times New Roman" w:hAnsi="Times New Roman" w:eastAsia="宋体" w:cs="Times New Roman"/>
                <w:b w:val="0"/>
                <w:bCs w:val="0"/>
                <w:kern w:val="0"/>
                <w:sz w:val="18"/>
                <w:szCs w:val="18"/>
                <w:lang w:val="en-US" w:eastAsia="zh-CN" w:bidi="ar"/>
              </w:rPr>
              <w:t>Heavy and fixed teaching schedules make it difficult for teachers to obtain sustained periods of time for systematic AI learning and participation in formal training.</w:t>
            </w:r>
          </w:p>
        </w:tc>
        <w:tc>
          <w:tcPr>
            <w:tcW w:w="4854" w:type="dxa"/>
            <w:vAlign w:val="center"/>
          </w:tcPr>
          <w:p w14:paraId="39F809D6">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Style w:val="6"/>
                <w:rFonts w:hint="default" w:ascii="Times New Roman" w:hAnsi="Times New Roman" w:eastAsia="宋体" w:cs="Times New Roman"/>
                <w:kern w:val="0"/>
                <w:sz w:val="18"/>
                <w:szCs w:val="18"/>
                <w:lang w:val="en-US" w:eastAsia="zh-CN" w:bidi="ar"/>
              </w:rPr>
              <w:t>Teacher:</w:t>
            </w:r>
            <w:r>
              <w:rPr>
                <w:rStyle w:val="6"/>
                <w:rFonts w:hint="eastAsia" w:eastAsia="宋体" w:cs="Times New Roman"/>
                <w:kern w:val="0"/>
                <w:sz w:val="18"/>
                <w:szCs w:val="18"/>
                <w:lang w:val="en-US" w:eastAsia="zh-CN" w:bidi="ar"/>
              </w:rPr>
              <w:t xml:space="preserve"> </w:t>
            </w:r>
            <w:r>
              <w:rPr>
                <w:rFonts w:hint="default" w:ascii="Times New Roman" w:hAnsi="Times New Roman" w:eastAsia="宋体" w:cs="Times New Roman"/>
                <w:kern w:val="0"/>
                <w:sz w:val="18"/>
                <w:szCs w:val="18"/>
                <w:lang w:val="en-US" w:eastAsia="zh-CN" w:bidi="ar"/>
              </w:rPr>
              <w:t>“We lack systematic training and structured courses. Most of the time, we only attend occasional expert lectures, and it is also difficult for the school to coordinate a time when all teachers can participate in centralized training sessions. Because everyone already has classes scheduled, freeing up half a day requires rearranging lessons, which affects several classes. So usually each grade level sends a few teachers to attend, and they come back and pass the information on to the others.”</w:t>
            </w:r>
          </w:p>
        </w:tc>
      </w:tr>
      <w:tr w14:paraId="0B87C81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9" w:type="dxa"/>
            <w:vAlign w:val="center"/>
          </w:tcPr>
          <w:p w14:paraId="30D2EB3D">
            <w:pPr>
              <w:keepNext w:val="0"/>
              <w:keepLines w:val="0"/>
              <w:pageBreakBefore w:val="0"/>
              <w:kinsoku/>
              <w:wordWrap/>
              <w:overflowPunct/>
              <w:topLinePunct w:val="0"/>
              <w:autoSpaceDE/>
              <w:autoSpaceDN/>
              <w:bidi w:val="0"/>
              <w:adjustRightInd w:val="0"/>
              <w:snapToGrid w:val="0"/>
              <w:textAlignment w:val="auto"/>
              <w:rPr>
                <w:rFonts w:hint="default" w:ascii="Times New Roman" w:hAnsi="Times New Roman" w:cs="Times New Roman"/>
                <w:b w:val="0"/>
                <w:bCs w:val="0"/>
                <w:sz w:val="18"/>
                <w:szCs w:val="18"/>
              </w:rPr>
            </w:pPr>
          </w:p>
        </w:tc>
        <w:tc>
          <w:tcPr>
            <w:tcW w:w="1645" w:type="dxa"/>
            <w:vAlign w:val="center"/>
          </w:tcPr>
          <w:p w14:paraId="67B8A4E6">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b w:val="0"/>
                <w:bCs w:val="0"/>
                <w:sz w:val="18"/>
                <w:szCs w:val="18"/>
              </w:rPr>
            </w:pPr>
            <w:r>
              <w:rPr>
                <w:rStyle w:val="6"/>
                <w:rFonts w:hint="default" w:ascii="Times New Roman" w:hAnsi="Times New Roman" w:eastAsia="宋体" w:cs="Times New Roman"/>
                <w:b w:val="0"/>
                <w:bCs w:val="0"/>
                <w:kern w:val="0"/>
                <w:sz w:val="18"/>
                <w:szCs w:val="18"/>
                <w:lang w:val="en-US" w:eastAsia="zh-CN" w:bidi="ar"/>
              </w:rPr>
              <w:t>Training Detached from Authentic Teaching Practice</w:t>
            </w:r>
          </w:p>
        </w:tc>
        <w:tc>
          <w:tcPr>
            <w:tcW w:w="2373" w:type="dxa"/>
            <w:vAlign w:val="center"/>
          </w:tcPr>
          <w:p w14:paraId="530488A4">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b w:val="0"/>
                <w:bCs w:val="0"/>
                <w:sz w:val="18"/>
                <w:szCs w:val="18"/>
              </w:rPr>
            </w:pPr>
            <w:r>
              <w:rPr>
                <w:rFonts w:hint="default" w:ascii="Times New Roman" w:hAnsi="Times New Roman" w:eastAsia="宋体" w:cs="Times New Roman"/>
                <w:b w:val="0"/>
                <w:bCs w:val="0"/>
                <w:kern w:val="0"/>
                <w:sz w:val="18"/>
                <w:szCs w:val="18"/>
                <w:lang w:val="en-US" w:eastAsia="zh-CN" w:bidi="ar"/>
              </w:rPr>
              <w:t>Existing AI training often remains at the level of general introductions, demonstrations, or generic tool use and is insufficiently connected to subject-specific and authentic classroom tasks, limiting teachers’ transfer of learning into practice.</w:t>
            </w:r>
          </w:p>
        </w:tc>
        <w:tc>
          <w:tcPr>
            <w:tcW w:w="4854" w:type="dxa"/>
            <w:vAlign w:val="center"/>
          </w:tcPr>
          <w:p w14:paraId="37D95E3C">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kern w:val="0"/>
                <w:sz w:val="18"/>
                <w:szCs w:val="18"/>
                <w:lang w:val="en-US" w:eastAsia="zh-CN" w:bidi="ar"/>
              </w:rPr>
            </w:pPr>
            <w:r>
              <w:rPr>
                <w:rStyle w:val="6"/>
                <w:rFonts w:hint="default" w:ascii="Times New Roman" w:hAnsi="Times New Roman" w:eastAsia="宋体" w:cs="Times New Roman"/>
                <w:kern w:val="0"/>
                <w:sz w:val="18"/>
                <w:szCs w:val="18"/>
                <w:lang w:val="en-US" w:eastAsia="zh-CN" w:bidi="ar"/>
              </w:rPr>
              <w:t>Teacher:</w:t>
            </w:r>
            <w:r>
              <w:rPr>
                <w:rFonts w:hint="default" w:ascii="Times New Roman" w:hAnsi="Times New Roman" w:eastAsia="宋体" w:cs="Times New Roman"/>
                <w:kern w:val="0"/>
                <w:sz w:val="18"/>
                <w:szCs w:val="18"/>
                <w:lang w:val="en-US" w:eastAsia="zh-CN" w:bidi="ar"/>
              </w:rPr>
              <w:t xml:space="preserve"> “But those were all general sessions: policy background, demonstrations, and so on. There has never been specialized training on how to use AI specifically in our subject.” “Right. It is not really tailored to us.” </w:t>
            </w:r>
          </w:p>
          <w:p w14:paraId="79F9C3D9">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Style w:val="6"/>
                <w:rFonts w:hint="default" w:ascii="Times New Roman" w:hAnsi="Times New Roman" w:eastAsia="宋体" w:cs="Times New Roman"/>
                <w:kern w:val="0"/>
                <w:sz w:val="18"/>
                <w:szCs w:val="18"/>
                <w:lang w:val="en-US" w:eastAsia="zh-CN" w:bidi="ar"/>
              </w:rPr>
              <w:t>Expert:</w:t>
            </w:r>
            <w:r>
              <w:rPr>
                <w:rFonts w:hint="default" w:ascii="Times New Roman" w:hAnsi="Times New Roman" w:eastAsia="宋体" w:cs="Times New Roman"/>
                <w:kern w:val="0"/>
                <w:sz w:val="18"/>
                <w:szCs w:val="18"/>
                <w:lang w:val="en-US" w:eastAsia="zh-CN" w:bidi="ar"/>
              </w:rPr>
              <w:t xml:space="preserve"> “Most teachers who have attended these training sessions have been introduced to various tools and shown how they can be used in teaching. They now know that tools such as Feixiang, Jimeng AI, or digital-human technologies exist. But actually applying them in real teaching is another matter.”</w:t>
            </w:r>
          </w:p>
        </w:tc>
      </w:tr>
      <w:tr w14:paraId="5CE4026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9" w:type="dxa"/>
            <w:vAlign w:val="center"/>
          </w:tcPr>
          <w:p w14:paraId="56F8072C">
            <w:pPr>
              <w:keepNext w:val="0"/>
              <w:keepLines w:val="0"/>
              <w:pageBreakBefore w:val="0"/>
              <w:kinsoku/>
              <w:wordWrap/>
              <w:overflowPunct/>
              <w:topLinePunct w:val="0"/>
              <w:autoSpaceDE/>
              <w:autoSpaceDN/>
              <w:bidi w:val="0"/>
              <w:adjustRightInd w:val="0"/>
              <w:snapToGrid w:val="0"/>
              <w:textAlignment w:val="auto"/>
              <w:rPr>
                <w:rFonts w:hint="default" w:ascii="Times New Roman" w:hAnsi="Times New Roman" w:cs="Times New Roman"/>
                <w:b w:val="0"/>
                <w:bCs w:val="0"/>
                <w:sz w:val="18"/>
                <w:szCs w:val="18"/>
              </w:rPr>
            </w:pPr>
          </w:p>
        </w:tc>
        <w:tc>
          <w:tcPr>
            <w:tcW w:w="1645" w:type="dxa"/>
            <w:vAlign w:val="center"/>
          </w:tcPr>
          <w:p w14:paraId="2A98C776">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b w:val="0"/>
                <w:bCs w:val="0"/>
                <w:sz w:val="18"/>
                <w:szCs w:val="18"/>
              </w:rPr>
            </w:pPr>
            <w:r>
              <w:rPr>
                <w:rStyle w:val="6"/>
                <w:rFonts w:hint="default" w:ascii="Times New Roman" w:hAnsi="Times New Roman" w:eastAsia="宋体" w:cs="Times New Roman"/>
                <w:b w:val="0"/>
                <w:bCs w:val="0"/>
                <w:kern w:val="0"/>
                <w:sz w:val="18"/>
                <w:szCs w:val="18"/>
                <w:lang w:val="en-US" w:eastAsia="zh-CN" w:bidi="ar"/>
              </w:rPr>
              <w:t>Insufficient Post-Training Support</w:t>
            </w:r>
          </w:p>
        </w:tc>
        <w:tc>
          <w:tcPr>
            <w:tcW w:w="2373" w:type="dxa"/>
            <w:vAlign w:val="center"/>
          </w:tcPr>
          <w:p w14:paraId="60C08066">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b w:val="0"/>
                <w:bCs w:val="0"/>
                <w:sz w:val="18"/>
                <w:szCs w:val="18"/>
              </w:rPr>
            </w:pPr>
            <w:r>
              <w:rPr>
                <w:rFonts w:hint="default" w:ascii="Times New Roman" w:hAnsi="Times New Roman" w:eastAsia="宋体" w:cs="Times New Roman"/>
                <w:b w:val="0"/>
                <w:bCs w:val="0"/>
                <w:kern w:val="0"/>
                <w:sz w:val="18"/>
                <w:szCs w:val="18"/>
                <w:lang w:val="en-US" w:eastAsia="zh-CN" w:bidi="ar"/>
              </w:rPr>
              <w:t>Existing AI training provides limited sustained guidance, feedback, and problem-solving support after formal sessions have ended, particularly when teachers begin applying what they have learned in their own schools.</w:t>
            </w:r>
          </w:p>
        </w:tc>
        <w:tc>
          <w:tcPr>
            <w:tcW w:w="4854" w:type="dxa"/>
            <w:vAlign w:val="center"/>
          </w:tcPr>
          <w:p w14:paraId="31CACADB">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kern w:val="0"/>
                <w:sz w:val="18"/>
                <w:szCs w:val="18"/>
                <w:lang w:val="en-US" w:eastAsia="zh-CN" w:bidi="ar"/>
              </w:rPr>
            </w:pPr>
            <w:r>
              <w:rPr>
                <w:rStyle w:val="6"/>
                <w:rFonts w:hint="default" w:ascii="Times New Roman" w:hAnsi="Times New Roman" w:eastAsia="宋体" w:cs="Times New Roman"/>
                <w:kern w:val="0"/>
                <w:sz w:val="18"/>
                <w:szCs w:val="18"/>
                <w:lang w:val="en-US" w:eastAsia="zh-CN" w:bidi="ar"/>
              </w:rPr>
              <w:t>Expert:</w:t>
            </w:r>
            <w:r>
              <w:rPr>
                <w:rFonts w:hint="default" w:ascii="Times New Roman" w:hAnsi="Times New Roman" w:eastAsia="宋体" w:cs="Times New Roman"/>
                <w:kern w:val="0"/>
                <w:sz w:val="18"/>
                <w:szCs w:val="18"/>
                <w:lang w:val="en-US" w:eastAsia="zh-CN" w:bidi="ar"/>
              </w:rPr>
              <w:t xml:space="preserve"> “Strictly speaking, there is no after-class component in this kind of training. Whether it is the National Teacher Training Program or municipal training, it lasts half a day to one day, and once it ends, it ends. Teachers return to their schools, and I return to mine. Institutionally, there is no formal after-class stage, and there is no corresponding funding or workload allocation for it.” </w:t>
            </w:r>
          </w:p>
          <w:p w14:paraId="0E4C8D12">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Style w:val="6"/>
                <w:rFonts w:hint="default" w:ascii="Times New Roman" w:hAnsi="Times New Roman" w:eastAsia="宋体" w:cs="Times New Roman"/>
                <w:kern w:val="0"/>
                <w:sz w:val="18"/>
                <w:szCs w:val="18"/>
                <w:lang w:val="en-US" w:eastAsia="zh-CN" w:bidi="ar"/>
              </w:rPr>
              <w:t>Expert:</w:t>
            </w:r>
            <w:r>
              <w:rPr>
                <w:rFonts w:hint="default" w:ascii="Times New Roman" w:hAnsi="Times New Roman" w:eastAsia="宋体" w:cs="Times New Roman"/>
                <w:kern w:val="0"/>
                <w:sz w:val="18"/>
                <w:szCs w:val="18"/>
                <w:lang w:val="en-US" w:eastAsia="zh-CN" w:bidi="ar"/>
              </w:rPr>
              <w:t xml:space="preserve"> “Yes. That is the most critical point. The moment when learning really happens is often not at the training site. It is when the teacher goes back, tries something for the first time, and fails. Yet that is exactly the moment when our support is absent.”</w:t>
            </w:r>
          </w:p>
        </w:tc>
      </w:tr>
      <w:tr w14:paraId="24FE1C8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9" w:type="dxa"/>
            <w:vAlign w:val="center"/>
          </w:tcPr>
          <w:p w14:paraId="6A6EB34A">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b w:val="0"/>
                <w:bCs w:val="0"/>
                <w:sz w:val="18"/>
                <w:szCs w:val="18"/>
              </w:rPr>
            </w:pPr>
            <w:r>
              <w:rPr>
                <w:rStyle w:val="6"/>
                <w:rFonts w:hint="default" w:ascii="Times New Roman" w:hAnsi="Times New Roman" w:eastAsia="宋体" w:cs="Times New Roman"/>
                <w:b w:val="0"/>
                <w:bCs w:val="0"/>
                <w:kern w:val="0"/>
                <w:sz w:val="18"/>
                <w:szCs w:val="18"/>
                <w:lang w:val="en-US" w:eastAsia="zh-CN" w:bidi="ar"/>
              </w:rPr>
              <w:t>Needs for an AI Learning Environment</w:t>
            </w:r>
          </w:p>
        </w:tc>
        <w:tc>
          <w:tcPr>
            <w:tcW w:w="1645" w:type="dxa"/>
            <w:vAlign w:val="center"/>
          </w:tcPr>
          <w:p w14:paraId="76F6B8C6">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b w:val="0"/>
                <w:bCs w:val="0"/>
                <w:sz w:val="18"/>
                <w:szCs w:val="18"/>
              </w:rPr>
            </w:pPr>
            <w:r>
              <w:rPr>
                <w:rStyle w:val="6"/>
                <w:rFonts w:hint="default" w:ascii="Times New Roman" w:hAnsi="Times New Roman" w:eastAsia="宋体" w:cs="Times New Roman"/>
                <w:b w:val="0"/>
                <w:bCs w:val="0"/>
                <w:kern w:val="0"/>
                <w:sz w:val="18"/>
                <w:szCs w:val="18"/>
                <w:lang w:val="en-US" w:eastAsia="zh-CN" w:bidi="ar"/>
              </w:rPr>
              <w:t>Directly Actionable and Practice-Oriented Learning Content</w:t>
            </w:r>
          </w:p>
        </w:tc>
        <w:tc>
          <w:tcPr>
            <w:tcW w:w="2373" w:type="dxa"/>
            <w:vAlign w:val="center"/>
          </w:tcPr>
          <w:p w14:paraId="78928D9D">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Fonts w:hint="default" w:ascii="Times New Roman" w:hAnsi="Times New Roman" w:eastAsia="宋体" w:cs="Times New Roman"/>
                <w:kern w:val="0"/>
                <w:sz w:val="18"/>
                <w:szCs w:val="18"/>
                <w:lang w:val="en-US" w:eastAsia="zh-CN" w:bidi="ar"/>
              </w:rPr>
              <w:t>Teachers prefer learning content that minimizes abstract theoretical explanation and provides concrete procedures, methods, and demonstrations that can be immediately applied in their work.</w:t>
            </w:r>
          </w:p>
        </w:tc>
        <w:tc>
          <w:tcPr>
            <w:tcW w:w="4854" w:type="dxa"/>
            <w:vAlign w:val="center"/>
          </w:tcPr>
          <w:p w14:paraId="15D93583">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kern w:val="0"/>
                <w:sz w:val="18"/>
                <w:szCs w:val="18"/>
                <w:lang w:val="en-US" w:eastAsia="zh-CN" w:bidi="ar"/>
              </w:rPr>
            </w:pPr>
            <w:r>
              <w:rPr>
                <w:rStyle w:val="6"/>
                <w:rFonts w:hint="default" w:ascii="Times New Roman" w:hAnsi="Times New Roman" w:eastAsia="宋体" w:cs="Times New Roman"/>
                <w:kern w:val="0"/>
                <w:sz w:val="18"/>
                <w:szCs w:val="18"/>
                <w:lang w:val="en-US" w:eastAsia="zh-CN" w:bidi="ar"/>
              </w:rPr>
              <w:t>Teacher:</w:t>
            </w:r>
            <w:r>
              <w:rPr>
                <w:rFonts w:hint="default" w:ascii="Times New Roman" w:hAnsi="Times New Roman" w:eastAsia="宋体" w:cs="Times New Roman"/>
                <w:kern w:val="0"/>
                <w:sz w:val="18"/>
                <w:szCs w:val="18"/>
                <w:lang w:val="en-US" w:eastAsia="zh-CN" w:bidi="ar"/>
              </w:rPr>
              <w:t xml:space="preserve"> “I still need concise and practical instructional resources that can quickly show me how to use these tools, with a greater emphasis on hands-on demonstrations. Ideally, I should be able to understand the process after watching it once. Do not explain too much theory. Just demonstrate it directly: where to click in step one, where to click in step two. If I follow along once, I can remember it.” </w:t>
            </w:r>
          </w:p>
          <w:p w14:paraId="4AFC508A">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Style w:val="6"/>
                <w:rFonts w:hint="default" w:ascii="Times New Roman" w:hAnsi="Times New Roman" w:eastAsia="宋体" w:cs="Times New Roman"/>
                <w:kern w:val="0"/>
                <w:sz w:val="18"/>
                <w:szCs w:val="18"/>
                <w:lang w:val="en-US" w:eastAsia="zh-CN" w:bidi="ar"/>
              </w:rPr>
              <w:t>Expert:</w:t>
            </w:r>
            <w:r>
              <w:rPr>
                <w:rFonts w:hint="default" w:ascii="Times New Roman" w:hAnsi="Times New Roman" w:eastAsia="宋体" w:cs="Times New Roman"/>
                <w:kern w:val="0"/>
                <w:sz w:val="18"/>
                <w:szCs w:val="18"/>
                <w:lang w:val="en-US" w:eastAsia="zh-CN" w:bidi="ar"/>
              </w:rPr>
              <w:t xml:space="preserve"> “Whether it is a website, learning resources, or courses, the main thing is to teach teachers how to use the tools, because that is what they care about most. They may not want to listen to theory. The emphasis should be on practical operation.”</w:t>
            </w:r>
          </w:p>
        </w:tc>
      </w:tr>
      <w:tr w14:paraId="70A6628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9" w:type="dxa"/>
            <w:vAlign w:val="center"/>
          </w:tcPr>
          <w:p w14:paraId="71974796">
            <w:pPr>
              <w:keepNext w:val="0"/>
              <w:keepLines w:val="0"/>
              <w:pageBreakBefore w:val="0"/>
              <w:kinsoku/>
              <w:wordWrap/>
              <w:overflowPunct/>
              <w:topLinePunct w:val="0"/>
              <w:autoSpaceDE/>
              <w:autoSpaceDN/>
              <w:bidi w:val="0"/>
              <w:adjustRightInd w:val="0"/>
              <w:snapToGrid w:val="0"/>
              <w:textAlignment w:val="auto"/>
              <w:rPr>
                <w:rFonts w:hint="default" w:ascii="Times New Roman" w:hAnsi="Times New Roman" w:cs="Times New Roman"/>
                <w:b w:val="0"/>
                <w:bCs w:val="0"/>
                <w:sz w:val="18"/>
                <w:szCs w:val="18"/>
              </w:rPr>
            </w:pPr>
          </w:p>
        </w:tc>
        <w:tc>
          <w:tcPr>
            <w:tcW w:w="1645" w:type="dxa"/>
            <w:vAlign w:val="center"/>
          </w:tcPr>
          <w:p w14:paraId="30614889">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b w:val="0"/>
                <w:bCs w:val="0"/>
                <w:sz w:val="18"/>
                <w:szCs w:val="18"/>
              </w:rPr>
            </w:pPr>
            <w:r>
              <w:rPr>
                <w:rStyle w:val="6"/>
                <w:rFonts w:hint="default" w:ascii="Times New Roman" w:hAnsi="Times New Roman" w:eastAsia="宋体" w:cs="Times New Roman"/>
                <w:b w:val="0"/>
                <w:bCs w:val="0"/>
                <w:kern w:val="0"/>
                <w:sz w:val="18"/>
                <w:szCs w:val="18"/>
                <w:lang w:val="en-US" w:eastAsia="zh-CN" w:bidi="ar"/>
              </w:rPr>
              <w:t>Discipline-Specific and Contextualized Learning Support</w:t>
            </w:r>
          </w:p>
        </w:tc>
        <w:tc>
          <w:tcPr>
            <w:tcW w:w="2373" w:type="dxa"/>
            <w:vAlign w:val="center"/>
          </w:tcPr>
          <w:p w14:paraId="72556FDF">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Fonts w:hint="default" w:ascii="Times New Roman" w:hAnsi="Times New Roman" w:eastAsia="宋体" w:cs="Times New Roman"/>
                <w:kern w:val="0"/>
                <w:sz w:val="18"/>
                <w:szCs w:val="18"/>
                <w:lang w:val="en-US" w:eastAsia="zh-CN" w:bidi="ar"/>
              </w:rPr>
              <w:t>Teachers expect AI learning to reflect the characteristics of different school subjects and authentic teaching contexts rather than relying on uniform, generic training.</w:t>
            </w:r>
          </w:p>
        </w:tc>
        <w:tc>
          <w:tcPr>
            <w:tcW w:w="4854" w:type="dxa"/>
            <w:vAlign w:val="center"/>
          </w:tcPr>
          <w:p w14:paraId="0CB83A58">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kern w:val="0"/>
                <w:sz w:val="18"/>
                <w:szCs w:val="18"/>
                <w:lang w:val="en-US" w:eastAsia="zh-CN" w:bidi="ar"/>
              </w:rPr>
            </w:pPr>
            <w:r>
              <w:rPr>
                <w:rStyle w:val="6"/>
                <w:rFonts w:hint="default" w:ascii="Times New Roman" w:hAnsi="Times New Roman" w:eastAsia="宋体" w:cs="Times New Roman"/>
                <w:kern w:val="0"/>
                <w:sz w:val="18"/>
                <w:szCs w:val="18"/>
                <w:lang w:val="en-US" w:eastAsia="zh-CN" w:bidi="ar"/>
              </w:rPr>
              <w:t>Teacher:</w:t>
            </w:r>
            <w:r>
              <w:rPr>
                <w:rFonts w:hint="default" w:ascii="Times New Roman" w:hAnsi="Times New Roman" w:eastAsia="宋体" w:cs="Times New Roman"/>
                <w:kern w:val="0"/>
                <w:sz w:val="18"/>
                <w:szCs w:val="18"/>
                <w:lang w:val="en-US" w:eastAsia="zh-CN" w:bidi="ar"/>
              </w:rPr>
              <w:t xml:space="preserve"> “Nothing else, except that teacher training could also be organized by subject because there seem to be differences across subjects.” </w:t>
            </w:r>
          </w:p>
          <w:p w14:paraId="06C19F16">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kern w:val="0"/>
                <w:sz w:val="18"/>
                <w:szCs w:val="18"/>
                <w:lang w:val="en-US" w:eastAsia="zh-CN" w:bidi="ar"/>
              </w:rPr>
            </w:pPr>
            <w:r>
              <w:rPr>
                <w:rStyle w:val="6"/>
                <w:rFonts w:hint="default" w:ascii="Times New Roman" w:hAnsi="Times New Roman" w:eastAsia="宋体" w:cs="Times New Roman"/>
                <w:kern w:val="0"/>
                <w:sz w:val="18"/>
                <w:szCs w:val="18"/>
                <w:lang w:val="en-US" w:eastAsia="zh-CN" w:bidi="ar"/>
              </w:rPr>
              <w:t>Teacher:</w:t>
            </w:r>
            <w:r>
              <w:rPr>
                <w:rFonts w:hint="default" w:ascii="Times New Roman" w:hAnsi="Times New Roman" w:eastAsia="宋体" w:cs="Times New Roman"/>
                <w:kern w:val="0"/>
                <w:sz w:val="18"/>
                <w:szCs w:val="18"/>
                <w:lang w:val="en-US" w:eastAsia="zh-CN" w:bidi="ar"/>
              </w:rPr>
              <w:t xml:space="preserve"> “So you would like future support to include subject-specific, practical, hands-on content that can actually be implemented?” </w:t>
            </w:r>
          </w:p>
          <w:p w14:paraId="79276181">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Style w:val="6"/>
                <w:rFonts w:hint="default" w:ascii="Times New Roman" w:hAnsi="Times New Roman" w:eastAsia="宋体" w:cs="Times New Roman"/>
                <w:kern w:val="0"/>
                <w:sz w:val="18"/>
                <w:szCs w:val="18"/>
                <w:lang w:val="en-US" w:eastAsia="zh-CN" w:bidi="ar"/>
              </w:rPr>
              <w:t>Expert:</w:t>
            </w:r>
            <w:r>
              <w:rPr>
                <w:rFonts w:hint="default" w:ascii="Times New Roman" w:hAnsi="Times New Roman" w:eastAsia="宋体" w:cs="Times New Roman"/>
                <w:kern w:val="0"/>
                <w:sz w:val="18"/>
                <w:szCs w:val="18"/>
                <w:lang w:val="en-US" w:eastAsia="zh-CN" w:bidi="ar"/>
              </w:rPr>
              <w:t xml:space="preserve"> “For example, you could organize materials by subject and show how AI can support different school subjects, including where and how it can be used in each subject.”</w:t>
            </w:r>
          </w:p>
        </w:tc>
      </w:tr>
      <w:tr w14:paraId="4B166BF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9" w:type="dxa"/>
            <w:vAlign w:val="center"/>
          </w:tcPr>
          <w:p w14:paraId="373DE93A">
            <w:pPr>
              <w:keepNext w:val="0"/>
              <w:keepLines w:val="0"/>
              <w:pageBreakBefore w:val="0"/>
              <w:kinsoku/>
              <w:wordWrap/>
              <w:overflowPunct/>
              <w:topLinePunct w:val="0"/>
              <w:autoSpaceDE/>
              <w:autoSpaceDN/>
              <w:bidi w:val="0"/>
              <w:adjustRightInd w:val="0"/>
              <w:snapToGrid w:val="0"/>
              <w:textAlignment w:val="auto"/>
              <w:rPr>
                <w:rFonts w:hint="default" w:ascii="Times New Roman" w:hAnsi="Times New Roman" w:cs="Times New Roman"/>
                <w:b w:val="0"/>
                <w:bCs w:val="0"/>
                <w:sz w:val="18"/>
                <w:szCs w:val="18"/>
              </w:rPr>
            </w:pPr>
          </w:p>
        </w:tc>
        <w:tc>
          <w:tcPr>
            <w:tcW w:w="1645" w:type="dxa"/>
            <w:vAlign w:val="center"/>
          </w:tcPr>
          <w:p w14:paraId="06EDFD23">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b w:val="0"/>
                <w:bCs w:val="0"/>
                <w:sz w:val="18"/>
                <w:szCs w:val="18"/>
              </w:rPr>
            </w:pPr>
            <w:r>
              <w:rPr>
                <w:rStyle w:val="6"/>
                <w:rFonts w:hint="default" w:ascii="Times New Roman" w:hAnsi="Times New Roman" w:eastAsia="宋体" w:cs="Times New Roman"/>
                <w:b w:val="0"/>
                <w:bCs w:val="0"/>
                <w:kern w:val="0"/>
                <w:sz w:val="18"/>
                <w:szCs w:val="18"/>
                <w:lang w:val="en-US" w:eastAsia="zh-CN" w:bidi="ar"/>
              </w:rPr>
              <w:t>Authentic Classroom Cases and Task-Driven Learning</w:t>
            </w:r>
          </w:p>
        </w:tc>
        <w:tc>
          <w:tcPr>
            <w:tcW w:w="2373" w:type="dxa"/>
            <w:vAlign w:val="center"/>
          </w:tcPr>
          <w:p w14:paraId="62BDA374">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Fonts w:hint="default" w:ascii="Times New Roman" w:hAnsi="Times New Roman" w:eastAsia="宋体" w:cs="Times New Roman"/>
                <w:kern w:val="0"/>
                <w:sz w:val="18"/>
                <w:szCs w:val="18"/>
                <w:lang w:val="en-US" w:eastAsia="zh-CN" w:bidi="ar"/>
              </w:rPr>
              <w:t>Teachers prefer to learn through authentic classroom examples and concrete teaching tasks that demonstrate how AI can be integrated into the full instructional process and allow them to develop competence through practical problem solving.</w:t>
            </w:r>
          </w:p>
        </w:tc>
        <w:tc>
          <w:tcPr>
            <w:tcW w:w="4854" w:type="dxa"/>
            <w:vAlign w:val="center"/>
          </w:tcPr>
          <w:p w14:paraId="53AB46C7">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kern w:val="0"/>
                <w:sz w:val="18"/>
                <w:szCs w:val="18"/>
                <w:lang w:val="en-US" w:eastAsia="zh-CN" w:bidi="ar"/>
              </w:rPr>
            </w:pPr>
            <w:r>
              <w:rPr>
                <w:rStyle w:val="6"/>
                <w:rFonts w:hint="default" w:ascii="Times New Roman" w:hAnsi="Times New Roman" w:eastAsia="宋体" w:cs="Times New Roman"/>
                <w:kern w:val="0"/>
                <w:sz w:val="18"/>
                <w:szCs w:val="18"/>
                <w:lang w:val="en-US" w:eastAsia="zh-CN" w:bidi="ar"/>
              </w:rPr>
              <w:t>Teacher:</w:t>
            </w:r>
            <w:r>
              <w:rPr>
                <w:rFonts w:hint="default" w:ascii="Times New Roman" w:hAnsi="Times New Roman" w:eastAsia="宋体" w:cs="Times New Roman"/>
                <w:kern w:val="0"/>
                <w:sz w:val="18"/>
                <w:szCs w:val="18"/>
                <w:lang w:val="en-US" w:eastAsia="zh-CN" w:bidi="ar"/>
              </w:rPr>
              <w:t xml:space="preserve"> “Yes. They could also include classroom cases, for example showing how a teacher used AI to develop a particular lesson. If there are AI technologies embedded throughout the lesson, we can watch the class and see how AI is actually integrated with a particular subject and used in that subject’s classroom. I think teachers would also be interested in that.” </w:t>
            </w:r>
          </w:p>
          <w:p w14:paraId="20ABA4AA">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Style w:val="6"/>
                <w:rFonts w:hint="default" w:ascii="Times New Roman" w:hAnsi="Times New Roman" w:eastAsia="宋体" w:cs="Times New Roman"/>
                <w:kern w:val="0"/>
                <w:sz w:val="18"/>
                <w:szCs w:val="18"/>
                <w:lang w:val="en-US" w:eastAsia="zh-CN" w:bidi="ar"/>
              </w:rPr>
              <w:t>Expert:</w:t>
            </w:r>
            <w:r>
              <w:rPr>
                <w:rFonts w:hint="default" w:ascii="Times New Roman" w:hAnsi="Times New Roman" w:eastAsia="宋体" w:cs="Times New Roman"/>
                <w:kern w:val="0"/>
                <w:sz w:val="18"/>
                <w:szCs w:val="18"/>
                <w:lang w:val="en-US" w:eastAsia="zh-CN" w:bidi="ar"/>
              </w:rPr>
              <w:t xml:space="preserve"> “I now do more workshop-style training. In this type, I basically avoid broad theoretical talk and go straight into a task. For example, I give them a real teaching scenario: you need to design an introduction for this lesson, so let’s use the tool right now to create it. After two hours, teachers will usually have a finished product in their hands.”</w:t>
            </w:r>
          </w:p>
        </w:tc>
      </w:tr>
      <w:tr w14:paraId="3FA76F8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9" w:type="dxa"/>
            <w:vAlign w:val="center"/>
          </w:tcPr>
          <w:p w14:paraId="6D84F933">
            <w:pPr>
              <w:keepNext w:val="0"/>
              <w:keepLines w:val="0"/>
              <w:pageBreakBefore w:val="0"/>
              <w:kinsoku/>
              <w:wordWrap/>
              <w:overflowPunct/>
              <w:topLinePunct w:val="0"/>
              <w:autoSpaceDE/>
              <w:autoSpaceDN/>
              <w:bidi w:val="0"/>
              <w:adjustRightInd w:val="0"/>
              <w:snapToGrid w:val="0"/>
              <w:textAlignment w:val="auto"/>
              <w:rPr>
                <w:rFonts w:hint="default" w:ascii="Times New Roman" w:hAnsi="Times New Roman" w:cs="Times New Roman"/>
                <w:b w:val="0"/>
                <w:bCs w:val="0"/>
                <w:sz w:val="18"/>
                <w:szCs w:val="18"/>
              </w:rPr>
            </w:pPr>
          </w:p>
        </w:tc>
        <w:tc>
          <w:tcPr>
            <w:tcW w:w="1645" w:type="dxa"/>
            <w:vAlign w:val="center"/>
          </w:tcPr>
          <w:p w14:paraId="7F419B45">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b w:val="0"/>
                <w:bCs w:val="0"/>
                <w:sz w:val="18"/>
                <w:szCs w:val="18"/>
              </w:rPr>
            </w:pPr>
            <w:r>
              <w:rPr>
                <w:rStyle w:val="6"/>
                <w:rFonts w:hint="default" w:ascii="Times New Roman" w:hAnsi="Times New Roman" w:eastAsia="宋体" w:cs="Times New Roman"/>
                <w:b w:val="0"/>
                <w:bCs w:val="0"/>
                <w:kern w:val="0"/>
                <w:sz w:val="18"/>
                <w:szCs w:val="18"/>
                <w:lang w:val="en-US" w:eastAsia="zh-CN" w:bidi="ar"/>
              </w:rPr>
              <w:t>Flexible, Integrated, and Sustained Online Learning Support</w:t>
            </w:r>
          </w:p>
        </w:tc>
        <w:tc>
          <w:tcPr>
            <w:tcW w:w="2373" w:type="dxa"/>
            <w:vAlign w:val="center"/>
          </w:tcPr>
          <w:p w14:paraId="17E2413F">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Fonts w:hint="default" w:ascii="Times New Roman" w:hAnsi="Times New Roman" w:eastAsia="宋体" w:cs="Times New Roman"/>
                <w:kern w:val="0"/>
                <w:sz w:val="18"/>
                <w:szCs w:val="18"/>
                <w:lang w:val="en-US" w:eastAsia="zh-CN" w:bidi="ar"/>
              </w:rPr>
              <w:t>Teachers expect online learning environments to accommodate fragmented learning time, integrate concise resources and practical tools, and provide continuing support for learning and problem solving beyond formal training sessions.</w:t>
            </w:r>
          </w:p>
        </w:tc>
        <w:tc>
          <w:tcPr>
            <w:tcW w:w="4854" w:type="dxa"/>
            <w:vAlign w:val="center"/>
          </w:tcPr>
          <w:p w14:paraId="5DB2D829">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kern w:val="0"/>
                <w:sz w:val="18"/>
                <w:szCs w:val="18"/>
                <w:lang w:val="en-US" w:eastAsia="zh-CN" w:bidi="ar"/>
              </w:rPr>
            </w:pPr>
            <w:r>
              <w:rPr>
                <w:rStyle w:val="6"/>
                <w:rFonts w:hint="default" w:ascii="Times New Roman" w:hAnsi="Times New Roman" w:eastAsia="宋体" w:cs="Times New Roman"/>
                <w:kern w:val="0"/>
                <w:sz w:val="18"/>
                <w:szCs w:val="18"/>
                <w:lang w:val="en-US" w:eastAsia="zh-CN" w:bidi="ar"/>
              </w:rPr>
              <w:t>Teacher:</w:t>
            </w:r>
            <w:r>
              <w:rPr>
                <w:rFonts w:hint="default" w:ascii="Times New Roman" w:hAnsi="Times New Roman" w:eastAsia="宋体" w:cs="Times New Roman"/>
                <w:kern w:val="0"/>
                <w:sz w:val="18"/>
                <w:szCs w:val="18"/>
                <w:lang w:val="en-US" w:eastAsia="zh-CN" w:bidi="ar"/>
              </w:rPr>
              <w:t xml:space="preserve"> “Our work at school is quite varied and we are very busy, so I find it difficult to open and work through online materials. So the first issue is time. I would be more willing to accept something simple and quick. If it is very complicated and requires me to open it and study it in depth, then regardless of the format, I probably would not have much interest in it. I would be more willing to engage with short, focused materials from which I can quickly extract useful information.” </w:t>
            </w:r>
          </w:p>
          <w:p w14:paraId="60E11C75">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sz w:val="18"/>
                <w:szCs w:val="18"/>
              </w:rPr>
            </w:pPr>
            <w:r>
              <w:rPr>
                <w:rStyle w:val="6"/>
                <w:rFonts w:hint="default" w:ascii="Times New Roman" w:hAnsi="Times New Roman" w:eastAsia="宋体" w:cs="Times New Roman"/>
                <w:kern w:val="0"/>
                <w:sz w:val="18"/>
                <w:szCs w:val="18"/>
                <w:lang w:val="en-US" w:eastAsia="zh-CN" w:bidi="ar"/>
              </w:rPr>
              <w:t>Expert:</w:t>
            </w:r>
            <w:r>
              <w:rPr>
                <w:rFonts w:hint="default" w:ascii="Times New Roman" w:hAnsi="Times New Roman" w:eastAsia="宋体" w:cs="Times New Roman"/>
                <w:kern w:val="0"/>
                <w:sz w:val="18"/>
                <w:szCs w:val="18"/>
                <w:lang w:val="en-US" w:eastAsia="zh-CN" w:bidi="ar"/>
              </w:rPr>
              <w:t xml:space="preserve"> “Another idea is to rely on online support. In theory, online environments are best suited to supporting the post-training stage because teachers can ask questions at any time and the questions can be accumulated as a knowledge base.”</w:t>
            </w:r>
          </w:p>
        </w:tc>
      </w:tr>
    </w:tbl>
    <w:p w14:paraId="302996D8">
      <w:pPr>
        <w:rPr>
          <w:rFonts w:hint="eastAsia" w:ascii="Times New Roman" w:hAnsi="Times New Roman" w:cs="Times New Roman"/>
          <w:b/>
          <w:bCs/>
          <w:sz w:val="24"/>
          <w:szCs w:val="24"/>
          <w:lang w:val="en-US" w:eastAsia="zh-CN"/>
        </w:rPr>
      </w:pPr>
      <w:r>
        <w:rPr>
          <w:rFonts w:hint="eastAsia" w:ascii="Times New Roman" w:hAnsi="Times New Roman" w:cs="Times New Roman"/>
          <w:sz w:val="18"/>
          <w:szCs w:val="18"/>
          <w:lang w:val="en-US" w:eastAsia="zh-CN"/>
        </w:rPr>
        <w:t xml:space="preserve">Note: </w:t>
      </w:r>
      <w:r>
        <w:rPr>
          <w:rFonts w:hint="default" w:ascii="Times New Roman" w:hAnsi="Times New Roman" w:eastAsia="宋体" w:cs="Times New Roman"/>
          <w:sz w:val="18"/>
          <w:szCs w:val="18"/>
        </w:rPr>
        <w:t>Illustrative excerpts in this table are drawn from both teacher and expert interviews.</w:t>
      </w:r>
    </w:p>
    <w:p w14:paraId="4B38C76D">
      <w:pPr>
        <w:rPr>
          <w:rFonts w:hint="eastAsia" w:ascii="Times New Roman" w:hAnsi="Times New Roman" w:cs="Times New Roman"/>
          <w:b/>
          <w:bCs/>
          <w:sz w:val="24"/>
          <w:szCs w:val="24"/>
          <w:lang w:val="en-US" w:eastAsia="zh-CN"/>
        </w:rPr>
      </w:pPr>
    </w:p>
    <w:p w14:paraId="31955276">
      <w:pPr>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 xml:space="preserve">A4. </w:t>
      </w:r>
      <w:r>
        <w:rPr>
          <w:rFonts w:hint="default" w:ascii="Times New Roman" w:hAnsi="Times New Roman" w:cs="Times New Roman"/>
          <w:b/>
          <w:bCs/>
          <w:sz w:val="24"/>
          <w:szCs w:val="24"/>
          <w:lang w:val="en-US" w:eastAsia="zh-CN"/>
        </w:rPr>
        <w:t>Statement on the Use of Interview Data</w:t>
      </w:r>
    </w:p>
    <w:p w14:paraId="32D9B4E8">
      <w:pPr>
        <w:rPr>
          <w:rFonts w:hint="eastAsia"/>
        </w:rPr>
      </w:pPr>
    </w:p>
    <w:p w14:paraId="56DBEFAF">
      <w:pPr>
        <w:rPr>
          <w:rFonts w:hint="default" w:ascii="Times New Roman" w:hAnsi="Times New Roman" w:cs="Times New Roman"/>
        </w:rPr>
      </w:pPr>
      <w:r>
        <w:rPr>
          <w:rFonts w:hint="default" w:ascii="Times New Roman" w:hAnsi="Times New Roman" w:cs="Times New Roman"/>
        </w:rPr>
        <w:t>Semi-structured interviews were conducted with ten participants, comprising eight primary and secondary school teachers and two teacher-education experts. The teacher interview protocol was designed to elaborate on the dimensions examined in the questionnaire, including AI awareness, AI knowledge and skills, educational applications of AI, AI-supported evaluation and management, professional development, perceived limitations of existing AI training, and expectations for an online AI learning environment. The expert interview protocol focused on current teacher AI training practices, training content and delivery, barriers encountered in professional development, teachers’ difficulties in applying AI in authentic teaching contexts, and recommendations for improving AI training and online learning environments.</w:t>
      </w:r>
    </w:p>
    <w:p w14:paraId="6CBE5A9D">
      <w:pPr>
        <w:rPr>
          <w:rFonts w:hint="default" w:ascii="Times New Roman" w:hAnsi="Times New Roman" w:cs="Times New Roman"/>
        </w:rPr>
      </w:pPr>
    </w:p>
    <w:p w14:paraId="787C0E75">
      <w:pPr>
        <w:rPr>
          <w:rFonts w:hint="default" w:ascii="Times New Roman" w:hAnsi="Times New Roman" w:cs="Times New Roman"/>
        </w:rPr>
      </w:pPr>
      <w:r>
        <w:rPr>
          <w:rFonts w:hint="default" w:ascii="Times New Roman" w:hAnsi="Times New Roman" w:cs="Times New Roman"/>
        </w:rPr>
        <w:t>The teacher interviews constituted the primary source for understanding teachers’ current experiences, attitudes, barriers, and learning needs. The two expert interviews were used as supplementary and interpretive data to deepen the analysis of training-related barriers and learning-environment design needs. Expert excerpts were not quoted in the main manuscript but are included selectively in this coding scheme to document the analytic basis of relevant codes.</w:t>
      </w:r>
    </w:p>
    <w:p w14:paraId="73D5BB81">
      <w:pPr>
        <w:rPr>
          <w:rFonts w:hint="default" w:ascii="Times New Roman" w:hAnsi="Times New Roman" w:cs="Times New Roman"/>
        </w:rPr>
      </w:pPr>
    </w:p>
    <w:p w14:paraId="1877976E">
      <w:pPr>
        <w:rPr>
          <w:rFonts w:hint="default" w:ascii="Times New Roman" w:hAnsi="Times New Roman" w:cs="Times New Roman"/>
        </w:rPr>
      </w:pPr>
      <w:r>
        <w:rPr>
          <w:rFonts w:hint="default" w:ascii="Times New Roman" w:hAnsi="Times New Roman" w:cs="Times New Roman"/>
        </w:rPr>
        <w:t>Questionnaire and interview data were analysed separately and were not matched at the individual-participant level. The interview excerpts were used primarily to explain, elaborate on, and contextualise the quantitative findings rather than to indicate frequency, prevalence, or statistical representativeness.</w:t>
      </w:r>
    </w:p>
    <w:p w14:paraId="4F812AD1">
      <w:pPr>
        <w:rPr>
          <w:rFonts w:hint="default" w:ascii="Times New Roman" w:hAnsi="Times New Roman" w:cs="Times New Roman"/>
        </w:rPr>
      </w:pPr>
    </w:p>
    <w:sectPr>
      <w:pgSz w:w="11906" w:h="16838"/>
      <w:pgMar w:top="1134" w:right="850" w:bottom="1134"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TH Sarabun PSK">
    <w:altName w:val="Segoe Print"/>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30A16"/>
    <w:rsid w:val="15957E23"/>
    <w:rsid w:val="1AA30A16"/>
    <w:rsid w:val="25CF5E29"/>
    <w:rsid w:val="2E446265"/>
    <w:rsid w:val="53706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customStyle="1" w:styleId="7">
    <w:name w:val="font11"/>
    <w:basedOn w:val="5"/>
    <w:qFormat/>
    <w:uiPriority w:val="0"/>
    <w:rPr>
      <w:rFonts w:hint="eastAsia" w:ascii="宋体" w:hAnsi="宋体" w:eastAsia="宋体" w:cs="宋体"/>
      <w:b/>
      <w:bCs/>
      <w:color w:val="000000"/>
      <w:sz w:val="22"/>
      <w:szCs w:val="22"/>
      <w:u w:val="none"/>
    </w:rPr>
  </w:style>
  <w:style w:type="character" w:customStyle="1" w:styleId="8">
    <w:name w:val="font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3234</Words>
  <Characters>17976</Characters>
  <Lines>0</Lines>
  <Paragraphs>0</Paragraphs>
  <TotalTime>0</TotalTime>
  <ScaleCrop>false</ScaleCrop>
  <LinksUpToDate>false</LinksUpToDate>
  <CharactersWithSpaces>21038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2026-08-19T17:16:00Z</dcterms:created>
  <dc:creator>Dolphinie </dc:creator>
  <cp:lastModifiedBy>Dolphinie </cp:lastModifiedBy>
  <dcterms:modified xsi:type="dcterms:W3CDTF">2026-08-25T10:33:40Z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A55E32857BE844C9A7695692BE0531D9_13</vt:lpwstr>
  </property>
  <property fmtid="{D5CDD505-2E9C-101B-9397-08002B2CF9AE}" pid="4" name="KSOTemplateDocerSaveRecord">
    <vt:lpwstr>eyJoZGlkIjoiYWJmNTAxYTA0NTllZTU0OWY5NWY0MWNlMzBjNGU2OTYiLCJ1c2VySWQiOiIxMDAyMTQ1MjczIn0=</vt:lpwstr>
  </property>
</Properties>
</file>