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8666A" w14:textId="174CCFEC" w:rsidR="005674AC" w:rsidRPr="005674AC" w:rsidRDefault="005674AC" w:rsidP="00B424F1">
      <w:pPr>
        <w:rPr>
          <w:b/>
          <w:bCs/>
          <w:sz w:val="40"/>
          <w:szCs w:val="40"/>
        </w:rPr>
      </w:pPr>
      <w:r w:rsidRPr="005674AC">
        <w:rPr>
          <w:b/>
          <w:bCs/>
          <w:sz w:val="40"/>
          <w:szCs w:val="40"/>
        </w:rPr>
        <w:t>Supplementary Methodology</w:t>
      </w:r>
      <w:r w:rsidR="00BD723C">
        <w:rPr>
          <w:b/>
          <w:bCs/>
          <w:sz w:val="40"/>
          <w:szCs w:val="40"/>
        </w:rPr>
        <w:t xml:space="preserve"> and Results</w:t>
      </w:r>
    </w:p>
    <w:p w14:paraId="18CA1011" w14:textId="77777777" w:rsidR="005674AC" w:rsidRDefault="005674AC" w:rsidP="00B424F1">
      <w:pPr>
        <w:rPr>
          <w:b/>
          <w:bCs/>
          <w:sz w:val="36"/>
          <w:szCs w:val="36"/>
        </w:rPr>
      </w:pPr>
    </w:p>
    <w:p w14:paraId="7FB24FD4" w14:textId="14FD660B" w:rsidR="005674AC" w:rsidRDefault="00CB6413" w:rsidP="00B424F1">
      <w:pPr>
        <w:rPr>
          <w:b/>
          <w:bCs/>
          <w:sz w:val="36"/>
          <w:szCs w:val="36"/>
        </w:rPr>
      </w:pPr>
      <w:r>
        <w:rPr>
          <w:b/>
          <w:bCs/>
          <w:sz w:val="36"/>
          <w:szCs w:val="36"/>
        </w:rPr>
        <w:t xml:space="preserve">S1. </w:t>
      </w:r>
      <w:r w:rsidR="00B424F1" w:rsidRPr="005674AC">
        <w:rPr>
          <w:b/>
          <w:bCs/>
          <w:sz w:val="36"/>
          <w:szCs w:val="36"/>
        </w:rPr>
        <w:t>Overvie</w:t>
      </w:r>
      <w:r w:rsidR="005674AC">
        <w:rPr>
          <w:b/>
          <w:bCs/>
          <w:sz w:val="36"/>
          <w:szCs w:val="36"/>
        </w:rPr>
        <w:t>w</w:t>
      </w:r>
    </w:p>
    <w:p w14:paraId="782BEB30" w14:textId="77777777" w:rsidR="005674AC" w:rsidRDefault="005674AC" w:rsidP="00B424F1">
      <w:pPr>
        <w:rPr>
          <w:b/>
          <w:bCs/>
          <w:sz w:val="36"/>
          <w:szCs w:val="36"/>
        </w:rPr>
      </w:pPr>
    </w:p>
    <w:p w14:paraId="3065FFE3" w14:textId="56CADE17" w:rsidR="00B424F1" w:rsidRDefault="005674AC" w:rsidP="00B424F1">
      <w:r>
        <w:rPr>
          <w:b/>
          <w:bCs/>
        </w:rPr>
        <w:t>S</w:t>
      </w:r>
      <w:r w:rsidR="00B424F1" w:rsidRPr="005674AC">
        <w:rPr>
          <w:b/>
          <w:bCs/>
        </w:rPr>
        <w:t xml:space="preserve">equential </w:t>
      </w:r>
      <w:r w:rsidRPr="005674AC">
        <w:rPr>
          <w:b/>
          <w:bCs/>
        </w:rPr>
        <w:t xml:space="preserve">framework development </w:t>
      </w:r>
      <w:r w:rsidR="00B424F1" w:rsidRPr="005674AC">
        <w:rPr>
          <w:b/>
          <w:bCs/>
        </w:rPr>
        <w:br/>
      </w:r>
      <w:r w:rsidR="00B424F1" w:rsidRPr="00B424F1">
        <w:t xml:space="preserve">This review used a sequential two-phase </w:t>
      </w:r>
      <w:r>
        <w:t xml:space="preserve">transdisciplinary framework development informed by an interdisciplinary </w:t>
      </w:r>
      <w:r w:rsidR="00B424F1" w:rsidRPr="00B424F1">
        <w:t>qualitative evidence synthesis (QES), preceded by a preparatory pre-synthesis phase (Phase 0), to examine: (1) the lived experience of chronic illness and chronic pain, and (2) the transdisciplinary pathways through which these findings may be translated into clinically and methodologically applicable frameworks (Hong et al. 2017; Noyes et al. 2018; Flemming et al. 2019). The overall aim was not only to synthesize evidence descriptively, but to generate higher-order conceptual findings and an operational framework for chronic illness care.</w:t>
      </w:r>
    </w:p>
    <w:p w14:paraId="7D23ADBF" w14:textId="01DD3930" w:rsidR="00B424F1" w:rsidRDefault="00B424F1" w:rsidP="00B424F1">
      <w:r w:rsidRPr="00B424F1">
        <w:br/>
        <w:t xml:space="preserve">The synthesis combined hermeneutic phenomenology, meta-ethnography, heuristic thematic organization, and a subsequent transdisciplinary interpretive synthesis (Noblit and Hare 1988; Thomas and Harden 2008; </w:t>
      </w:r>
      <w:proofErr w:type="spellStart"/>
      <w:r w:rsidRPr="00B424F1">
        <w:t>Lachal</w:t>
      </w:r>
      <w:proofErr w:type="spellEnd"/>
      <w:r w:rsidRPr="00B424F1">
        <w:t xml:space="preserve"> et al. 2017; France et al. 2019; Sattar et al. 2021). Across the review, the analytic strategy moved from interpretation of lived experience to structured organization of domains and themes, and finally to integrative framework development for implementation.</w:t>
      </w:r>
    </w:p>
    <w:p w14:paraId="19F9829C" w14:textId="77777777" w:rsidR="005674AC" w:rsidRDefault="00B424F1" w:rsidP="00B424F1">
      <w:r w:rsidRPr="00B424F1">
        <w:br/>
        <w:t>Across both phases, 158 studies were included. Phase 1 comprised 94 studies representing 17,468 participants from 28 countries. Phase 2 incorporated an additional 64 studies examining transdisciplinary implementation pathways.</w:t>
      </w:r>
      <w:r w:rsidRPr="00B424F1">
        <w:br/>
      </w:r>
      <w:r w:rsidRPr="00B424F1">
        <w:br/>
      </w:r>
      <w:r w:rsidRPr="00B424F1">
        <w:br/>
      </w:r>
      <w:r w:rsidRPr="00B424F1">
        <w:rPr>
          <w:b/>
          <w:bCs/>
        </w:rPr>
        <w:t>Phase 0. Pre-synthesis development</w:t>
      </w:r>
      <w:r w:rsidRPr="00B424F1">
        <w:br/>
      </w:r>
      <w:r w:rsidRPr="00B424F1">
        <w:br/>
      </w:r>
      <w:r w:rsidRPr="00B424F1">
        <w:rPr>
          <w:b/>
          <w:bCs/>
        </w:rPr>
        <w:t>Team formation and conceptual orientation</w:t>
      </w:r>
      <w:r w:rsidRPr="00B424F1">
        <w:br/>
        <w:t xml:space="preserve">The review was conducted by an interdisciplinary team with expertise in qualitative synthesis, chronic illness and pain care, phenomenology, healthcare systems, and transdisciplinary theory. Team formation was treated as a foundational analytic step because the review sought not only to summarize evidence, but to generate a framework capable of integrating experiential, clinical, social, and philosophical perspectives (Lang et al. 2012; </w:t>
      </w:r>
      <w:proofErr w:type="spellStart"/>
      <w:r w:rsidRPr="00B424F1">
        <w:t>Horcea-Milcu</w:t>
      </w:r>
      <w:proofErr w:type="spellEnd"/>
      <w:r w:rsidRPr="00B424F1">
        <w:t xml:space="preserve"> et al. 2022; Reed et al. 2023).</w:t>
      </w:r>
    </w:p>
    <w:p w14:paraId="28E85BC0" w14:textId="714C5091" w:rsidR="005674AC" w:rsidRDefault="00B424F1" w:rsidP="00B424F1">
      <w:r w:rsidRPr="00B424F1">
        <w:br/>
        <w:t xml:space="preserve">From the outset, the </w:t>
      </w:r>
      <w:r w:rsidR="005674AC">
        <w:t xml:space="preserve">interdisciplinary </w:t>
      </w:r>
      <w:r w:rsidRPr="00B424F1">
        <w:t xml:space="preserve">team adopted a shared conceptual orientation grounded in hermeneutic interpretation, meta-ethnographic synthesis, heuristic organization of complex findings, a relational and process-oriented understanding of chronic illness, and a transdisciplinary orientation toward practical translation (Reiners 2012; Noblit and Hare 1988; Thomas and Harden 2008; </w:t>
      </w:r>
      <w:proofErr w:type="spellStart"/>
      <w:r w:rsidRPr="00B424F1">
        <w:t>Vienni</w:t>
      </w:r>
      <w:proofErr w:type="spellEnd"/>
      <w:r w:rsidRPr="00B424F1">
        <w:t>-Baptista and Pohl 2024).</w:t>
      </w:r>
      <w:r w:rsidRPr="00B424F1">
        <w:br/>
      </w:r>
      <w:r w:rsidRPr="00B424F1">
        <w:br/>
      </w:r>
      <w:r w:rsidRPr="00B424F1">
        <w:rPr>
          <w:b/>
          <w:bCs/>
        </w:rPr>
        <w:t>Review design and protocol development</w:t>
      </w:r>
      <w:r w:rsidRPr="00B424F1">
        <w:br/>
        <w:t xml:space="preserve">The review was designed as a sequential two-phase QES. Phase 1 focused on identifying and synthesizing the principal domains and themes of lived experience among people living with </w:t>
      </w:r>
      <w:r w:rsidRPr="00B424F1">
        <w:lastRenderedPageBreak/>
        <w:t>chronic illness and chronic pain. Phase 2 focused on identifying cross-disciplinary and transdisciplinary pathways capable of translating these findings into more clinically and methodologically applicable frameworks.</w:t>
      </w:r>
    </w:p>
    <w:p w14:paraId="728A5421" w14:textId="5EFCF24D" w:rsidR="005674AC" w:rsidRDefault="00B424F1" w:rsidP="00B424F1">
      <w:r w:rsidRPr="00B424F1">
        <w:br/>
        <w:t xml:space="preserve">Before searching began, the team developed a preliminary protocol specifying the review aims, sequential design, </w:t>
      </w:r>
      <w:proofErr w:type="spellStart"/>
      <w:r w:rsidRPr="00B424F1">
        <w:t>PICo</w:t>
      </w:r>
      <w:proofErr w:type="spellEnd"/>
      <w:r w:rsidRPr="00B424F1">
        <w:t>-based review questions, inclusion and exclusion criteria, eligible study designs, temporal limits, databases, appraisal strategy, and a preliminary coding framework (Booth et al. 2019; Flemming et al. 2019; Lewin et al. 2019). Principal analytic domains were specified a priori, while subdomains, heuristic rules, and operational definitions were allowed to emerge iteratively during coding and synthesis.</w:t>
      </w:r>
      <w:r w:rsidRPr="00B424F1">
        <w:br/>
      </w:r>
      <w:r w:rsidRPr="00B424F1">
        <w:br/>
      </w:r>
      <w:r w:rsidRPr="00B424F1">
        <w:rPr>
          <w:b/>
          <w:bCs/>
        </w:rPr>
        <w:t xml:space="preserve">Review questions and </w:t>
      </w:r>
      <w:proofErr w:type="spellStart"/>
      <w:r w:rsidRPr="00B424F1">
        <w:rPr>
          <w:b/>
          <w:bCs/>
        </w:rPr>
        <w:t>PICo</w:t>
      </w:r>
      <w:proofErr w:type="spellEnd"/>
      <w:r w:rsidRPr="00B424F1">
        <w:rPr>
          <w:b/>
          <w:bCs/>
        </w:rPr>
        <w:t xml:space="preserve"> framework</w:t>
      </w:r>
      <w:r w:rsidRPr="00B424F1">
        <w:rPr>
          <w:b/>
          <w:bCs/>
        </w:rPr>
        <w:br/>
      </w:r>
      <w:r w:rsidRPr="00B424F1">
        <w:t xml:space="preserve">A </w:t>
      </w:r>
      <w:proofErr w:type="spellStart"/>
      <w:r w:rsidRPr="00B424F1">
        <w:t>PICo</w:t>
      </w:r>
      <w:proofErr w:type="spellEnd"/>
      <w:r w:rsidRPr="00B424F1">
        <w:t xml:space="preserve"> framework was used to structure the review questions, consistent with guidance for QES in health research (Booth et al. 2019; Flemming et al. 2019; Mohammad-Salar et al. 2024).</w:t>
      </w:r>
      <w:r w:rsidRPr="00B424F1">
        <w:br/>
      </w:r>
    </w:p>
    <w:p w14:paraId="0DAE7328" w14:textId="41772EE6" w:rsidR="00B424F1" w:rsidRDefault="00B424F1" w:rsidP="00B424F1">
      <w:r w:rsidRPr="00B424F1">
        <w:t xml:space="preserve">For </w:t>
      </w:r>
      <w:r w:rsidRPr="005674AC">
        <w:rPr>
          <w:b/>
          <w:bCs/>
        </w:rPr>
        <w:t>Phase 1</w:t>
      </w:r>
      <w:r w:rsidRPr="00B424F1">
        <w:t>, the review asked:</w:t>
      </w:r>
    </w:p>
    <w:p w14:paraId="29F2C54F" w14:textId="77777777" w:rsidR="00B424F1" w:rsidRDefault="00B424F1">
      <w:pPr>
        <w:pStyle w:val="ListParagraph"/>
        <w:numPr>
          <w:ilvl w:val="0"/>
          <w:numId w:val="37"/>
        </w:numPr>
      </w:pPr>
      <w:r w:rsidRPr="00B424F1">
        <w:t>What phenomenological themes shape the lived experience of chronic illness and chronic pain?</w:t>
      </w:r>
    </w:p>
    <w:p w14:paraId="3FA6A694" w14:textId="77777777" w:rsidR="00B424F1" w:rsidRDefault="00B424F1" w:rsidP="00B424F1">
      <w:pPr>
        <w:pStyle w:val="ListParagraph"/>
      </w:pPr>
    </w:p>
    <w:p w14:paraId="1F2DA3DA" w14:textId="77777777" w:rsidR="005674AC" w:rsidRDefault="00B424F1">
      <w:pPr>
        <w:pStyle w:val="ListParagraph"/>
        <w:numPr>
          <w:ilvl w:val="0"/>
          <w:numId w:val="37"/>
        </w:numPr>
      </w:pPr>
      <w:r w:rsidRPr="00B424F1">
        <w:t>What principal experiential domains can be identified across the literature?</w:t>
      </w:r>
    </w:p>
    <w:p w14:paraId="34F3A93A" w14:textId="77777777" w:rsidR="005674AC" w:rsidRDefault="005674AC" w:rsidP="005674AC">
      <w:pPr>
        <w:pStyle w:val="ListParagraph"/>
      </w:pPr>
    </w:p>
    <w:p w14:paraId="7F3086F1" w14:textId="1DF52DFD" w:rsidR="00B424F1" w:rsidRDefault="00B424F1" w:rsidP="00B424F1">
      <w:r w:rsidRPr="00B424F1">
        <w:t xml:space="preserve">For </w:t>
      </w:r>
      <w:r w:rsidRPr="005674AC">
        <w:rPr>
          <w:b/>
          <w:bCs/>
        </w:rPr>
        <w:t>Phase 2</w:t>
      </w:r>
      <w:r w:rsidRPr="00B424F1">
        <w:t>, the review asked:</w:t>
      </w:r>
    </w:p>
    <w:p w14:paraId="524F5511" w14:textId="77777777" w:rsidR="00B424F1" w:rsidRPr="00B424F1" w:rsidRDefault="00B424F1">
      <w:pPr>
        <w:pStyle w:val="ListParagraph"/>
        <w:numPr>
          <w:ilvl w:val="0"/>
          <w:numId w:val="38"/>
        </w:numPr>
        <w:rPr>
          <w:b/>
          <w:bCs/>
        </w:rPr>
      </w:pPr>
      <w:r w:rsidRPr="00B424F1">
        <w:t>How can transdisciplinary science principles be integrated into research and clinical practice to improve understanding and treatment of the domains identified in Phase 1?</w:t>
      </w:r>
    </w:p>
    <w:p w14:paraId="3516E0F2" w14:textId="77777777" w:rsidR="00B424F1" w:rsidRDefault="00B424F1" w:rsidP="00B424F1">
      <w:pPr>
        <w:rPr>
          <w:b/>
          <w:bCs/>
        </w:rPr>
      </w:pPr>
    </w:p>
    <w:p w14:paraId="110A2149" w14:textId="12C5A279" w:rsidR="00B424F1" w:rsidRPr="00B424F1" w:rsidRDefault="00B424F1" w:rsidP="00B424F1">
      <w:pPr>
        <w:rPr>
          <w:b/>
          <w:bCs/>
        </w:rPr>
      </w:pPr>
      <w:r w:rsidRPr="00B424F1">
        <w:rPr>
          <w:b/>
          <w:bCs/>
        </w:rPr>
        <w:t>Search strategy</w:t>
      </w:r>
      <w:r w:rsidRPr="00B424F1">
        <w:rPr>
          <w:b/>
          <w:bCs/>
        </w:rPr>
        <w:br/>
      </w:r>
      <w:r w:rsidRPr="00B424F1">
        <w:t xml:space="preserve">Searches combined controlled vocabulary and free-text terms and were adapted for each database. </w:t>
      </w:r>
      <w:r w:rsidR="00BD723C">
        <w:t xml:space="preserve">A librarian was consulted and helped organizing the search terms and database searches. </w:t>
      </w:r>
      <w:r w:rsidRPr="00B424F1">
        <w:t xml:space="preserve">The following databases were searched: PsycINFO, PubMed, Scopus, Google Scholar, </w:t>
      </w:r>
      <w:r w:rsidR="00B17F9F">
        <w:t xml:space="preserve">CINAHL, Embase and </w:t>
      </w:r>
      <w:r w:rsidRPr="00B424F1">
        <w:t>Web of Science</w:t>
      </w:r>
      <w:r w:rsidR="00B17F9F">
        <w:t xml:space="preserve"> (see Table S3)</w:t>
      </w:r>
      <w:r w:rsidRPr="00B424F1">
        <w:t>. The search period extended from July 2010 to July 2025. Search development was designed to identify both qualitative lived-experience studies relevant to Phase 1 and transdisciplinary, implementation-relevant literature for Phase 2. Full search strategies are provided in the Supplementary Tables.</w:t>
      </w:r>
      <w:r w:rsidRPr="00B424F1">
        <w:br/>
      </w:r>
      <w:r w:rsidRPr="00B424F1">
        <w:br/>
      </w:r>
      <w:r w:rsidRPr="00B424F1">
        <w:rPr>
          <w:b/>
          <w:bCs/>
        </w:rPr>
        <w:t>Study selection</w:t>
      </w:r>
    </w:p>
    <w:p w14:paraId="68DAAB28" w14:textId="77777777" w:rsidR="00B424F1" w:rsidRDefault="00B424F1" w:rsidP="00B424F1">
      <w:r w:rsidRPr="00B424F1">
        <w:t>Study selection followed PRISMA 2020-aligned procedures (Page et al. 2021). Titles and abstracts were screened independently by two reviewers, followed by full-text screening of potentially eligible studies. Disagreements were resolved through discussion and, where necessary, wider team adjudication.</w:t>
      </w:r>
      <w:r w:rsidRPr="00B424F1">
        <w:br/>
        <w:t>Studies were eligible if they examined lived experience of chronic illness or chronic pain, or addressed transdisciplinary science, implementation, or knowledge integration in medicine and related health contexts. Eligible designs included qualitative studies, mixed-methods studies with substantial qualitative components, and qualitative evidence syntheses. Purely quantitative studies without qualitative synthesis, non-peer-reviewed sources, editorials, commentaries, and studies outside the date range were excluded.</w:t>
      </w:r>
      <w:r w:rsidRPr="00B424F1">
        <w:br/>
      </w:r>
      <w:r w:rsidRPr="00B424F1">
        <w:br/>
      </w:r>
      <w:r w:rsidRPr="00B424F1">
        <w:rPr>
          <w:b/>
          <w:bCs/>
        </w:rPr>
        <w:lastRenderedPageBreak/>
        <w:t>Quality appraisal and confidence assessment</w:t>
      </w:r>
      <w:r w:rsidRPr="00B424F1">
        <w:rPr>
          <w:b/>
          <w:bCs/>
        </w:rPr>
        <w:br/>
      </w:r>
      <w:r w:rsidRPr="00B424F1">
        <w:t>Methodological quality was assessed using design-appropriate tools. CASP was used for qualitative studies and MMAT for mixed-methods and multi-design studies (Hong et al. 2019; Long et al. 2020). Two reviewers independently appraised each study, with disagreements resolved through discussion. Studies were retained if they met the predefined methodological threshold specified in the protocol.</w:t>
      </w:r>
    </w:p>
    <w:p w14:paraId="33A447B4" w14:textId="77777777" w:rsidR="00B424F1" w:rsidRDefault="00B424F1" w:rsidP="00B424F1">
      <w:r w:rsidRPr="00B424F1">
        <w:br/>
        <w:t>Confidence in synthesized qualitative findings was assessed using GRADE-</w:t>
      </w:r>
      <w:proofErr w:type="spellStart"/>
      <w:r w:rsidRPr="00B424F1">
        <w:t>CERQual</w:t>
      </w:r>
      <w:proofErr w:type="spellEnd"/>
      <w:r w:rsidRPr="00B424F1">
        <w:t xml:space="preserve"> across methodological limitations, coherence, adequacy of data, and relevance (Lewin et al. 2018; Downe et al. 2019). Evidence profiles were developed to document confidence judgments and contributing studies.</w:t>
      </w:r>
      <w:r w:rsidRPr="00B424F1">
        <w:br/>
      </w:r>
      <w:r w:rsidRPr="00B424F1">
        <w:br/>
      </w:r>
      <w:r w:rsidRPr="00B424F1">
        <w:rPr>
          <w:b/>
          <w:bCs/>
        </w:rPr>
        <w:t>Data extraction and ethics</w:t>
      </w:r>
      <w:r w:rsidRPr="00B424F1">
        <w:br/>
        <w:t>A structured data extraction form was developed and piloted before full application. Extracted information included authorship, year, country or setting, participant characteristics, study design and methodology, theoretical framework, findings, and interpretive conclusions relevant to synthesis (</w:t>
      </w:r>
      <w:proofErr w:type="spellStart"/>
      <w:r w:rsidRPr="00B424F1">
        <w:t>Sandelowski</w:t>
      </w:r>
      <w:proofErr w:type="spellEnd"/>
      <w:r w:rsidRPr="00B424F1">
        <w:t xml:space="preserve"> et al. 2013). Across both phases, findings and appraisal judgments were organized into structured evidence profiles.</w:t>
      </w:r>
    </w:p>
    <w:p w14:paraId="50BA1CDD" w14:textId="77777777" w:rsidR="00B424F1" w:rsidRDefault="00B424F1" w:rsidP="00B424F1">
      <w:r w:rsidRPr="00B424F1">
        <w:br/>
        <w:t xml:space="preserve">As this study was </w:t>
      </w:r>
      <w:proofErr w:type="spellStart"/>
      <w:proofErr w:type="gramStart"/>
      <w:r w:rsidRPr="00B424F1">
        <w:t>a</w:t>
      </w:r>
      <w:proofErr w:type="spellEnd"/>
      <w:proofErr w:type="gramEnd"/>
      <w:r w:rsidRPr="00B424F1">
        <w:t xml:space="preserve"> </w:t>
      </w:r>
      <w:r>
        <w:t xml:space="preserve">interdisciplinary framework development and transdisciplinary synthesis informed by a </w:t>
      </w:r>
      <w:r w:rsidRPr="00B424F1">
        <w:t>qualitative evidence synthesis, it did not involve direct human participation or the collection of personal data. Ethical conduct was maintained through transparent procedures, protocol-based selection, accurate citation, and attention to the ethical reporting of included primary studies.</w:t>
      </w:r>
      <w:r w:rsidRPr="00B424F1">
        <w:br/>
      </w:r>
      <w:r w:rsidRPr="00B424F1">
        <w:br/>
      </w:r>
      <w:r w:rsidRPr="00B424F1">
        <w:br/>
      </w:r>
      <w:r w:rsidRPr="00B424F1">
        <w:rPr>
          <w:b/>
          <w:bCs/>
        </w:rPr>
        <w:t>Phase 1. Synthesis of the lived experience of chronic illness and chronic pain</w:t>
      </w:r>
      <w:r w:rsidRPr="00B424F1">
        <w:rPr>
          <w:b/>
          <w:bCs/>
        </w:rPr>
        <w:br/>
        <w:t>Analytic orientation</w:t>
      </w:r>
      <w:r w:rsidRPr="00B424F1">
        <w:rPr>
          <w:b/>
          <w:bCs/>
        </w:rPr>
        <w:br/>
      </w:r>
      <w:r w:rsidRPr="00B424F1">
        <w:t xml:space="preserve">Phase 1 synthesized the lived experience of chronic illness and chronic pain to identify principal experiential domains and themes. The analytic orientation combined hermeneutic phenomenology, meta-ethnography, </w:t>
      </w:r>
      <w:proofErr w:type="spellStart"/>
      <w:r w:rsidRPr="00B424F1">
        <w:t>phenomenographic</w:t>
      </w:r>
      <w:proofErr w:type="spellEnd"/>
      <w:r w:rsidRPr="00B424F1">
        <w:t xml:space="preserve"> sensitivity to variation in experience, and line-of-argument synthesis (Reiners 2012; </w:t>
      </w:r>
      <w:proofErr w:type="spellStart"/>
      <w:r w:rsidRPr="00B424F1">
        <w:t>Röing</w:t>
      </w:r>
      <w:proofErr w:type="spellEnd"/>
      <w:r w:rsidRPr="00B424F1">
        <w:t xml:space="preserve"> and Sanner 2015; France et al. 2019; Sattar et al. 2021). The aim was to move beyond thematic listing toward an interpretive account of how chronic illness is experienced, understood, and organized across studies.</w:t>
      </w:r>
      <w:r w:rsidRPr="00B424F1">
        <w:br/>
      </w:r>
      <w:r w:rsidRPr="00B424F1">
        <w:br/>
      </w:r>
      <w:r w:rsidRPr="00B424F1">
        <w:rPr>
          <w:b/>
          <w:bCs/>
        </w:rPr>
        <w:t>Familiarization and hermeneutic interpretation</w:t>
      </w:r>
      <w:r w:rsidRPr="00B424F1">
        <w:br/>
        <w:t xml:space="preserve">All extracted findings were read and re-read to preserve context, idiom, conceptual nuance, and study-level meaning. Analysis proceeded through repeated movement within the hermeneutic circle, moving between individual findings, whole studies, and the developing synthesis. Reflexive and analytic memos were maintained throughout (Reiners 2012; </w:t>
      </w:r>
      <w:proofErr w:type="spellStart"/>
      <w:r w:rsidRPr="00B424F1">
        <w:t>SmithBattle</w:t>
      </w:r>
      <w:proofErr w:type="spellEnd"/>
      <w:r w:rsidRPr="00B424F1">
        <w:t xml:space="preserve"> et al. 2024; Ho et al. 2026).</w:t>
      </w:r>
      <w:r w:rsidRPr="00B424F1">
        <w:br/>
      </w:r>
      <w:r w:rsidRPr="00B424F1">
        <w:br/>
      </w:r>
      <w:r w:rsidRPr="00B424F1">
        <w:rPr>
          <w:b/>
          <w:bCs/>
        </w:rPr>
        <w:t>Meta-ethnographic translation</w:t>
      </w:r>
      <w:r w:rsidRPr="00B424F1">
        <w:rPr>
          <w:b/>
          <w:bCs/>
        </w:rPr>
        <w:br/>
      </w:r>
      <w:r w:rsidRPr="00B424F1">
        <w:t xml:space="preserve">Conceptual translation was undertaken using meta-ethnographic techniques. Reciprocal translation was used to compare and align similar concepts across studies, refutational translation was used to examine contradictions and tensions, and line-of-argument synthesis was used to </w:t>
      </w:r>
      <w:r w:rsidRPr="00B424F1">
        <w:lastRenderedPageBreak/>
        <w:t>generate broader theoretical interpretations from individual studies (Noblit and Hare 1988; Campbell et al. 2011; France et al. 2019; Soundy and Heneghan 2022). This enabled the synthesis to move beyond the content of any single paper toward higher-order conceptual categories.</w:t>
      </w:r>
      <w:r w:rsidRPr="00B424F1">
        <w:br/>
      </w:r>
      <w:r w:rsidRPr="00B424F1">
        <w:br/>
      </w:r>
      <w:r w:rsidRPr="00B424F1">
        <w:rPr>
          <w:b/>
          <w:bCs/>
        </w:rPr>
        <w:t>Heuristic thematic organization and coding</w:t>
      </w:r>
      <w:r w:rsidRPr="00B424F1">
        <w:rPr>
          <w:b/>
          <w:bCs/>
        </w:rPr>
        <w:br/>
      </w:r>
      <w:r w:rsidRPr="00B424F1">
        <w:t>Following conceptual translation, findings were grouped into higher-order domains and subthemes through heuristic organization. This stage retained interpretive meaning while reducing analytic complexity sufficiently to support framework development. Themes were initially generated at study level and then organized into broader domains, including social, physical, psychological, cultural, cognitive, healthcare/system, environmental, chronic pain-specific, and ecological dimensions.</w:t>
      </w:r>
    </w:p>
    <w:p w14:paraId="7D5D4EE5" w14:textId="77777777" w:rsidR="00B424F1" w:rsidRDefault="00B424F1" w:rsidP="00B424F1">
      <w:r w:rsidRPr="00B424F1">
        <w:br/>
        <w:t>The coding process was designed to support transparent and reproducible organization of qualitative findings while remaining faithful to interpretive principles (Thomas and Harden 2008; Williams and Moser 2019; Coates et al. 2021; Bingham 2023). The unit of coding was the study-level finding, defined as any author-reported theme, subtheme, interpretive statement, or participant-derived meaning summarized in the findings or results section. Where studies contained multiple distinct experiential findings, more than one code could be assigned. For synthesis purposes, each study was assigned one primary code reflecting the dominant experiential emphasis, with secondary and tertiary codes assigned where relevant.</w:t>
      </w:r>
    </w:p>
    <w:p w14:paraId="00CC463D" w14:textId="77777777" w:rsidR="00B424F1" w:rsidRDefault="00B424F1" w:rsidP="00B424F1">
      <w:r w:rsidRPr="00B424F1">
        <w:br/>
        <w:t>Coding proceeded iteratively through four stages: hermeneutic familiarization and immersion; open descriptive coding; categorization and framework alignment; and heuristic refinement. Two reviewers independently generated preliminary descriptive labels and clustered these into higher-order domains and subdomains. Domains and subdomains were subsequently operationalized using inclusion criteria, exclusion criteria, and decision rules.</w:t>
      </w:r>
    </w:p>
    <w:p w14:paraId="11CCCF7A" w14:textId="77777777" w:rsidR="00B424F1" w:rsidRDefault="00B424F1" w:rsidP="00B424F1">
      <w:r w:rsidRPr="00B424F1">
        <w:br/>
        <w:t>Coding prioritized meaning rather than topic alone. Primary coding reflected central analytic emphasis rather than simple frequency. Where findings spanned multiple domains, the primary code captured dominant meaning and secondary or tertiary codes captured co-occurring dimensions. Decision rules were used to distinguish adjacent constructs, including clinical invalidation versus broader stigma, resilience versus whole-life adaptation, symptom burden versus pain dominance, and experiential uncertainty versus conceptual illness representation.</w:t>
      </w:r>
      <w:r w:rsidRPr="00B424F1">
        <w:br/>
        <w:t xml:space="preserve">The resulting domain structure functioned as a heuristic ontology: a flexible, rule-guided system for organizing meanings, relationships, and patterns across the literature while preserving interpretive depth (Stock et al. 2015; Wenzel and Stjerne 2021; </w:t>
      </w:r>
      <w:proofErr w:type="spellStart"/>
      <w:r w:rsidRPr="00B424F1">
        <w:t>Vienni</w:t>
      </w:r>
      <w:proofErr w:type="spellEnd"/>
      <w:r w:rsidRPr="00B424F1">
        <w:t>-Baptista and Pohl 2024).</w:t>
      </w:r>
      <w:r w:rsidRPr="00B424F1">
        <w:br/>
      </w:r>
      <w:r w:rsidRPr="00B424F1">
        <w:br/>
      </w:r>
      <w:r w:rsidRPr="00B424F1">
        <w:rPr>
          <w:b/>
          <w:bCs/>
        </w:rPr>
        <w:t>Reliability, weighting, and confidence assessment</w:t>
      </w:r>
      <w:r w:rsidRPr="00B424F1">
        <w:rPr>
          <w:b/>
          <w:bCs/>
        </w:rPr>
        <w:br/>
      </w:r>
      <w:r w:rsidRPr="00B424F1">
        <w:t>Two reviewers independently coded all studies using the piloted codebook. Discrepant cases were reviewed in full context and resolved through discussion. Recurrent disagreements were used to refine code definitions and decision rules. Study-level counts and proportional weights were then calculated for domains and subthemes. Because studies could receive more than one domain-level code, totals could exceed the overall number of included studies.</w:t>
      </w:r>
      <w:r w:rsidRPr="00B424F1">
        <w:br/>
        <w:t>Confidence in Phase 1 synthesized findings was assessed using GRADE-</w:t>
      </w:r>
      <w:proofErr w:type="spellStart"/>
      <w:r w:rsidRPr="00B424F1">
        <w:t>CERQual</w:t>
      </w:r>
      <w:proofErr w:type="spellEnd"/>
      <w:r w:rsidRPr="00B424F1">
        <w:t xml:space="preserve">. Each finding was evaluated across methodological limitations, coherence, adequacy, and relevance, and </w:t>
      </w:r>
      <w:r w:rsidRPr="00B424F1">
        <w:lastRenderedPageBreak/>
        <w:t>downgraded where concerns were identified (Lewin et al. 2018; Downe et al. 2019).</w:t>
      </w:r>
      <w:r w:rsidRPr="00B424F1">
        <w:br/>
      </w:r>
      <w:r w:rsidRPr="00B424F1">
        <w:br/>
      </w:r>
      <w:r w:rsidRPr="00B424F1">
        <w:rPr>
          <w:b/>
          <w:bCs/>
        </w:rPr>
        <w:t>Phase 1 output</w:t>
      </w:r>
      <w:r w:rsidRPr="00B424F1">
        <w:rPr>
          <w:b/>
          <w:bCs/>
        </w:rPr>
        <w:br/>
      </w:r>
      <w:r w:rsidRPr="00B424F1">
        <w:t>The final Phase 1 synthesis generated third-order interpretations of chronic illness and chronic pain as dynamic and processual phenomena characterized by temporality, fluctuation, interdependence across domains, unstable diagnosis and legitimacy, and the fundamentally relational nature of adaptation.</w:t>
      </w:r>
      <w:r w:rsidRPr="00B424F1">
        <w:br/>
      </w:r>
      <w:r w:rsidRPr="00B424F1">
        <w:br/>
      </w:r>
      <w:r w:rsidRPr="00B424F1">
        <w:br/>
      </w:r>
      <w:r w:rsidRPr="00B424F1">
        <w:rPr>
          <w:b/>
          <w:bCs/>
        </w:rPr>
        <w:t>Phase 2. Synthesis of transdisciplinary pathways for implementation</w:t>
      </w:r>
      <w:r w:rsidRPr="00B424F1">
        <w:rPr>
          <w:b/>
          <w:bCs/>
        </w:rPr>
        <w:br/>
        <w:t>Purpose and scope</w:t>
      </w:r>
      <w:r w:rsidRPr="00B424F1">
        <w:rPr>
          <w:b/>
          <w:bCs/>
        </w:rPr>
        <w:br/>
      </w:r>
      <w:r w:rsidRPr="00B424F1">
        <w:t>Phase 2 identified transdisciplinary pathways capable of translating the lived-experience findings into implementation-relevant and clinically meaningful frameworks. To maintain coherence and reproducibility, this phase followed a structured sequence of cross-disciplinary extension, supplementary searching, appraisal, synthesis of transdisciplinary principles, heuristic pathway organization, co-occurrence analysis, and final integration.</w:t>
      </w:r>
      <w:r w:rsidRPr="00B424F1">
        <w:br/>
      </w:r>
      <w:r w:rsidRPr="00B424F1">
        <w:br/>
      </w:r>
      <w:r w:rsidRPr="00B424F1">
        <w:rPr>
          <w:b/>
          <w:bCs/>
        </w:rPr>
        <w:t>Cross-disciplinary extension and supplementary searching</w:t>
      </w:r>
      <w:r w:rsidRPr="00B424F1">
        <w:rPr>
          <w:b/>
          <w:bCs/>
        </w:rPr>
        <w:br/>
      </w:r>
      <w:r w:rsidRPr="00B424F1">
        <w:t xml:space="preserve">Phase 1 findings were first used to refine the secondary review questions and identify disciplinary literatures relevant to implementation, including medicine, public health, phenomenology, participatory inquiry, process ontology, and transdisciplinary science (Lang et al. 2012; Nicolescu 2014; </w:t>
      </w:r>
      <w:proofErr w:type="spellStart"/>
      <w:r w:rsidRPr="00B424F1">
        <w:t>Rigolot</w:t>
      </w:r>
      <w:proofErr w:type="spellEnd"/>
      <w:r w:rsidRPr="00B424F1">
        <w:t xml:space="preserve"> 2020; Reed et al. 2023). An iterative targeted search was then conducted to identify additional studies relevant to transdisciplinary science in medicine and public health, implementation pathways, methodological foundations, and pathway development.</w:t>
      </w:r>
      <w:r w:rsidRPr="00B424F1">
        <w:br/>
      </w:r>
      <w:r w:rsidRPr="00B424F1">
        <w:br/>
      </w:r>
      <w:r w:rsidRPr="00B424F1">
        <w:rPr>
          <w:b/>
          <w:bCs/>
        </w:rPr>
        <w:t>Appraisal of supplementary studies</w:t>
      </w:r>
      <w:r w:rsidRPr="00B424F1">
        <w:rPr>
          <w:b/>
          <w:bCs/>
        </w:rPr>
        <w:br/>
      </w:r>
      <w:r w:rsidRPr="00B424F1">
        <w:t>These supplementary studies were appraised using criteria adapted to methodological design and conceptual contribution. The purpose of appraisal in Phase 2 was not solely exclusion, but evaluation of each source’s contribution to pathway development, implementation understanding, and theoretical integration.</w:t>
      </w:r>
      <w:r w:rsidRPr="00B424F1">
        <w:br/>
      </w:r>
      <w:r w:rsidRPr="00B424F1">
        <w:br/>
      </w:r>
      <w:r w:rsidRPr="00B424F1">
        <w:rPr>
          <w:b/>
          <w:bCs/>
        </w:rPr>
        <w:t>Interpretive synthesis of transdisciplinary principles</w:t>
      </w:r>
      <w:r w:rsidRPr="00B424F1">
        <w:rPr>
          <w:b/>
          <w:bCs/>
        </w:rPr>
        <w:br/>
      </w:r>
      <w:r w:rsidRPr="00B424F1">
        <w:t xml:space="preserve">Phase 2 findings were synthesized using interpretive comparison, meta-ethnographic translation, and team-based interdisciplinary interpretation (Thomas and Harden 2008; Hong et al. 2017). Initial coding focused on recurrent constructs, mechanisms, and applied implications across studies, including lived experience, distress and coping, self-management, social and cultural context, process-based understandings of illness, ontology, systems thinking, co-production, participation, equity, and implementation context. Codes were compared iteratively and grouped into broader conceptual categories through constant comparison and analytic </w:t>
      </w:r>
      <w:proofErr w:type="spellStart"/>
      <w:r w:rsidRPr="00B424F1">
        <w:t>memoing</w:t>
      </w:r>
      <w:proofErr w:type="spellEnd"/>
      <w:r w:rsidRPr="00B424F1">
        <w:t>.</w:t>
      </w:r>
      <w:r w:rsidRPr="00B424F1">
        <w:br/>
        <w:t>This process yielded four higher-order themes</w:t>
      </w:r>
      <w:r>
        <w:t>:</w:t>
      </w:r>
    </w:p>
    <w:p w14:paraId="0CCDFB20" w14:textId="77777777" w:rsidR="00B424F1" w:rsidRDefault="00B424F1" w:rsidP="00B424F1"/>
    <w:p w14:paraId="57C69A8B" w14:textId="0AD7BF26" w:rsidR="00B424F1" w:rsidRDefault="00B424F1">
      <w:pPr>
        <w:pStyle w:val="ListParagraph"/>
        <w:numPr>
          <w:ilvl w:val="0"/>
          <w:numId w:val="39"/>
        </w:numPr>
      </w:pPr>
      <w:r w:rsidRPr="00B424F1">
        <w:t>pain: mindfulness, lived experience, and supportive care;</w:t>
      </w:r>
    </w:p>
    <w:p w14:paraId="63D1BE27" w14:textId="77777777" w:rsidR="00B424F1" w:rsidRDefault="00B424F1">
      <w:pPr>
        <w:pStyle w:val="ListParagraph"/>
        <w:numPr>
          <w:ilvl w:val="0"/>
          <w:numId w:val="38"/>
        </w:numPr>
      </w:pPr>
      <w:r w:rsidRPr="00B424F1">
        <w:t>ontology: process-based conceptualization;</w:t>
      </w:r>
    </w:p>
    <w:p w14:paraId="2D439D21" w14:textId="77777777" w:rsidR="00B424F1" w:rsidRDefault="00B424F1">
      <w:pPr>
        <w:pStyle w:val="ListParagraph"/>
        <w:numPr>
          <w:ilvl w:val="0"/>
          <w:numId w:val="38"/>
        </w:numPr>
      </w:pPr>
      <w:proofErr w:type="spellStart"/>
      <w:r w:rsidRPr="00B424F1">
        <w:t>transdisciplinarity</w:t>
      </w:r>
      <w:proofErr w:type="spellEnd"/>
      <w:r w:rsidRPr="00B424F1">
        <w:t>: One Health, team science, and whole-systems research; and</w:t>
      </w:r>
    </w:p>
    <w:p w14:paraId="15BF9D39" w14:textId="77777777" w:rsidR="00B424F1" w:rsidRDefault="00B424F1">
      <w:pPr>
        <w:pStyle w:val="ListParagraph"/>
        <w:numPr>
          <w:ilvl w:val="0"/>
          <w:numId w:val="38"/>
        </w:numPr>
      </w:pPr>
      <w:r w:rsidRPr="00B424F1">
        <w:t>participatory research: community-based participatory research, participatory action research, co-production, and community engagement.</w:t>
      </w:r>
    </w:p>
    <w:p w14:paraId="358FE374" w14:textId="77777777" w:rsidR="00B424F1" w:rsidRDefault="00B424F1" w:rsidP="00B424F1">
      <w:pPr>
        <w:rPr>
          <w:b/>
          <w:bCs/>
        </w:rPr>
      </w:pPr>
    </w:p>
    <w:p w14:paraId="19EFF0A9" w14:textId="77777777" w:rsidR="005674AC" w:rsidRDefault="00B424F1" w:rsidP="00B424F1">
      <w:r w:rsidRPr="00B424F1">
        <w:rPr>
          <w:b/>
          <w:bCs/>
        </w:rPr>
        <w:t>Confidence appraisal and sensitivity analysis</w:t>
      </w:r>
      <w:r w:rsidRPr="00B424F1">
        <w:rPr>
          <w:b/>
          <w:bCs/>
        </w:rPr>
        <w:br/>
      </w:r>
      <w:r w:rsidRPr="00B424F1">
        <w:t>To support interpretive rigor, Phase 2 references were appraised using four domains adapted from GRADE-</w:t>
      </w:r>
      <w:proofErr w:type="spellStart"/>
      <w:r w:rsidRPr="00B424F1">
        <w:t>CERQual</w:t>
      </w:r>
      <w:proofErr w:type="spellEnd"/>
      <w:r w:rsidRPr="00B424F1">
        <w:t>: methodological limitations, coherence, adequacy of data, and relevance (Lewin et al. 2018; Downe et al. 2019). For empirical studies and reviews, appraisal emphasized design quality, analytic transparency, richness or breadth of supporting material, and direct relevance to the review question. For conceptual and theoretical papers, greater weight was placed on conceptual rigor, internal consistency, explanatory value, and relevance to chronic illness, chronic pain, and transdisciplinary care.</w:t>
      </w:r>
    </w:p>
    <w:p w14:paraId="1D549D3C" w14:textId="17BBC7E2" w:rsidR="00B424F1" w:rsidRDefault="00B424F1" w:rsidP="00B424F1">
      <w:r w:rsidRPr="00B424F1">
        <w:br/>
        <w:t>Sensitivity analysis was undertaken to assess the robustness of the thematic findings under alternative analytic conditions. Three forms of sensitivity testing were applied: source restriction, weighting analyses, and evidence separation. Source restriction examined whether conclusions were retained when synthesis was limited to stronger or more directly relevant subsets of evidence. Weighting analyses assessed whether conclusions depended disproportionately on conceptually influential, advocacy-oriented, small-scale, or early-stage studies. Evidence separation was used where themes comprised heterogeneous forms of evidence, for example by distinguishing intervention-focused pain studies from experiential studies, or applied ontology papers from broader philosophical literature. Sensitivity analysis was interpreted qualitatively to determine whether conclusions were stable, narrowed, or required qualification.</w:t>
      </w:r>
      <w:r w:rsidRPr="00B424F1">
        <w:br/>
      </w:r>
      <w:r w:rsidRPr="00B424F1">
        <w:br/>
      </w:r>
      <w:r w:rsidRPr="00B424F1">
        <w:rPr>
          <w:b/>
          <w:bCs/>
        </w:rPr>
        <w:t>Heuristic pathway organization and integration</w:t>
      </w:r>
      <w:r w:rsidRPr="00B424F1">
        <w:rPr>
          <w:b/>
          <w:bCs/>
        </w:rPr>
        <w:br/>
      </w:r>
      <w:r w:rsidRPr="00B424F1">
        <w:t>Following synthesis, findings were grouped heuristically into major transdisciplinary pathways according to their relevance to implementation, epistemic integration, stakeholder participation, contextual responsiveness, and clinical applicability. A thematic co-occurrence matrix was then developed to integrate Phase 1 domains and Phase 2 pathways. The vertical axis represented lived-experience themes and domains, and the horizontal axis represented transdisciplinary pathways. Co-occurrence was counted when a theme and pathway appeared within the same paper.</w:t>
      </w:r>
    </w:p>
    <w:p w14:paraId="509912EE" w14:textId="77777777" w:rsidR="00B424F1" w:rsidRDefault="00B424F1" w:rsidP="00B424F1">
      <w:r w:rsidRPr="00B424F1">
        <w:br/>
      </w:r>
      <w:r w:rsidRPr="00B424F1">
        <w:rPr>
          <w:b/>
          <w:bCs/>
        </w:rPr>
        <w:t>Final integration</w:t>
      </w:r>
      <w:r w:rsidRPr="00B424F1">
        <w:t xml:space="preserve"> </w:t>
      </w:r>
    </w:p>
    <w:p w14:paraId="07B2D4C7" w14:textId="77777777" w:rsidR="00B424F1" w:rsidRDefault="00B424F1" w:rsidP="00B424F1">
      <w:r>
        <w:t xml:space="preserve">This aspect of the research process </w:t>
      </w:r>
      <w:r w:rsidRPr="00B424F1">
        <w:t xml:space="preserve">brought together the lived-experience synthesis and transdisciplinary pathway synthesis into an applied framework for chronic illness care. This framework was guided by three overarching conceptual orientations: an ethical or axiological orientation emphasizing justice, stigma, access, equity, and participation; an ontological orientation emphasizing chronic illness as dynamic, relational, temporal, and processual; and an epistemological orientation emphasizing knowledge as situated, plural, interpretive, and practice-relevant (Dupré 2017; Dupré and Leonelli 2022; Díaz-Barrera and </w:t>
      </w:r>
      <w:proofErr w:type="spellStart"/>
      <w:r w:rsidRPr="00B424F1">
        <w:t>Lavanderos</w:t>
      </w:r>
      <w:proofErr w:type="spellEnd"/>
      <w:r w:rsidRPr="00B424F1">
        <w:t xml:space="preserve"> 2025; Manuel-Navarrete et al. 2025).</w:t>
      </w:r>
    </w:p>
    <w:p w14:paraId="7A820E91" w14:textId="4FAEF887" w:rsidR="00B424F1" w:rsidRDefault="00B424F1" w:rsidP="00B424F1">
      <w:r w:rsidRPr="00B424F1">
        <w:br/>
        <w:t xml:space="preserve">Final conceptual integration drew on process ontology, phenomenology of chronic illness, participatory inquiry, reflexivity, cultural affordances, and mindfulness-based or attentional frameworks. These were treated not as isolated theories, but as mutually informing components of a relational and transdisciplinary understanding of chronic illness. The resulting framework was reviewed in interdisciplinary team discussion to assess conceptual coherence, practical relevance, and fidelity to the evidence base, and to distinguish evidence-grounded conclusions </w:t>
      </w:r>
      <w:r w:rsidRPr="00B424F1">
        <w:lastRenderedPageBreak/>
        <w:t>from more interpretive or theoretical extensions.</w:t>
      </w:r>
      <w:r w:rsidRPr="00B424F1">
        <w:br/>
      </w:r>
      <w:r w:rsidRPr="00B424F1">
        <w:br/>
      </w:r>
      <w:r w:rsidRPr="00B424F1">
        <w:rPr>
          <w:b/>
          <w:bCs/>
        </w:rPr>
        <w:t>Phase 2 output</w:t>
      </w:r>
      <w:r w:rsidRPr="00B424F1">
        <w:rPr>
          <w:b/>
          <w:bCs/>
        </w:rPr>
        <w:br/>
      </w:r>
      <w:r w:rsidRPr="00B424F1">
        <w:t>Phase 2 produced the final transdisciplinary chronic illness care framework, thematic pathway structure, co-occurrence matrix, and integrative conceptual model.</w:t>
      </w:r>
      <w:r w:rsidRPr="00B424F1">
        <w:br/>
      </w:r>
      <w:r w:rsidRPr="00B424F1">
        <w:br/>
      </w:r>
      <w:r w:rsidRPr="00B424F1">
        <w:br/>
      </w:r>
      <w:r w:rsidRPr="00B65D52">
        <w:rPr>
          <w:b/>
          <w:bCs/>
        </w:rPr>
        <w:t>Included study samples across both phases</w:t>
      </w:r>
      <w:r w:rsidRPr="00B65D52">
        <w:rPr>
          <w:b/>
          <w:bCs/>
        </w:rPr>
        <w:br/>
      </w:r>
      <w:r w:rsidRPr="00B424F1">
        <w:t>For Phase 1, the final synthesis sample comprised 94 studies representing 17,468 participants from 28 countries. For Phase 2, an additional 64 studies were incorporated to examine transdisciplinary implementation pathways. Across both phases, the sequential synthesis included 158 studies in total.</w:t>
      </w:r>
    </w:p>
    <w:p w14:paraId="28134434" w14:textId="77777777" w:rsidR="00B65D52" w:rsidRPr="00806431" w:rsidRDefault="00B65D52" w:rsidP="00B424F1">
      <w:pPr>
        <w:rPr>
          <w:sz w:val="36"/>
          <w:szCs w:val="36"/>
        </w:rPr>
      </w:pPr>
    </w:p>
    <w:p w14:paraId="4B8C8195" w14:textId="608598D3" w:rsidR="00B65D52" w:rsidRDefault="00CB6413" w:rsidP="00B65D52">
      <w:r>
        <w:rPr>
          <w:b/>
          <w:bCs/>
          <w:sz w:val="36"/>
          <w:szCs w:val="36"/>
        </w:rPr>
        <w:t xml:space="preserve">S2. </w:t>
      </w:r>
      <w:r w:rsidR="00B65D52" w:rsidRPr="00806431">
        <w:rPr>
          <w:b/>
          <w:bCs/>
          <w:sz w:val="36"/>
          <w:szCs w:val="36"/>
        </w:rPr>
        <w:t>Supplementary Codebook for Phase 1 and Phase 2 Analysis</w:t>
      </w:r>
      <w:r w:rsidR="00B65D52" w:rsidRPr="00B65D52">
        <w:br/>
      </w:r>
      <w:r w:rsidR="00B65D52" w:rsidRPr="00B65D52">
        <w:br/>
      </w:r>
      <w:r w:rsidR="00B65D52" w:rsidRPr="00B65D52">
        <w:rPr>
          <w:b/>
          <w:bCs/>
        </w:rPr>
        <w:t>General coding principles applied across both phases</w:t>
      </w:r>
      <w:r w:rsidR="00B65D52" w:rsidRPr="00B65D52">
        <w:br/>
        <w:t>Coding across both phases was iterative, interpretive, and reflexive rather than strictly linear. The unit of coding was the study-level finding, defined as any author-reported theme, subtheme, interpretive statement, conceptual claim, or participant-derived meaning presented in the findings, results, discussion, or synthesis sections of an included source. Codes were assigned to meaning rather than to keywords alone. Where a finding spanned more than one domain or pathway, one primary code was assigned to represent the dominant analytic emphasis, with secondary and, where necessary, tertiary codes used to capture co-occurring meanings.</w:t>
      </w:r>
      <w:r w:rsidR="00B65D52" w:rsidRPr="00B65D52">
        <w:br/>
      </w:r>
    </w:p>
    <w:p w14:paraId="23150187" w14:textId="77777777" w:rsidR="00B65D52" w:rsidRDefault="00B65D52" w:rsidP="00B65D52">
      <w:r w:rsidRPr="00B65D52">
        <w:t>Coding was guided throughout by the review’s overarching orientations:</w:t>
      </w:r>
    </w:p>
    <w:p w14:paraId="2C09ECE8" w14:textId="675162DD" w:rsidR="00B65D52" w:rsidRDefault="00B65D52">
      <w:pPr>
        <w:pStyle w:val="ListParagraph"/>
        <w:numPr>
          <w:ilvl w:val="0"/>
          <w:numId w:val="40"/>
        </w:numPr>
      </w:pPr>
      <w:r w:rsidRPr="00B65D52">
        <w:t>ethical/axiological orientation: equity, stigma, justice, access, legitimacy, power, and participation;  </w:t>
      </w:r>
    </w:p>
    <w:p w14:paraId="0D06DB4D" w14:textId="441355F8" w:rsidR="00B65D52" w:rsidRDefault="00B65D52">
      <w:pPr>
        <w:pStyle w:val="ListParagraph"/>
        <w:numPr>
          <w:ilvl w:val="0"/>
          <w:numId w:val="40"/>
        </w:numPr>
      </w:pPr>
      <w:r w:rsidRPr="00B65D52">
        <w:t>ontological orientation: chronic illness as dynamic, processual, relational, temporal, and embodied;  </w:t>
      </w:r>
    </w:p>
    <w:p w14:paraId="7FCB0CD7" w14:textId="3FEE93BB" w:rsidR="00B65D52" w:rsidRDefault="00B65D52">
      <w:pPr>
        <w:pStyle w:val="ListParagraph"/>
        <w:numPr>
          <w:ilvl w:val="0"/>
          <w:numId w:val="40"/>
        </w:numPr>
      </w:pPr>
      <w:r w:rsidRPr="00B65D52">
        <w:t>epistemological orientation: knowledge as situated, interpretive, plural, and practice-relevant;  </w:t>
      </w:r>
    </w:p>
    <w:p w14:paraId="3FA6716B" w14:textId="52D2B591" w:rsidR="008B0BE3" w:rsidRDefault="00B65D52">
      <w:pPr>
        <w:pStyle w:val="ListParagraph"/>
        <w:numPr>
          <w:ilvl w:val="0"/>
          <w:numId w:val="40"/>
        </w:numPr>
      </w:pPr>
      <w:r w:rsidRPr="00B65D52">
        <w:t xml:space="preserve">reflexive orientation: iterative </w:t>
      </w:r>
      <w:proofErr w:type="spellStart"/>
      <w:r w:rsidRPr="00B65D52">
        <w:t>memoing</w:t>
      </w:r>
      <w:proofErr w:type="spellEnd"/>
      <w:r w:rsidRPr="00B65D52">
        <w:t>, team discussion, and explicit attention to interpretive assumptions; and  </w:t>
      </w:r>
    </w:p>
    <w:p w14:paraId="683EC438" w14:textId="77777777" w:rsidR="009C6B90" w:rsidRDefault="00B65D52">
      <w:pPr>
        <w:pStyle w:val="ListParagraph"/>
        <w:numPr>
          <w:ilvl w:val="0"/>
          <w:numId w:val="40"/>
        </w:numPr>
      </w:pPr>
      <w:r w:rsidRPr="00B65D52">
        <w:t>participatory orientation: prioritization of patient, stakeholder, and community perspectives where relevant.</w:t>
      </w:r>
    </w:p>
    <w:p w14:paraId="11F79BC0" w14:textId="77777777" w:rsidR="009C6B90" w:rsidRDefault="009C6B90" w:rsidP="009C6B90"/>
    <w:p w14:paraId="17A1BDBD" w14:textId="1D8407DC" w:rsidR="009C6B90" w:rsidRDefault="00B65D52" w:rsidP="009C6B90">
      <w:r w:rsidRPr="00B65D52">
        <w:t>When uncertainty arose, coding decisions were made by reviewing the meaning of the finding in context, comparing it against operational definitions and decision rules, and resolving discrepancies through discussion.</w:t>
      </w:r>
      <w:r w:rsidRPr="00B65D52">
        <w:br/>
      </w:r>
      <w:r w:rsidRPr="00B65D52">
        <w:br/>
      </w:r>
      <w:r w:rsidRPr="00806431">
        <w:rPr>
          <w:sz w:val="36"/>
          <w:szCs w:val="36"/>
        </w:rPr>
        <w:br/>
      </w:r>
      <w:r w:rsidRPr="00806431">
        <w:rPr>
          <w:b/>
          <w:bCs/>
          <w:sz w:val="32"/>
          <w:szCs w:val="32"/>
        </w:rPr>
        <w:t>Phase 1 Codebook: Lived Experience of Chronic Illness and Chronic Pain</w:t>
      </w:r>
      <w:r w:rsidRPr="00806431">
        <w:rPr>
          <w:sz w:val="36"/>
          <w:szCs w:val="36"/>
        </w:rPr>
        <w:br/>
      </w:r>
      <w:r w:rsidRPr="009C6B90">
        <w:rPr>
          <w:b/>
          <w:bCs/>
        </w:rPr>
        <w:lastRenderedPageBreak/>
        <w:t>Purpose of the Phase 1 codebook</w:t>
      </w:r>
      <w:r w:rsidRPr="00B65D52">
        <w:br/>
        <w:t>The Phase 1 codebook was developed to organize findings related to the lived experience of chronic illness and chronic pain into principal experiential domains and subdomains. It was used during Steps 1.2 to 1.7 of the sequential synthesis process, including familiarization, hermeneutic reading, phenomenological and meta-ethnographic translation, thematic coding, heuristic domain organization, visual/logical mapping, and interpretive synthesis.</w:t>
      </w:r>
      <w:r w:rsidRPr="00B65D52">
        <w:br/>
        <w:t>The purpose of this codebook was to support consistent interpretation of lived-experience findings while preserving conceptual depth and allowing higher-order synthesis across heterogeneous qualitative studies.</w:t>
      </w:r>
      <w:r w:rsidRPr="00B65D52">
        <w:br/>
      </w:r>
      <w:r w:rsidRPr="00B65D52">
        <w:br/>
      </w:r>
      <w:r w:rsidRPr="009C6B90">
        <w:rPr>
          <w:b/>
          <w:bCs/>
        </w:rPr>
        <w:t>Unit of coding</w:t>
      </w:r>
      <w:r w:rsidRPr="00B65D52">
        <w:br/>
        <w:t>The coding unit for Phase 1 was the study-level experiential finding. This included:</w:t>
      </w:r>
    </w:p>
    <w:p w14:paraId="31BF67EF" w14:textId="77777777" w:rsidR="009C6B90" w:rsidRDefault="00B65D52">
      <w:pPr>
        <w:pStyle w:val="ListParagraph"/>
        <w:numPr>
          <w:ilvl w:val="0"/>
          <w:numId w:val="41"/>
        </w:numPr>
      </w:pPr>
      <w:r w:rsidRPr="00B65D52">
        <w:t>author-generated themes and subthemes</w:t>
      </w:r>
    </w:p>
    <w:p w14:paraId="5B54EE71" w14:textId="77777777" w:rsidR="009C6B90" w:rsidRDefault="00B65D52">
      <w:pPr>
        <w:pStyle w:val="ListParagraph"/>
        <w:numPr>
          <w:ilvl w:val="0"/>
          <w:numId w:val="41"/>
        </w:numPr>
      </w:pPr>
      <w:r w:rsidRPr="00B65D52">
        <w:t>participant-reported meanings interpreted by study authors</w:t>
      </w:r>
    </w:p>
    <w:p w14:paraId="6CF3A836" w14:textId="77777777" w:rsidR="009C6B90" w:rsidRDefault="00B65D52">
      <w:pPr>
        <w:pStyle w:val="ListParagraph"/>
        <w:numPr>
          <w:ilvl w:val="0"/>
          <w:numId w:val="41"/>
        </w:numPr>
      </w:pPr>
      <w:r w:rsidRPr="00B65D52">
        <w:t>conceptual observations about illness experience</w:t>
      </w:r>
      <w:r w:rsidRPr="00B65D52">
        <w:br/>
        <w:t>descriptions of recurrent experiential patterns</w:t>
      </w:r>
    </w:p>
    <w:p w14:paraId="5B3439C3" w14:textId="77777777" w:rsidR="00806431" w:rsidRDefault="00B65D52">
      <w:pPr>
        <w:pStyle w:val="ListParagraph"/>
        <w:numPr>
          <w:ilvl w:val="0"/>
          <w:numId w:val="41"/>
        </w:numPr>
      </w:pPr>
      <w:r w:rsidRPr="00B65D52">
        <w:t>higher-order qualitative synthesis findings in review studies</w:t>
      </w:r>
    </w:p>
    <w:p w14:paraId="6C1C0450" w14:textId="77777777" w:rsidR="00806431" w:rsidRDefault="00806431" w:rsidP="00806431">
      <w:pPr>
        <w:pStyle w:val="ListParagraph"/>
      </w:pPr>
    </w:p>
    <w:p w14:paraId="688BBD2C" w14:textId="7D98DB25" w:rsidR="00806431" w:rsidRPr="00806431" w:rsidRDefault="00B65D52" w:rsidP="00806431">
      <w:r w:rsidRPr="00806431">
        <w:t>A single study could contribute multiple findings across domains. Each study was assigned one primary domain where possible, with secondary and tertiary domains assigned when findings clearly crossed boundaries.</w:t>
      </w:r>
      <w:r w:rsidRPr="00806431">
        <w:br/>
      </w:r>
      <w:r w:rsidRPr="00806431">
        <w:rPr>
          <w:sz w:val="36"/>
          <w:szCs w:val="36"/>
        </w:rPr>
        <w:br/>
      </w:r>
      <w:r w:rsidR="00806431" w:rsidRPr="00806431">
        <w:rPr>
          <w:b/>
          <w:bCs/>
          <w:color w:val="000000"/>
          <w:sz w:val="32"/>
          <w:szCs w:val="32"/>
        </w:rPr>
        <w:t>Phase 1 Principal Domains</w:t>
      </w:r>
    </w:p>
    <w:p w14:paraId="53E542FC" w14:textId="77777777" w:rsidR="00806431" w:rsidRPr="00806431" w:rsidRDefault="00806431" w:rsidP="00806431">
      <w:pPr>
        <w:spacing w:line="300" w:lineRule="atLeast"/>
        <w:rPr>
          <w:color w:val="000000"/>
        </w:rPr>
      </w:pPr>
      <w:r w:rsidRPr="00806431">
        <w:rPr>
          <w:color w:val="000000"/>
        </w:rPr>
        <w:t>Nine principal domains were used in Phase 1:</w:t>
      </w:r>
    </w:p>
    <w:p w14:paraId="1D479D02" w14:textId="77777777" w:rsidR="00806431" w:rsidRPr="00806431" w:rsidRDefault="00806431">
      <w:pPr>
        <w:pStyle w:val="ccc16d0"/>
        <w:numPr>
          <w:ilvl w:val="0"/>
          <w:numId w:val="42"/>
        </w:numPr>
        <w:spacing w:line="300" w:lineRule="atLeast"/>
        <w:rPr>
          <w:color w:val="000000"/>
        </w:rPr>
      </w:pPr>
      <w:r w:rsidRPr="00806431">
        <w:rPr>
          <w:color w:val="000000"/>
        </w:rPr>
        <w:t>Social</w:t>
      </w:r>
    </w:p>
    <w:p w14:paraId="5F5F18F0" w14:textId="77777777" w:rsidR="00806431" w:rsidRPr="00806431" w:rsidRDefault="00806431">
      <w:pPr>
        <w:pStyle w:val="ccc16d0"/>
        <w:numPr>
          <w:ilvl w:val="0"/>
          <w:numId w:val="42"/>
        </w:numPr>
        <w:spacing w:line="300" w:lineRule="atLeast"/>
        <w:rPr>
          <w:color w:val="000000"/>
        </w:rPr>
      </w:pPr>
      <w:r w:rsidRPr="00806431">
        <w:rPr>
          <w:color w:val="000000"/>
        </w:rPr>
        <w:t>Physical</w:t>
      </w:r>
    </w:p>
    <w:p w14:paraId="5E4C8667" w14:textId="77777777" w:rsidR="00806431" w:rsidRPr="00806431" w:rsidRDefault="00806431">
      <w:pPr>
        <w:pStyle w:val="ccc16d0"/>
        <w:numPr>
          <w:ilvl w:val="0"/>
          <w:numId w:val="42"/>
        </w:numPr>
        <w:spacing w:line="300" w:lineRule="atLeast"/>
        <w:rPr>
          <w:color w:val="000000"/>
        </w:rPr>
      </w:pPr>
      <w:r w:rsidRPr="00806431">
        <w:rPr>
          <w:color w:val="000000"/>
        </w:rPr>
        <w:t>Psychological</w:t>
      </w:r>
    </w:p>
    <w:p w14:paraId="38CD07BE" w14:textId="77777777" w:rsidR="00806431" w:rsidRPr="00806431" w:rsidRDefault="00806431">
      <w:pPr>
        <w:pStyle w:val="ccc16d0"/>
        <w:numPr>
          <w:ilvl w:val="0"/>
          <w:numId w:val="42"/>
        </w:numPr>
        <w:spacing w:line="300" w:lineRule="atLeast"/>
        <w:rPr>
          <w:color w:val="000000"/>
        </w:rPr>
      </w:pPr>
      <w:r w:rsidRPr="00806431">
        <w:rPr>
          <w:color w:val="000000"/>
        </w:rPr>
        <w:t>Chronic Pain</w:t>
      </w:r>
    </w:p>
    <w:p w14:paraId="2CAED433" w14:textId="77777777" w:rsidR="00806431" w:rsidRPr="00806431" w:rsidRDefault="00806431">
      <w:pPr>
        <w:pStyle w:val="ccc16d0"/>
        <w:numPr>
          <w:ilvl w:val="0"/>
          <w:numId w:val="42"/>
        </w:numPr>
        <w:spacing w:line="300" w:lineRule="atLeast"/>
        <w:rPr>
          <w:color w:val="000000"/>
        </w:rPr>
      </w:pPr>
      <w:r w:rsidRPr="00806431">
        <w:rPr>
          <w:color w:val="000000"/>
        </w:rPr>
        <w:t>Healthcare/System</w:t>
      </w:r>
    </w:p>
    <w:p w14:paraId="4A0F69A4" w14:textId="77777777" w:rsidR="00806431" w:rsidRPr="00806431" w:rsidRDefault="00806431">
      <w:pPr>
        <w:pStyle w:val="ccc16d0"/>
        <w:numPr>
          <w:ilvl w:val="0"/>
          <w:numId w:val="42"/>
        </w:numPr>
        <w:spacing w:line="300" w:lineRule="atLeast"/>
        <w:rPr>
          <w:color w:val="000000"/>
        </w:rPr>
      </w:pPr>
      <w:r w:rsidRPr="00806431">
        <w:rPr>
          <w:color w:val="000000"/>
        </w:rPr>
        <w:t>Cultural</w:t>
      </w:r>
    </w:p>
    <w:p w14:paraId="4C548C7F" w14:textId="77777777" w:rsidR="00806431" w:rsidRPr="00806431" w:rsidRDefault="00806431">
      <w:pPr>
        <w:pStyle w:val="ccc16d0"/>
        <w:numPr>
          <w:ilvl w:val="0"/>
          <w:numId w:val="42"/>
        </w:numPr>
        <w:spacing w:line="300" w:lineRule="atLeast"/>
        <w:rPr>
          <w:color w:val="000000"/>
        </w:rPr>
      </w:pPr>
      <w:r w:rsidRPr="00806431">
        <w:rPr>
          <w:color w:val="000000"/>
        </w:rPr>
        <w:t>Cognitive</w:t>
      </w:r>
    </w:p>
    <w:p w14:paraId="629ECEC2" w14:textId="77777777" w:rsidR="00806431" w:rsidRPr="00806431" w:rsidRDefault="00806431">
      <w:pPr>
        <w:pStyle w:val="ccc16d0"/>
        <w:numPr>
          <w:ilvl w:val="0"/>
          <w:numId w:val="42"/>
        </w:numPr>
        <w:spacing w:line="300" w:lineRule="atLeast"/>
        <w:rPr>
          <w:color w:val="000000"/>
        </w:rPr>
      </w:pPr>
      <w:r w:rsidRPr="00806431">
        <w:rPr>
          <w:color w:val="000000"/>
        </w:rPr>
        <w:t>Environmental</w:t>
      </w:r>
    </w:p>
    <w:p w14:paraId="016ED487" w14:textId="77777777" w:rsidR="00806431" w:rsidRPr="00806431" w:rsidRDefault="00806431">
      <w:pPr>
        <w:pStyle w:val="ccc16d0"/>
        <w:numPr>
          <w:ilvl w:val="0"/>
          <w:numId w:val="42"/>
        </w:numPr>
        <w:spacing w:line="300" w:lineRule="atLeast"/>
        <w:rPr>
          <w:color w:val="000000"/>
        </w:rPr>
      </w:pPr>
      <w:r w:rsidRPr="00806431">
        <w:rPr>
          <w:color w:val="000000"/>
        </w:rPr>
        <w:t>Ecological</w:t>
      </w:r>
    </w:p>
    <w:p w14:paraId="77866EE7" w14:textId="77777777" w:rsidR="00806431" w:rsidRPr="00806431" w:rsidRDefault="00806431" w:rsidP="00806431">
      <w:pPr>
        <w:pStyle w:val="Heading2"/>
        <w:spacing w:line="300" w:lineRule="atLeast"/>
        <w:rPr>
          <w:rFonts w:ascii="Times New Roman" w:hAnsi="Times New Roman" w:cs="Times New Roman"/>
          <w:b/>
          <w:bCs/>
          <w:color w:val="000000"/>
          <w:sz w:val="28"/>
          <w:szCs w:val="28"/>
        </w:rPr>
      </w:pPr>
      <w:r w:rsidRPr="00806431">
        <w:rPr>
          <w:rFonts w:ascii="Times New Roman" w:hAnsi="Times New Roman" w:cs="Times New Roman"/>
          <w:b/>
          <w:bCs/>
          <w:color w:val="000000"/>
          <w:sz w:val="28"/>
          <w:szCs w:val="28"/>
        </w:rPr>
        <w:t>1. Social Domain</w:t>
      </w:r>
    </w:p>
    <w:p w14:paraId="7B597BF4" w14:textId="77777777" w:rsidR="00806431" w:rsidRPr="00806431" w:rsidRDefault="00806431" w:rsidP="00806431">
      <w:pPr>
        <w:pStyle w:val="Heading3"/>
        <w:spacing w:line="300" w:lineRule="atLeast"/>
        <w:rPr>
          <w:rFonts w:cs="Times New Roman"/>
          <w:b/>
          <w:bCs/>
          <w:color w:val="000000"/>
        </w:rPr>
      </w:pPr>
      <w:r w:rsidRPr="00806431">
        <w:rPr>
          <w:rFonts w:cs="Times New Roman"/>
          <w:b/>
          <w:bCs/>
          <w:color w:val="000000"/>
        </w:rPr>
        <w:t>Definition</w:t>
      </w:r>
    </w:p>
    <w:p w14:paraId="32F534C1" w14:textId="77777777" w:rsidR="00806431" w:rsidRPr="00806431" w:rsidRDefault="00806431" w:rsidP="00806431">
      <w:pPr>
        <w:spacing w:line="300" w:lineRule="atLeast"/>
        <w:rPr>
          <w:color w:val="000000"/>
        </w:rPr>
      </w:pPr>
      <w:r w:rsidRPr="00806431">
        <w:rPr>
          <w:color w:val="000000"/>
        </w:rPr>
        <w:t>Findings concerning relationships, social roles, belonging, support, isolation, family dynamics, work participation, and the interpersonal consequences of chronic illness.</w:t>
      </w:r>
    </w:p>
    <w:p w14:paraId="03F5A65C" w14:textId="77777777" w:rsidR="00806431" w:rsidRPr="00806431" w:rsidRDefault="00806431" w:rsidP="00806431">
      <w:pPr>
        <w:pStyle w:val="Heading3"/>
        <w:spacing w:line="300" w:lineRule="atLeast"/>
        <w:rPr>
          <w:rFonts w:cs="Times New Roman"/>
          <w:color w:val="000000"/>
          <w:sz w:val="24"/>
          <w:szCs w:val="24"/>
        </w:rPr>
      </w:pPr>
      <w:r w:rsidRPr="00806431">
        <w:rPr>
          <w:rFonts w:cs="Times New Roman"/>
          <w:color w:val="000000"/>
          <w:sz w:val="24"/>
          <w:szCs w:val="24"/>
        </w:rPr>
        <w:t>Include when</w:t>
      </w:r>
    </w:p>
    <w:p w14:paraId="01FBCD86" w14:textId="77777777" w:rsidR="00806431" w:rsidRPr="00806431" w:rsidRDefault="00806431" w:rsidP="00806431">
      <w:pPr>
        <w:spacing w:line="300" w:lineRule="atLeast"/>
        <w:rPr>
          <w:color w:val="000000"/>
        </w:rPr>
      </w:pPr>
      <w:r w:rsidRPr="00806431">
        <w:rPr>
          <w:color w:val="000000"/>
        </w:rPr>
        <w:t>Code to</w:t>
      </w:r>
      <w:r w:rsidRPr="00806431">
        <w:rPr>
          <w:rStyle w:val="apple-converted-space"/>
          <w:color w:val="000000"/>
        </w:rPr>
        <w:t> </w:t>
      </w:r>
      <w:r w:rsidRPr="00806431">
        <w:rPr>
          <w:rStyle w:val="Strong"/>
          <w:color w:val="000000"/>
        </w:rPr>
        <w:t>Social</w:t>
      </w:r>
      <w:r w:rsidRPr="00806431">
        <w:rPr>
          <w:rStyle w:val="apple-converted-space"/>
          <w:color w:val="000000"/>
        </w:rPr>
        <w:t> </w:t>
      </w:r>
      <w:r w:rsidRPr="00806431">
        <w:rPr>
          <w:color w:val="000000"/>
        </w:rPr>
        <w:t>when the central meaning concerns how chronic illness affects, or is affected by, relationships, social participation, social roles, or interpersonal support and disconnection.</w:t>
      </w:r>
    </w:p>
    <w:p w14:paraId="340846B4" w14:textId="77777777" w:rsidR="00806431" w:rsidRPr="00806431" w:rsidRDefault="00806431" w:rsidP="00806431">
      <w:pPr>
        <w:pStyle w:val="Heading3"/>
        <w:spacing w:line="300" w:lineRule="atLeast"/>
        <w:rPr>
          <w:rFonts w:cs="Times New Roman"/>
          <w:b/>
          <w:bCs/>
          <w:color w:val="000000"/>
          <w:sz w:val="27"/>
          <w:szCs w:val="27"/>
        </w:rPr>
      </w:pPr>
      <w:r w:rsidRPr="00806431">
        <w:rPr>
          <w:rFonts w:cs="Times New Roman"/>
          <w:b/>
          <w:bCs/>
          <w:color w:val="000000"/>
        </w:rPr>
        <w:lastRenderedPageBreak/>
        <w:t>Exclude when</w:t>
      </w:r>
    </w:p>
    <w:p w14:paraId="3C8D23A3" w14:textId="77777777" w:rsidR="00806431" w:rsidRPr="00806431" w:rsidRDefault="00806431" w:rsidP="00806431">
      <w:pPr>
        <w:spacing w:line="300" w:lineRule="atLeast"/>
        <w:rPr>
          <w:color w:val="000000"/>
        </w:rPr>
      </w:pPr>
      <w:r w:rsidRPr="00806431">
        <w:rPr>
          <w:color w:val="000000"/>
        </w:rPr>
        <w:t>Do not use</w:t>
      </w:r>
      <w:r w:rsidRPr="00806431">
        <w:rPr>
          <w:rStyle w:val="apple-converted-space"/>
          <w:color w:val="000000"/>
        </w:rPr>
        <w:t> </w:t>
      </w:r>
      <w:r w:rsidRPr="00806431">
        <w:rPr>
          <w:rStyle w:val="Strong"/>
          <w:color w:val="000000"/>
        </w:rPr>
        <w:t>Social</w:t>
      </w:r>
      <w:r w:rsidRPr="00806431">
        <w:rPr>
          <w:rStyle w:val="apple-converted-space"/>
          <w:color w:val="000000"/>
        </w:rPr>
        <w:t> </w:t>
      </w:r>
      <w:r w:rsidRPr="00806431">
        <w:rPr>
          <w:color w:val="000000"/>
        </w:rPr>
        <w:t>as the primary code if the emphasis is mainly on:</w:t>
      </w:r>
    </w:p>
    <w:p w14:paraId="0D9CF032" w14:textId="77777777" w:rsidR="00806431" w:rsidRPr="00806431" w:rsidRDefault="00806431">
      <w:pPr>
        <w:pStyle w:val="ccc16d0"/>
        <w:numPr>
          <w:ilvl w:val="0"/>
          <w:numId w:val="43"/>
        </w:numPr>
        <w:spacing w:line="300" w:lineRule="atLeast"/>
        <w:rPr>
          <w:color w:val="000000"/>
        </w:rPr>
      </w:pPr>
      <w:r w:rsidRPr="00806431">
        <w:rPr>
          <w:color w:val="000000"/>
        </w:rPr>
        <w:t>emotional distress without relational context,</w:t>
      </w:r>
    </w:p>
    <w:p w14:paraId="58B768AF" w14:textId="77777777" w:rsidR="00806431" w:rsidRPr="00806431" w:rsidRDefault="00806431">
      <w:pPr>
        <w:pStyle w:val="ccc16d0"/>
        <w:numPr>
          <w:ilvl w:val="0"/>
          <w:numId w:val="43"/>
        </w:numPr>
        <w:spacing w:line="300" w:lineRule="atLeast"/>
        <w:rPr>
          <w:color w:val="000000"/>
        </w:rPr>
      </w:pPr>
      <w:r w:rsidRPr="00806431">
        <w:rPr>
          <w:color w:val="000000"/>
        </w:rPr>
        <w:t>healthcare interactions within formal systems, or</w:t>
      </w:r>
    </w:p>
    <w:p w14:paraId="0F37D619" w14:textId="77777777" w:rsidR="00806431" w:rsidRPr="00806431" w:rsidRDefault="00806431">
      <w:pPr>
        <w:pStyle w:val="ccc16d0"/>
        <w:numPr>
          <w:ilvl w:val="0"/>
          <w:numId w:val="43"/>
        </w:numPr>
        <w:spacing w:line="300" w:lineRule="atLeast"/>
        <w:rPr>
          <w:color w:val="000000"/>
        </w:rPr>
      </w:pPr>
      <w:r w:rsidRPr="00806431">
        <w:rPr>
          <w:color w:val="000000"/>
        </w:rPr>
        <w:t>broader structural or cultural meanings.</w:t>
      </w:r>
    </w:p>
    <w:p w14:paraId="6C1D2C5C" w14:textId="77777777" w:rsidR="00806431" w:rsidRPr="00806431" w:rsidRDefault="00806431" w:rsidP="00806431">
      <w:pPr>
        <w:pStyle w:val="Heading3"/>
        <w:spacing w:line="300" w:lineRule="atLeast"/>
        <w:rPr>
          <w:rFonts w:cs="Times New Roman"/>
          <w:b/>
          <w:bCs/>
          <w:color w:val="000000"/>
          <w:sz w:val="27"/>
          <w:szCs w:val="27"/>
        </w:rPr>
      </w:pPr>
      <w:r w:rsidRPr="00806431">
        <w:rPr>
          <w:rFonts w:cs="Times New Roman"/>
          <w:b/>
          <w:bCs/>
          <w:color w:val="000000"/>
        </w:rPr>
        <w:t>Subdomains</w:t>
      </w:r>
    </w:p>
    <w:p w14:paraId="363BB6DD" w14:textId="77777777" w:rsidR="00806431" w:rsidRPr="00806431" w:rsidRDefault="00806431">
      <w:pPr>
        <w:pStyle w:val="ccc16d0"/>
        <w:numPr>
          <w:ilvl w:val="0"/>
          <w:numId w:val="44"/>
        </w:numPr>
        <w:spacing w:line="300" w:lineRule="atLeast"/>
        <w:rPr>
          <w:color w:val="000000"/>
          <w:sz w:val="21"/>
          <w:szCs w:val="21"/>
        </w:rPr>
      </w:pPr>
      <w:r w:rsidRPr="00806431">
        <w:rPr>
          <w:rStyle w:val="Strong"/>
          <w:color w:val="000000"/>
          <w:sz w:val="21"/>
          <w:szCs w:val="21"/>
        </w:rPr>
        <w:t>Support systems</w:t>
      </w:r>
      <w:r w:rsidRPr="00806431">
        <w:rPr>
          <w:color w:val="000000"/>
          <w:sz w:val="21"/>
          <w:szCs w:val="21"/>
        </w:rPr>
        <w:t>: emotional, practical, familial, peer, or community support</w:t>
      </w:r>
    </w:p>
    <w:p w14:paraId="2BE3166D" w14:textId="77777777" w:rsidR="00806431" w:rsidRPr="00806431" w:rsidRDefault="00806431">
      <w:pPr>
        <w:pStyle w:val="ccc16d0"/>
        <w:numPr>
          <w:ilvl w:val="0"/>
          <w:numId w:val="44"/>
        </w:numPr>
        <w:spacing w:line="300" w:lineRule="atLeast"/>
        <w:rPr>
          <w:color w:val="000000"/>
          <w:sz w:val="21"/>
          <w:szCs w:val="21"/>
        </w:rPr>
      </w:pPr>
      <w:r w:rsidRPr="00806431">
        <w:rPr>
          <w:rStyle w:val="Strong"/>
          <w:color w:val="000000"/>
          <w:sz w:val="21"/>
          <w:szCs w:val="21"/>
        </w:rPr>
        <w:t>Isolation/loneliness</w:t>
      </w:r>
      <w:r w:rsidRPr="00806431">
        <w:rPr>
          <w:color w:val="000000"/>
          <w:sz w:val="21"/>
          <w:szCs w:val="21"/>
        </w:rPr>
        <w:t>: withdrawal, exclusion, alienation, social disconnection</w:t>
      </w:r>
    </w:p>
    <w:p w14:paraId="41E01AC8" w14:textId="77777777" w:rsidR="00806431" w:rsidRPr="00806431" w:rsidRDefault="00806431">
      <w:pPr>
        <w:pStyle w:val="ccc16d0"/>
        <w:numPr>
          <w:ilvl w:val="0"/>
          <w:numId w:val="44"/>
        </w:numPr>
        <w:spacing w:line="300" w:lineRule="atLeast"/>
        <w:rPr>
          <w:color w:val="000000"/>
          <w:sz w:val="21"/>
          <w:szCs w:val="21"/>
        </w:rPr>
      </w:pPr>
      <w:r w:rsidRPr="00806431">
        <w:rPr>
          <w:rStyle w:val="Strong"/>
          <w:color w:val="000000"/>
          <w:sz w:val="21"/>
          <w:szCs w:val="21"/>
        </w:rPr>
        <w:t>Family and relationship strain</w:t>
      </w:r>
      <w:r w:rsidRPr="00806431">
        <w:rPr>
          <w:color w:val="000000"/>
          <w:sz w:val="21"/>
          <w:szCs w:val="21"/>
        </w:rPr>
        <w:t>: altered family roles, burden, misunderstanding, relational conflict</w:t>
      </w:r>
    </w:p>
    <w:p w14:paraId="4D703390" w14:textId="77777777" w:rsidR="00806431" w:rsidRPr="00806431" w:rsidRDefault="00806431">
      <w:pPr>
        <w:pStyle w:val="ccc16d0"/>
        <w:numPr>
          <w:ilvl w:val="0"/>
          <w:numId w:val="44"/>
        </w:numPr>
        <w:spacing w:line="300" w:lineRule="atLeast"/>
        <w:rPr>
          <w:color w:val="000000"/>
          <w:sz w:val="21"/>
          <w:szCs w:val="21"/>
        </w:rPr>
      </w:pPr>
      <w:r w:rsidRPr="00806431">
        <w:rPr>
          <w:rStyle w:val="Strong"/>
          <w:color w:val="000000"/>
          <w:sz w:val="21"/>
          <w:szCs w:val="21"/>
        </w:rPr>
        <w:t>Work and productivity disruption</w:t>
      </w:r>
      <w:r w:rsidRPr="00806431">
        <w:rPr>
          <w:color w:val="000000"/>
          <w:sz w:val="21"/>
          <w:szCs w:val="21"/>
        </w:rPr>
        <w:t>: inability to maintain employment, altered work identity, loss of role function</w:t>
      </w:r>
    </w:p>
    <w:p w14:paraId="6476EB09" w14:textId="77777777" w:rsidR="00806431" w:rsidRPr="00806431" w:rsidRDefault="00806431">
      <w:pPr>
        <w:pStyle w:val="ccc16d0"/>
        <w:numPr>
          <w:ilvl w:val="0"/>
          <w:numId w:val="44"/>
        </w:numPr>
        <w:spacing w:line="300" w:lineRule="atLeast"/>
        <w:rPr>
          <w:color w:val="000000"/>
          <w:sz w:val="21"/>
          <w:szCs w:val="21"/>
        </w:rPr>
      </w:pPr>
      <w:r w:rsidRPr="00806431">
        <w:rPr>
          <w:rStyle w:val="Strong"/>
          <w:color w:val="000000"/>
          <w:sz w:val="21"/>
          <w:szCs w:val="21"/>
        </w:rPr>
        <w:t>Social legitimacy and belonging</w:t>
      </w:r>
      <w:r w:rsidRPr="00806431">
        <w:rPr>
          <w:color w:val="000000"/>
          <w:sz w:val="21"/>
          <w:szCs w:val="21"/>
        </w:rPr>
        <w:t>: feeling seen, believed, accepted, or excluded in social life</w:t>
      </w:r>
    </w:p>
    <w:p w14:paraId="41239C4D" w14:textId="77777777" w:rsidR="00806431" w:rsidRPr="00806431" w:rsidRDefault="00806431" w:rsidP="00806431">
      <w:pPr>
        <w:pStyle w:val="Heading3"/>
        <w:spacing w:line="300" w:lineRule="atLeast"/>
        <w:rPr>
          <w:rFonts w:cs="Times New Roman"/>
          <w:b/>
          <w:bCs/>
          <w:color w:val="000000"/>
          <w:sz w:val="27"/>
          <w:szCs w:val="27"/>
        </w:rPr>
      </w:pPr>
      <w:r w:rsidRPr="00806431">
        <w:rPr>
          <w:rFonts w:cs="Times New Roman"/>
          <w:b/>
          <w:bCs/>
          <w:color w:val="000000"/>
        </w:rPr>
        <w:t>Example indicators</w:t>
      </w:r>
    </w:p>
    <w:p w14:paraId="0E2FFC42" w14:textId="77777777" w:rsidR="00806431" w:rsidRPr="00806431" w:rsidRDefault="00806431">
      <w:pPr>
        <w:pStyle w:val="ccc16d0"/>
        <w:numPr>
          <w:ilvl w:val="0"/>
          <w:numId w:val="45"/>
        </w:numPr>
        <w:spacing w:line="300" w:lineRule="atLeast"/>
        <w:rPr>
          <w:color w:val="000000"/>
        </w:rPr>
      </w:pPr>
      <w:r w:rsidRPr="00806431">
        <w:rPr>
          <w:color w:val="000000"/>
        </w:rPr>
        <w:t>“Participants described feeling alone in their illness.”</w:t>
      </w:r>
    </w:p>
    <w:p w14:paraId="61ED31FD" w14:textId="77777777" w:rsidR="00806431" w:rsidRPr="00806431" w:rsidRDefault="00806431">
      <w:pPr>
        <w:pStyle w:val="ccc16d0"/>
        <w:numPr>
          <w:ilvl w:val="0"/>
          <w:numId w:val="45"/>
        </w:numPr>
        <w:spacing w:line="300" w:lineRule="atLeast"/>
        <w:rPr>
          <w:color w:val="000000"/>
        </w:rPr>
      </w:pPr>
      <w:r w:rsidRPr="00806431">
        <w:rPr>
          <w:color w:val="000000"/>
        </w:rPr>
        <w:t>“Family members did not understand the fluctuating nature of symptoms.”</w:t>
      </w:r>
    </w:p>
    <w:p w14:paraId="63A391B9" w14:textId="77777777" w:rsidR="00806431" w:rsidRPr="00806431" w:rsidRDefault="00806431">
      <w:pPr>
        <w:pStyle w:val="ccc16d0"/>
        <w:numPr>
          <w:ilvl w:val="0"/>
          <w:numId w:val="45"/>
        </w:numPr>
        <w:spacing w:line="300" w:lineRule="atLeast"/>
        <w:rPr>
          <w:color w:val="000000"/>
        </w:rPr>
      </w:pPr>
      <w:r w:rsidRPr="00806431">
        <w:rPr>
          <w:color w:val="000000"/>
        </w:rPr>
        <w:t>“Loss of work disrupted identity and social contribution.”</w:t>
      </w:r>
    </w:p>
    <w:p w14:paraId="151A45BE" w14:textId="77777777" w:rsidR="00806431" w:rsidRPr="00E81111" w:rsidRDefault="00806431" w:rsidP="00806431">
      <w:pPr>
        <w:pStyle w:val="Heading3"/>
        <w:spacing w:line="300" w:lineRule="atLeast"/>
        <w:rPr>
          <w:rFonts w:cs="Times New Roman"/>
          <w:b/>
          <w:bCs/>
          <w:color w:val="000000"/>
          <w:sz w:val="27"/>
          <w:szCs w:val="27"/>
        </w:rPr>
      </w:pPr>
      <w:r w:rsidRPr="00E81111">
        <w:rPr>
          <w:rFonts w:cs="Times New Roman"/>
          <w:b/>
          <w:bCs/>
          <w:color w:val="000000"/>
        </w:rPr>
        <w:t>Decision rules</w:t>
      </w:r>
    </w:p>
    <w:p w14:paraId="2BF25434" w14:textId="77777777" w:rsidR="00806431" w:rsidRPr="00806431" w:rsidRDefault="00806431">
      <w:pPr>
        <w:pStyle w:val="ccc16d0"/>
        <w:numPr>
          <w:ilvl w:val="0"/>
          <w:numId w:val="46"/>
        </w:numPr>
        <w:spacing w:line="300" w:lineRule="atLeast"/>
        <w:rPr>
          <w:color w:val="000000"/>
          <w:sz w:val="21"/>
          <w:szCs w:val="21"/>
        </w:rPr>
      </w:pPr>
      <w:r w:rsidRPr="00806431">
        <w:rPr>
          <w:color w:val="000000"/>
          <w:sz w:val="21"/>
          <w:szCs w:val="21"/>
        </w:rPr>
        <w:t>If the finding centers on being believed or dismissed by clinicians, code</w:t>
      </w:r>
      <w:r w:rsidRPr="00806431">
        <w:rPr>
          <w:rStyle w:val="apple-converted-space"/>
          <w:color w:val="000000"/>
          <w:sz w:val="21"/>
          <w:szCs w:val="21"/>
        </w:rPr>
        <w:t> </w:t>
      </w:r>
      <w:r w:rsidRPr="00806431">
        <w:rPr>
          <w:rStyle w:val="Strong"/>
          <w:color w:val="000000"/>
          <w:sz w:val="21"/>
          <w:szCs w:val="21"/>
        </w:rPr>
        <w:t>Healthcare/System</w:t>
      </w:r>
      <w:r w:rsidRPr="00806431">
        <w:rPr>
          <w:color w:val="000000"/>
          <w:sz w:val="21"/>
          <w:szCs w:val="21"/>
        </w:rPr>
        <w:t>, not</w:t>
      </w:r>
      <w:r w:rsidRPr="00806431">
        <w:rPr>
          <w:rStyle w:val="apple-converted-space"/>
          <w:color w:val="000000"/>
          <w:sz w:val="21"/>
          <w:szCs w:val="21"/>
        </w:rPr>
        <w:t> </w:t>
      </w:r>
      <w:r w:rsidRPr="00806431">
        <w:rPr>
          <w:rStyle w:val="Strong"/>
          <w:color w:val="000000"/>
          <w:sz w:val="21"/>
          <w:szCs w:val="21"/>
        </w:rPr>
        <w:t>Social</w:t>
      </w:r>
      <w:r w:rsidRPr="00806431">
        <w:rPr>
          <w:color w:val="000000"/>
          <w:sz w:val="21"/>
          <w:szCs w:val="21"/>
        </w:rPr>
        <w:t>, unless the focus is clearly broader social invalidation.</w:t>
      </w:r>
    </w:p>
    <w:p w14:paraId="0A9521FD" w14:textId="77777777" w:rsidR="00806431" w:rsidRPr="00806431" w:rsidRDefault="00806431">
      <w:pPr>
        <w:pStyle w:val="ccc16d0"/>
        <w:numPr>
          <w:ilvl w:val="0"/>
          <w:numId w:val="46"/>
        </w:numPr>
        <w:spacing w:line="300" w:lineRule="atLeast"/>
        <w:rPr>
          <w:color w:val="000000"/>
          <w:sz w:val="21"/>
          <w:szCs w:val="21"/>
        </w:rPr>
      </w:pPr>
      <w:r w:rsidRPr="00806431">
        <w:rPr>
          <w:color w:val="000000"/>
          <w:sz w:val="21"/>
          <w:szCs w:val="21"/>
        </w:rPr>
        <w:t>If the finding concerns stigma in a broad cultural sense, consider</w:t>
      </w:r>
      <w:r w:rsidRPr="00806431">
        <w:rPr>
          <w:rStyle w:val="apple-converted-space"/>
          <w:color w:val="000000"/>
          <w:sz w:val="21"/>
          <w:szCs w:val="21"/>
        </w:rPr>
        <w:t> </w:t>
      </w:r>
      <w:r w:rsidRPr="00806431">
        <w:rPr>
          <w:rStyle w:val="Strong"/>
          <w:color w:val="000000"/>
          <w:sz w:val="21"/>
          <w:szCs w:val="21"/>
        </w:rPr>
        <w:t>Cultural</w:t>
      </w:r>
      <w:r w:rsidRPr="00806431">
        <w:rPr>
          <w:rStyle w:val="apple-converted-space"/>
          <w:color w:val="000000"/>
          <w:sz w:val="21"/>
          <w:szCs w:val="21"/>
        </w:rPr>
        <w:t> </w:t>
      </w:r>
      <w:r w:rsidRPr="00806431">
        <w:rPr>
          <w:color w:val="000000"/>
          <w:sz w:val="21"/>
          <w:szCs w:val="21"/>
        </w:rPr>
        <w:t>as primary and</w:t>
      </w:r>
      <w:r w:rsidRPr="00806431">
        <w:rPr>
          <w:rStyle w:val="apple-converted-space"/>
          <w:color w:val="000000"/>
          <w:sz w:val="21"/>
          <w:szCs w:val="21"/>
        </w:rPr>
        <w:t> </w:t>
      </w:r>
      <w:r w:rsidRPr="00806431">
        <w:rPr>
          <w:rStyle w:val="Strong"/>
          <w:color w:val="000000"/>
          <w:sz w:val="21"/>
          <w:szCs w:val="21"/>
        </w:rPr>
        <w:t>Social</w:t>
      </w:r>
      <w:r w:rsidRPr="00806431">
        <w:rPr>
          <w:rStyle w:val="apple-converted-space"/>
          <w:color w:val="000000"/>
          <w:sz w:val="21"/>
          <w:szCs w:val="21"/>
        </w:rPr>
        <w:t> </w:t>
      </w:r>
      <w:r w:rsidRPr="00806431">
        <w:rPr>
          <w:color w:val="000000"/>
          <w:sz w:val="21"/>
          <w:szCs w:val="21"/>
        </w:rPr>
        <w:t>as secondary.</w:t>
      </w:r>
    </w:p>
    <w:p w14:paraId="09C75C8B" w14:textId="10064F8D" w:rsidR="00806431" w:rsidRPr="00E81111" w:rsidRDefault="00806431" w:rsidP="00806431">
      <w:pPr>
        <w:pStyle w:val="ccc16d0"/>
        <w:numPr>
          <w:ilvl w:val="0"/>
          <w:numId w:val="46"/>
        </w:numPr>
        <w:spacing w:line="300" w:lineRule="atLeast"/>
        <w:rPr>
          <w:color w:val="000000"/>
          <w:sz w:val="21"/>
          <w:szCs w:val="21"/>
        </w:rPr>
      </w:pPr>
      <w:r w:rsidRPr="00806431">
        <w:rPr>
          <w:color w:val="000000"/>
          <w:sz w:val="21"/>
          <w:szCs w:val="21"/>
        </w:rPr>
        <w:t>If the finding concerns social adaptation to pain specifically, code</w:t>
      </w:r>
      <w:r w:rsidRPr="00806431">
        <w:rPr>
          <w:rStyle w:val="apple-converted-space"/>
          <w:color w:val="000000"/>
          <w:sz w:val="21"/>
          <w:szCs w:val="21"/>
        </w:rPr>
        <w:t> </w:t>
      </w:r>
      <w:r w:rsidRPr="00806431">
        <w:rPr>
          <w:rStyle w:val="Strong"/>
          <w:color w:val="000000"/>
          <w:sz w:val="21"/>
          <w:szCs w:val="21"/>
        </w:rPr>
        <w:t>Chronic Pain</w:t>
      </w:r>
      <w:r w:rsidRPr="00806431">
        <w:rPr>
          <w:rStyle w:val="apple-converted-space"/>
          <w:color w:val="000000"/>
          <w:sz w:val="21"/>
          <w:szCs w:val="21"/>
        </w:rPr>
        <w:t> </w:t>
      </w:r>
      <w:r w:rsidRPr="00806431">
        <w:rPr>
          <w:color w:val="000000"/>
          <w:sz w:val="21"/>
          <w:szCs w:val="21"/>
        </w:rPr>
        <w:t>as primary only if pain remains the central organizing feature.</w:t>
      </w:r>
    </w:p>
    <w:p w14:paraId="4035ED01" w14:textId="77777777" w:rsidR="00806431" w:rsidRPr="00E81111" w:rsidRDefault="00806431" w:rsidP="00806431">
      <w:pPr>
        <w:pStyle w:val="Heading2"/>
        <w:spacing w:line="300" w:lineRule="atLeast"/>
        <w:rPr>
          <w:rFonts w:ascii="Times New Roman" w:hAnsi="Times New Roman" w:cs="Times New Roman"/>
          <w:b/>
          <w:bCs/>
          <w:color w:val="000000"/>
          <w:sz w:val="28"/>
          <w:szCs w:val="28"/>
        </w:rPr>
      </w:pPr>
      <w:r w:rsidRPr="00E81111">
        <w:rPr>
          <w:rFonts w:ascii="Times New Roman" w:hAnsi="Times New Roman" w:cs="Times New Roman"/>
          <w:b/>
          <w:bCs/>
          <w:color w:val="000000"/>
          <w:sz w:val="28"/>
          <w:szCs w:val="28"/>
        </w:rPr>
        <w:t>2. Physical Domain</w:t>
      </w:r>
    </w:p>
    <w:p w14:paraId="6982788B" w14:textId="7A7FB049" w:rsidR="00806431" w:rsidRPr="00E81111" w:rsidRDefault="00806431" w:rsidP="00E81111">
      <w:pPr>
        <w:pStyle w:val="Heading3"/>
        <w:spacing w:line="300" w:lineRule="atLeast"/>
        <w:rPr>
          <w:rFonts w:cs="Times New Roman"/>
          <w:b/>
          <w:bCs/>
          <w:color w:val="000000"/>
        </w:rPr>
      </w:pPr>
      <w:proofErr w:type="spellStart"/>
      <w:r w:rsidRPr="00E81111">
        <w:rPr>
          <w:rFonts w:cs="Times New Roman"/>
          <w:b/>
          <w:bCs/>
          <w:color w:val="000000"/>
        </w:rPr>
        <w:t>Definition</w:t>
      </w:r>
      <w:r w:rsidRPr="00806431">
        <w:rPr>
          <w:color w:val="000000"/>
          <w:sz w:val="21"/>
          <w:szCs w:val="21"/>
        </w:rPr>
        <w:t>Findings</w:t>
      </w:r>
      <w:proofErr w:type="spellEnd"/>
      <w:r w:rsidRPr="00806431">
        <w:rPr>
          <w:color w:val="000000"/>
          <w:sz w:val="21"/>
          <w:szCs w:val="21"/>
        </w:rPr>
        <w:t xml:space="preserve"> concerning bodily symptoms, fatigue, limitation, disability, symptom fluctuation, functional restriction, and the embodied burden of chronic illness.</w:t>
      </w:r>
    </w:p>
    <w:p w14:paraId="4D57649B"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Include when</w:t>
      </w:r>
    </w:p>
    <w:p w14:paraId="2CBB6EAB"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Physical</w:t>
      </w:r>
      <w:r w:rsidRPr="00806431">
        <w:rPr>
          <w:rStyle w:val="apple-converted-space"/>
          <w:color w:val="000000"/>
          <w:sz w:val="21"/>
          <w:szCs w:val="21"/>
        </w:rPr>
        <w:t> </w:t>
      </w:r>
      <w:r w:rsidRPr="00806431">
        <w:rPr>
          <w:color w:val="000000"/>
          <w:sz w:val="21"/>
          <w:szCs w:val="21"/>
        </w:rPr>
        <w:t>when the dominant meaning concerns the felt bodily experience of illness, symptom burden, or functional impairment.</w:t>
      </w:r>
    </w:p>
    <w:p w14:paraId="2D91603A"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Exclude when</w:t>
      </w:r>
    </w:p>
    <w:p w14:paraId="3D255D33"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Physical</w:t>
      </w:r>
      <w:r w:rsidRPr="00806431">
        <w:rPr>
          <w:rStyle w:val="apple-converted-space"/>
          <w:color w:val="000000"/>
          <w:sz w:val="21"/>
          <w:szCs w:val="21"/>
        </w:rPr>
        <w:t> </w:t>
      </w:r>
      <w:r w:rsidRPr="00806431">
        <w:rPr>
          <w:color w:val="000000"/>
          <w:sz w:val="21"/>
          <w:szCs w:val="21"/>
        </w:rPr>
        <w:t>as the primary code if the emphasis is mainly on:</w:t>
      </w:r>
    </w:p>
    <w:p w14:paraId="5D7535FB" w14:textId="77777777" w:rsidR="00806431" w:rsidRPr="00806431" w:rsidRDefault="00806431">
      <w:pPr>
        <w:pStyle w:val="ccc16d0"/>
        <w:numPr>
          <w:ilvl w:val="0"/>
          <w:numId w:val="47"/>
        </w:numPr>
        <w:spacing w:line="300" w:lineRule="atLeast"/>
        <w:rPr>
          <w:color w:val="000000"/>
          <w:sz w:val="21"/>
          <w:szCs w:val="21"/>
        </w:rPr>
      </w:pPr>
      <w:r w:rsidRPr="00806431">
        <w:rPr>
          <w:color w:val="000000"/>
          <w:sz w:val="21"/>
          <w:szCs w:val="21"/>
        </w:rPr>
        <w:lastRenderedPageBreak/>
        <w:t>pain-specific experience,</w:t>
      </w:r>
    </w:p>
    <w:p w14:paraId="74A4D0D2" w14:textId="77777777" w:rsidR="00806431" w:rsidRPr="00806431" w:rsidRDefault="00806431">
      <w:pPr>
        <w:pStyle w:val="ccc16d0"/>
        <w:numPr>
          <w:ilvl w:val="0"/>
          <w:numId w:val="47"/>
        </w:numPr>
        <w:spacing w:line="300" w:lineRule="atLeast"/>
        <w:rPr>
          <w:color w:val="000000"/>
          <w:sz w:val="21"/>
          <w:szCs w:val="21"/>
        </w:rPr>
      </w:pPr>
      <w:r w:rsidRPr="00806431">
        <w:rPr>
          <w:color w:val="000000"/>
          <w:sz w:val="21"/>
          <w:szCs w:val="21"/>
        </w:rPr>
        <w:t>psychological meaning, or</w:t>
      </w:r>
    </w:p>
    <w:p w14:paraId="71EC050B" w14:textId="77777777" w:rsidR="00806431" w:rsidRPr="00806431" w:rsidRDefault="00806431">
      <w:pPr>
        <w:pStyle w:val="ccc16d0"/>
        <w:numPr>
          <w:ilvl w:val="0"/>
          <w:numId w:val="47"/>
        </w:numPr>
        <w:spacing w:line="300" w:lineRule="atLeast"/>
        <w:rPr>
          <w:color w:val="000000"/>
          <w:sz w:val="21"/>
          <w:szCs w:val="21"/>
        </w:rPr>
      </w:pPr>
      <w:r w:rsidRPr="00806431">
        <w:rPr>
          <w:color w:val="000000"/>
          <w:sz w:val="21"/>
          <w:szCs w:val="21"/>
        </w:rPr>
        <w:t>healthcare response to symptoms.</w:t>
      </w:r>
    </w:p>
    <w:p w14:paraId="068A6179"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05CA16C8" w14:textId="77777777" w:rsidR="00806431" w:rsidRPr="00806431" w:rsidRDefault="00806431">
      <w:pPr>
        <w:pStyle w:val="ccc16d0"/>
        <w:numPr>
          <w:ilvl w:val="0"/>
          <w:numId w:val="48"/>
        </w:numPr>
        <w:spacing w:line="300" w:lineRule="atLeast"/>
        <w:rPr>
          <w:color w:val="000000"/>
          <w:sz w:val="21"/>
          <w:szCs w:val="21"/>
        </w:rPr>
      </w:pPr>
      <w:r w:rsidRPr="00806431">
        <w:rPr>
          <w:rStyle w:val="Strong"/>
          <w:color w:val="000000"/>
          <w:sz w:val="21"/>
          <w:szCs w:val="21"/>
        </w:rPr>
        <w:t>Symptom burden</w:t>
      </w:r>
      <w:r w:rsidRPr="00806431">
        <w:rPr>
          <w:color w:val="000000"/>
          <w:sz w:val="21"/>
          <w:szCs w:val="21"/>
        </w:rPr>
        <w:t>: fatigue, weakness, breathlessness, nausea, multi-symptom load</w:t>
      </w:r>
    </w:p>
    <w:p w14:paraId="34D8B67F" w14:textId="77777777" w:rsidR="00806431" w:rsidRPr="00806431" w:rsidRDefault="00806431">
      <w:pPr>
        <w:pStyle w:val="ccc16d0"/>
        <w:numPr>
          <w:ilvl w:val="0"/>
          <w:numId w:val="48"/>
        </w:numPr>
        <w:spacing w:line="300" w:lineRule="atLeast"/>
        <w:rPr>
          <w:color w:val="000000"/>
          <w:sz w:val="21"/>
          <w:szCs w:val="21"/>
        </w:rPr>
      </w:pPr>
      <w:r w:rsidRPr="00806431">
        <w:rPr>
          <w:rStyle w:val="Strong"/>
          <w:color w:val="000000"/>
          <w:sz w:val="21"/>
          <w:szCs w:val="21"/>
        </w:rPr>
        <w:t>Functional limitation/disability</w:t>
      </w:r>
      <w:r w:rsidRPr="00806431">
        <w:rPr>
          <w:color w:val="000000"/>
          <w:sz w:val="21"/>
          <w:szCs w:val="21"/>
        </w:rPr>
        <w:t>: reduced mobility, impaired daily activities, dependence</w:t>
      </w:r>
    </w:p>
    <w:p w14:paraId="78DDF6AE" w14:textId="77777777" w:rsidR="00806431" w:rsidRPr="00806431" w:rsidRDefault="00806431">
      <w:pPr>
        <w:pStyle w:val="ccc16d0"/>
        <w:numPr>
          <w:ilvl w:val="0"/>
          <w:numId w:val="48"/>
        </w:numPr>
        <w:spacing w:line="300" w:lineRule="atLeast"/>
        <w:rPr>
          <w:color w:val="000000"/>
          <w:sz w:val="21"/>
          <w:szCs w:val="21"/>
        </w:rPr>
      </w:pPr>
      <w:r w:rsidRPr="00806431">
        <w:rPr>
          <w:rStyle w:val="Strong"/>
          <w:color w:val="000000"/>
          <w:sz w:val="21"/>
          <w:szCs w:val="21"/>
        </w:rPr>
        <w:t>Fluctuation and unpredictability</w:t>
      </w:r>
      <w:r w:rsidRPr="00806431">
        <w:rPr>
          <w:color w:val="000000"/>
          <w:sz w:val="21"/>
          <w:szCs w:val="21"/>
        </w:rPr>
        <w:t>: variable symptoms, relapses, “good days and bad days”</w:t>
      </w:r>
    </w:p>
    <w:p w14:paraId="764D7B87" w14:textId="77777777" w:rsidR="00806431" w:rsidRPr="00806431" w:rsidRDefault="00806431">
      <w:pPr>
        <w:pStyle w:val="ccc16d0"/>
        <w:numPr>
          <w:ilvl w:val="0"/>
          <w:numId w:val="48"/>
        </w:numPr>
        <w:spacing w:line="300" w:lineRule="atLeast"/>
        <w:rPr>
          <w:color w:val="000000"/>
          <w:sz w:val="21"/>
          <w:szCs w:val="21"/>
        </w:rPr>
      </w:pPr>
      <w:r w:rsidRPr="00806431">
        <w:rPr>
          <w:rStyle w:val="Strong"/>
          <w:color w:val="000000"/>
          <w:sz w:val="21"/>
          <w:szCs w:val="21"/>
        </w:rPr>
        <w:t>Activity and pacing</w:t>
      </w:r>
      <w:r w:rsidRPr="00806431">
        <w:rPr>
          <w:color w:val="000000"/>
          <w:sz w:val="21"/>
          <w:szCs w:val="21"/>
        </w:rPr>
        <w:t>: energy management, bodily limits, adaptation of routines</w:t>
      </w:r>
    </w:p>
    <w:p w14:paraId="1588CFE0" w14:textId="77777777" w:rsidR="00806431" w:rsidRPr="00806431" w:rsidRDefault="00806431">
      <w:pPr>
        <w:pStyle w:val="ccc16d0"/>
        <w:numPr>
          <w:ilvl w:val="0"/>
          <w:numId w:val="48"/>
        </w:numPr>
        <w:spacing w:line="300" w:lineRule="atLeast"/>
        <w:rPr>
          <w:color w:val="000000"/>
          <w:sz w:val="21"/>
          <w:szCs w:val="21"/>
        </w:rPr>
      </w:pPr>
      <w:r w:rsidRPr="00806431">
        <w:rPr>
          <w:rStyle w:val="Strong"/>
          <w:color w:val="000000"/>
          <w:sz w:val="21"/>
          <w:szCs w:val="21"/>
        </w:rPr>
        <w:t>Embodied intrusion</w:t>
      </w:r>
      <w:r w:rsidRPr="00806431">
        <w:rPr>
          <w:color w:val="000000"/>
          <w:sz w:val="21"/>
          <w:szCs w:val="21"/>
        </w:rPr>
        <w:t>: illness as physically overwhelming or ever-present</w:t>
      </w:r>
    </w:p>
    <w:p w14:paraId="3C9B7228"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Example indicators</w:t>
      </w:r>
    </w:p>
    <w:p w14:paraId="327741B2" w14:textId="77777777" w:rsidR="00806431" w:rsidRPr="00806431" w:rsidRDefault="00806431">
      <w:pPr>
        <w:pStyle w:val="ccc16d0"/>
        <w:numPr>
          <w:ilvl w:val="0"/>
          <w:numId w:val="49"/>
        </w:numPr>
        <w:spacing w:line="300" w:lineRule="atLeast"/>
        <w:rPr>
          <w:color w:val="000000"/>
          <w:sz w:val="21"/>
          <w:szCs w:val="21"/>
        </w:rPr>
      </w:pPr>
      <w:r w:rsidRPr="00806431">
        <w:rPr>
          <w:color w:val="000000"/>
          <w:sz w:val="21"/>
          <w:szCs w:val="21"/>
        </w:rPr>
        <w:t>“Symptoms disrupted even basic daily tasks.”</w:t>
      </w:r>
    </w:p>
    <w:p w14:paraId="24202959" w14:textId="77777777" w:rsidR="00806431" w:rsidRPr="00806431" w:rsidRDefault="00806431">
      <w:pPr>
        <w:pStyle w:val="ccc16d0"/>
        <w:numPr>
          <w:ilvl w:val="0"/>
          <w:numId w:val="49"/>
        </w:numPr>
        <w:spacing w:line="300" w:lineRule="atLeast"/>
        <w:rPr>
          <w:color w:val="000000"/>
          <w:sz w:val="21"/>
          <w:szCs w:val="21"/>
        </w:rPr>
      </w:pPr>
      <w:r w:rsidRPr="00806431">
        <w:rPr>
          <w:color w:val="000000"/>
          <w:sz w:val="21"/>
          <w:szCs w:val="21"/>
        </w:rPr>
        <w:t>“Participants adjusted their activities around fluctuating energy levels.”</w:t>
      </w:r>
    </w:p>
    <w:p w14:paraId="00DF1374"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Decision rules</w:t>
      </w:r>
    </w:p>
    <w:p w14:paraId="08F9EDA2" w14:textId="77777777" w:rsidR="00806431" w:rsidRPr="00806431" w:rsidRDefault="00806431">
      <w:pPr>
        <w:pStyle w:val="ccc16d0"/>
        <w:numPr>
          <w:ilvl w:val="0"/>
          <w:numId w:val="50"/>
        </w:numPr>
        <w:spacing w:line="300" w:lineRule="atLeast"/>
        <w:rPr>
          <w:color w:val="000000"/>
          <w:sz w:val="21"/>
          <w:szCs w:val="21"/>
        </w:rPr>
      </w:pPr>
      <w:r w:rsidRPr="00806431">
        <w:rPr>
          <w:color w:val="000000"/>
          <w:sz w:val="21"/>
          <w:szCs w:val="21"/>
        </w:rPr>
        <w:t>Use</w:t>
      </w:r>
      <w:r w:rsidRPr="00806431">
        <w:rPr>
          <w:rStyle w:val="apple-converted-space"/>
          <w:color w:val="000000"/>
          <w:sz w:val="21"/>
          <w:szCs w:val="21"/>
        </w:rPr>
        <w:t> </w:t>
      </w:r>
      <w:r w:rsidRPr="00806431">
        <w:rPr>
          <w:rStyle w:val="Strong"/>
          <w:color w:val="000000"/>
          <w:sz w:val="21"/>
          <w:szCs w:val="21"/>
        </w:rPr>
        <w:t>Chronic Pain</w:t>
      </w:r>
      <w:r w:rsidRPr="00806431">
        <w:rPr>
          <w:rStyle w:val="apple-converted-space"/>
          <w:color w:val="000000"/>
          <w:sz w:val="21"/>
          <w:szCs w:val="21"/>
        </w:rPr>
        <w:t> </w:t>
      </w:r>
      <w:r w:rsidRPr="00806431">
        <w:rPr>
          <w:color w:val="000000"/>
          <w:sz w:val="21"/>
          <w:szCs w:val="21"/>
        </w:rPr>
        <w:t>rather than</w:t>
      </w:r>
      <w:r w:rsidRPr="00806431">
        <w:rPr>
          <w:rStyle w:val="apple-converted-space"/>
          <w:color w:val="000000"/>
          <w:sz w:val="21"/>
          <w:szCs w:val="21"/>
        </w:rPr>
        <w:t> </w:t>
      </w:r>
      <w:r w:rsidRPr="00806431">
        <w:rPr>
          <w:rStyle w:val="Strong"/>
          <w:color w:val="000000"/>
          <w:sz w:val="21"/>
          <w:szCs w:val="21"/>
        </w:rPr>
        <w:t>Physical</w:t>
      </w:r>
      <w:r w:rsidRPr="00806431">
        <w:rPr>
          <w:rStyle w:val="apple-converted-space"/>
          <w:color w:val="000000"/>
          <w:sz w:val="21"/>
          <w:szCs w:val="21"/>
        </w:rPr>
        <w:t> </w:t>
      </w:r>
      <w:r w:rsidRPr="00806431">
        <w:rPr>
          <w:color w:val="000000"/>
          <w:sz w:val="21"/>
          <w:szCs w:val="21"/>
        </w:rPr>
        <w:t>when pain itself is the dominant experiential construct.</w:t>
      </w:r>
    </w:p>
    <w:p w14:paraId="771E24EF" w14:textId="77777777" w:rsidR="00806431" w:rsidRPr="00806431" w:rsidRDefault="00806431">
      <w:pPr>
        <w:pStyle w:val="ccc16d0"/>
        <w:numPr>
          <w:ilvl w:val="0"/>
          <w:numId w:val="50"/>
        </w:numPr>
        <w:spacing w:line="300" w:lineRule="atLeast"/>
        <w:rPr>
          <w:color w:val="000000"/>
          <w:sz w:val="21"/>
          <w:szCs w:val="21"/>
        </w:rPr>
      </w:pPr>
      <w:r w:rsidRPr="00806431">
        <w:rPr>
          <w:color w:val="000000"/>
          <w:sz w:val="21"/>
          <w:szCs w:val="21"/>
        </w:rPr>
        <w:t>If bodily symptoms are discussed mainly in relation to fear, anxiety, or uncertainty,</w:t>
      </w:r>
      <w:r w:rsidRPr="00806431">
        <w:rPr>
          <w:rStyle w:val="apple-converted-space"/>
          <w:color w:val="000000"/>
          <w:sz w:val="21"/>
          <w:szCs w:val="21"/>
        </w:rPr>
        <w:t> </w:t>
      </w:r>
      <w:r w:rsidRPr="00806431">
        <w:rPr>
          <w:rStyle w:val="Strong"/>
          <w:color w:val="000000"/>
          <w:sz w:val="21"/>
          <w:szCs w:val="21"/>
        </w:rPr>
        <w:t>Physical</w:t>
      </w:r>
      <w:r w:rsidRPr="00806431">
        <w:rPr>
          <w:rStyle w:val="apple-converted-space"/>
          <w:color w:val="000000"/>
          <w:sz w:val="21"/>
          <w:szCs w:val="21"/>
        </w:rPr>
        <w:t> </w:t>
      </w:r>
      <w:r w:rsidRPr="00806431">
        <w:rPr>
          <w:color w:val="000000"/>
          <w:sz w:val="21"/>
          <w:szCs w:val="21"/>
        </w:rPr>
        <w:t>may be secondary to</w:t>
      </w:r>
      <w:r w:rsidRPr="00806431">
        <w:rPr>
          <w:rStyle w:val="apple-converted-space"/>
          <w:color w:val="000000"/>
          <w:sz w:val="21"/>
          <w:szCs w:val="21"/>
        </w:rPr>
        <w:t> </w:t>
      </w:r>
      <w:r w:rsidRPr="00806431">
        <w:rPr>
          <w:rStyle w:val="Strong"/>
          <w:color w:val="000000"/>
          <w:sz w:val="21"/>
          <w:szCs w:val="21"/>
        </w:rPr>
        <w:t>Psychological</w:t>
      </w:r>
      <w:r w:rsidRPr="00806431">
        <w:rPr>
          <w:rStyle w:val="apple-converted-space"/>
          <w:color w:val="000000"/>
          <w:sz w:val="21"/>
          <w:szCs w:val="21"/>
        </w:rPr>
        <w:t> </w:t>
      </w:r>
      <w:r w:rsidRPr="00806431">
        <w:rPr>
          <w:color w:val="000000"/>
          <w:sz w:val="21"/>
          <w:szCs w:val="21"/>
        </w:rPr>
        <w:t>or</w:t>
      </w:r>
      <w:r w:rsidRPr="00806431">
        <w:rPr>
          <w:rStyle w:val="apple-converted-space"/>
          <w:color w:val="000000"/>
          <w:sz w:val="21"/>
          <w:szCs w:val="21"/>
        </w:rPr>
        <w:t> </w:t>
      </w:r>
      <w:r w:rsidRPr="00806431">
        <w:rPr>
          <w:rStyle w:val="Strong"/>
          <w:color w:val="000000"/>
          <w:sz w:val="21"/>
          <w:szCs w:val="21"/>
        </w:rPr>
        <w:t>Cognitive</w:t>
      </w:r>
      <w:r w:rsidRPr="00806431">
        <w:rPr>
          <w:color w:val="000000"/>
          <w:sz w:val="21"/>
          <w:szCs w:val="21"/>
        </w:rPr>
        <w:t>.</w:t>
      </w:r>
    </w:p>
    <w:p w14:paraId="5A7BDC4C" w14:textId="4879C4F8" w:rsidR="00806431" w:rsidRPr="00806431" w:rsidRDefault="00806431" w:rsidP="00806431">
      <w:pPr>
        <w:spacing w:line="300" w:lineRule="atLeast"/>
        <w:rPr>
          <w:color w:val="000000"/>
          <w:sz w:val="21"/>
          <w:szCs w:val="21"/>
        </w:rPr>
      </w:pPr>
    </w:p>
    <w:p w14:paraId="5CBF2E64" w14:textId="77777777" w:rsidR="00806431" w:rsidRPr="00BD723C" w:rsidRDefault="00806431" w:rsidP="00806431">
      <w:pPr>
        <w:pStyle w:val="Heading2"/>
        <w:spacing w:line="300" w:lineRule="atLeast"/>
        <w:rPr>
          <w:rFonts w:ascii="Times New Roman" w:hAnsi="Times New Roman" w:cs="Times New Roman"/>
          <w:b/>
          <w:bCs/>
          <w:color w:val="000000"/>
          <w:sz w:val="28"/>
          <w:szCs w:val="28"/>
        </w:rPr>
      </w:pPr>
      <w:r w:rsidRPr="00BD723C">
        <w:rPr>
          <w:rFonts w:ascii="Times New Roman" w:hAnsi="Times New Roman" w:cs="Times New Roman"/>
          <w:b/>
          <w:bCs/>
          <w:color w:val="000000"/>
          <w:sz w:val="28"/>
          <w:szCs w:val="28"/>
        </w:rPr>
        <w:t>3. Psychological Domain</w:t>
      </w:r>
    </w:p>
    <w:p w14:paraId="637A4BF3" w14:textId="029F278E" w:rsidR="00806431" w:rsidRPr="00BD723C" w:rsidRDefault="00806431" w:rsidP="00BD723C">
      <w:pPr>
        <w:pStyle w:val="Heading3"/>
        <w:spacing w:line="300" w:lineRule="atLeast"/>
        <w:rPr>
          <w:rFonts w:cs="Times New Roman"/>
          <w:b/>
          <w:bCs/>
          <w:color w:val="000000"/>
        </w:rPr>
      </w:pPr>
      <w:proofErr w:type="spellStart"/>
      <w:r w:rsidRPr="00BD723C">
        <w:rPr>
          <w:rFonts w:cs="Times New Roman"/>
          <w:b/>
          <w:bCs/>
          <w:color w:val="000000"/>
        </w:rPr>
        <w:t>Definition</w:t>
      </w:r>
      <w:r w:rsidRPr="00806431">
        <w:rPr>
          <w:color w:val="000000"/>
          <w:sz w:val="21"/>
          <w:szCs w:val="21"/>
        </w:rPr>
        <w:t>Findings</w:t>
      </w:r>
      <w:proofErr w:type="spellEnd"/>
      <w:r w:rsidRPr="00806431">
        <w:rPr>
          <w:color w:val="000000"/>
          <w:sz w:val="21"/>
          <w:szCs w:val="21"/>
        </w:rPr>
        <w:t xml:space="preserve"> concerning emotional distress, mood, fear, hopelessness, grief, resilience, identity disruption, and psychological adaptation to chronic illness.</w:t>
      </w:r>
    </w:p>
    <w:p w14:paraId="65C0903A"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Include when</w:t>
      </w:r>
    </w:p>
    <w:p w14:paraId="2769F0F1"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Psychological</w:t>
      </w:r>
      <w:r w:rsidRPr="00806431">
        <w:rPr>
          <w:rStyle w:val="apple-converted-space"/>
          <w:color w:val="000000"/>
          <w:sz w:val="21"/>
          <w:szCs w:val="21"/>
        </w:rPr>
        <w:t> </w:t>
      </w:r>
      <w:r w:rsidRPr="00806431">
        <w:rPr>
          <w:color w:val="000000"/>
          <w:sz w:val="21"/>
          <w:szCs w:val="21"/>
        </w:rPr>
        <w:t>when the central meaning concerns affective or intrapsychic experience.</w:t>
      </w:r>
    </w:p>
    <w:p w14:paraId="264D084C"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Exclude when</w:t>
      </w:r>
    </w:p>
    <w:p w14:paraId="74440EAB"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Psychological</w:t>
      </w:r>
      <w:r w:rsidRPr="00806431">
        <w:rPr>
          <w:rStyle w:val="apple-converted-space"/>
          <w:color w:val="000000"/>
          <w:sz w:val="21"/>
          <w:szCs w:val="21"/>
        </w:rPr>
        <w:t> </w:t>
      </w:r>
      <w:r w:rsidRPr="00806431">
        <w:rPr>
          <w:color w:val="000000"/>
          <w:sz w:val="21"/>
          <w:szCs w:val="21"/>
        </w:rPr>
        <w:t>as the primary code if the main emphasis is on:</w:t>
      </w:r>
    </w:p>
    <w:p w14:paraId="71F3A5C3" w14:textId="77777777" w:rsidR="00806431" w:rsidRPr="00806431" w:rsidRDefault="00806431">
      <w:pPr>
        <w:pStyle w:val="ccc16d0"/>
        <w:numPr>
          <w:ilvl w:val="0"/>
          <w:numId w:val="51"/>
        </w:numPr>
        <w:spacing w:line="300" w:lineRule="atLeast"/>
        <w:rPr>
          <w:color w:val="000000"/>
          <w:sz w:val="21"/>
          <w:szCs w:val="21"/>
        </w:rPr>
      </w:pPr>
      <w:r w:rsidRPr="00806431">
        <w:rPr>
          <w:color w:val="000000"/>
          <w:sz w:val="21"/>
          <w:szCs w:val="21"/>
        </w:rPr>
        <w:t>social relationships,</w:t>
      </w:r>
    </w:p>
    <w:p w14:paraId="2B2B1C8F" w14:textId="77777777" w:rsidR="00806431" w:rsidRPr="00806431" w:rsidRDefault="00806431">
      <w:pPr>
        <w:pStyle w:val="ccc16d0"/>
        <w:numPr>
          <w:ilvl w:val="0"/>
          <w:numId w:val="51"/>
        </w:numPr>
        <w:spacing w:line="300" w:lineRule="atLeast"/>
        <w:rPr>
          <w:color w:val="000000"/>
          <w:sz w:val="21"/>
          <w:szCs w:val="21"/>
        </w:rPr>
      </w:pPr>
      <w:r w:rsidRPr="00806431">
        <w:rPr>
          <w:color w:val="000000"/>
          <w:sz w:val="21"/>
          <w:szCs w:val="21"/>
        </w:rPr>
        <w:t>pain-specific suffering, or</w:t>
      </w:r>
    </w:p>
    <w:p w14:paraId="2FF35106" w14:textId="77777777" w:rsidR="00806431" w:rsidRPr="00806431" w:rsidRDefault="00806431">
      <w:pPr>
        <w:pStyle w:val="ccc16d0"/>
        <w:numPr>
          <w:ilvl w:val="0"/>
          <w:numId w:val="51"/>
        </w:numPr>
        <w:spacing w:line="300" w:lineRule="atLeast"/>
        <w:rPr>
          <w:color w:val="000000"/>
          <w:sz w:val="21"/>
          <w:szCs w:val="21"/>
        </w:rPr>
      </w:pPr>
      <w:r w:rsidRPr="00806431">
        <w:rPr>
          <w:color w:val="000000"/>
          <w:sz w:val="21"/>
          <w:szCs w:val="21"/>
        </w:rPr>
        <w:t>cognitive meaning-making.</w:t>
      </w:r>
    </w:p>
    <w:p w14:paraId="24781A10"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2E8CAB36" w14:textId="77777777" w:rsidR="00806431" w:rsidRPr="00806431" w:rsidRDefault="00806431">
      <w:pPr>
        <w:pStyle w:val="ccc16d0"/>
        <w:numPr>
          <w:ilvl w:val="0"/>
          <w:numId w:val="52"/>
        </w:numPr>
        <w:spacing w:line="300" w:lineRule="atLeast"/>
        <w:rPr>
          <w:color w:val="000000"/>
          <w:sz w:val="21"/>
          <w:szCs w:val="21"/>
        </w:rPr>
      </w:pPr>
      <w:r w:rsidRPr="00806431">
        <w:rPr>
          <w:rStyle w:val="Strong"/>
          <w:color w:val="000000"/>
          <w:sz w:val="21"/>
          <w:szCs w:val="21"/>
        </w:rPr>
        <w:t>Depression/hopelessness</w:t>
      </w:r>
    </w:p>
    <w:p w14:paraId="6590F076" w14:textId="77777777" w:rsidR="00806431" w:rsidRPr="00806431" w:rsidRDefault="00806431">
      <w:pPr>
        <w:pStyle w:val="ccc16d0"/>
        <w:numPr>
          <w:ilvl w:val="0"/>
          <w:numId w:val="52"/>
        </w:numPr>
        <w:spacing w:line="300" w:lineRule="atLeast"/>
        <w:rPr>
          <w:color w:val="000000"/>
          <w:sz w:val="21"/>
          <w:szCs w:val="21"/>
        </w:rPr>
      </w:pPr>
      <w:r w:rsidRPr="00806431">
        <w:rPr>
          <w:rStyle w:val="Strong"/>
          <w:color w:val="000000"/>
          <w:sz w:val="21"/>
          <w:szCs w:val="21"/>
        </w:rPr>
        <w:t>Anxiety/fear</w:t>
      </w:r>
    </w:p>
    <w:p w14:paraId="0465C167" w14:textId="77777777" w:rsidR="00806431" w:rsidRPr="00806431" w:rsidRDefault="00806431">
      <w:pPr>
        <w:pStyle w:val="ccc16d0"/>
        <w:numPr>
          <w:ilvl w:val="0"/>
          <w:numId w:val="52"/>
        </w:numPr>
        <w:spacing w:line="300" w:lineRule="atLeast"/>
        <w:rPr>
          <w:color w:val="000000"/>
          <w:sz w:val="21"/>
          <w:szCs w:val="21"/>
        </w:rPr>
      </w:pPr>
      <w:r w:rsidRPr="00806431">
        <w:rPr>
          <w:rStyle w:val="Strong"/>
          <w:color w:val="000000"/>
          <w:sz w:val="21"/>
          <w:szCs w:val="21"/>
        </w:rPr>
        <w:lastRenderedPageBreak/>
        <w:t>Grief/loss</w:t>
      </w:r>
    </w:p>
    <w:p w14:paraId="4EB93A6C" w14:textId="77777777" w:rsidR="00806431" w:rsidRPr="00806431" w:rsidRDefault="00806431">
      <w:pPr>
        <w:pStyle w:val="ccc16d0"/>
        <w:numPr>
          <w:ilvl w:val="0"/>
          <w:numId w:val="52"/>
        </w:numPr>
        <w:spacing w:line="300" w:lineRule="atLeast"/>
        <w:rPr>
          <w:color w:val="000000"/>
          <w:sz w:val="21"/>
          <w:szCs w:val="21"/>
        </w:rPr>
      </w:pPr>
      <w:r w:rsidRPr="00806431">
        <w:rPr>
          <w:rStyle w:val="Strong"/>
          <w:color w:val="000000"/>
          <w:sz w:val="21"/>
          <w:szCs w:val="21"/>
        </w:rPr>
        <w:t>Identity disruption</w:t>
      </w:r>
      <w:r w:rsidRPr="00806431">
        <w:rPr>
          <w:color w:val="000000"/>
          <w:sz w:val="21"/>
          <w:szCs w:val="21"/>
        </w:rPr>
        <w:t>: changed self-concept, loss of former self, fractured continuity</w:t>
      </w:r>
    </w:p>
    <w:p w14:paraId="33032F4E" w14:textId="77777777" w:rsidR="00806431" w:rsidRPr="00806431" w:rsidRDefault="00806431">
      <w:pPr>
        <w:pStyle w:val="ccc16d0"/>
        <w:numPr>
          <w:ilvl w:val="0"/>
          <w:numId w:val="52"/>
        </w:numPr>
        <w:spacing w:line="300" w:lineRule="atLeast"/>
        <w:rPr>
          <w:color w:val="000000"/>
          <w:sz w:val="21"/>
          <w:szCs w:val="21"/>
        </w:rPr>
      </w:pPr>
      <w:r w:rsidRPr="00806431">
        <w:rPr>
          <w:rStyle w:val="Strong"/>
          <w:color w:val="000000"/>
          <w:sz w:val="21"/>
          <w:szCs w:val="21"/>
        </w:rPr>
        <w:t>Resilience/adaptation</w:t>
      </w:r>
      <w:r w:rsidRPr="00806431">
        <w:rPr>
          <w:color w:val="000000"/>
          <w:sz w:val="21"/>
          <w:szCs w:val="21"/>
        </w:rPr>
        <w:t>: emotional coping, acceptance, reconstruction of self</w:t>
      </w:r>
    </w:p>
    <w:p w14:paraId="1C3A96A9"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Example indicators</w:t>
      </w:r>
    </w:p>
    <w:p w14:paraId="0EB28446" w14:textId="77777777" w:rsidR="00806431" w:rsidRPr="00806431" w:rsidRDefault="00806431">
      <w:pPr>
        <w:pStyle w:val="ccc16d0"/>
        <w:numPr>
          <w:ilvl w:val="0"/>
          <w:numId w:val="53"/>
        </w:numPr>
        <w:spacing w:line="300" w:lineRule="atLeast"/>
        <w:rPr>
          <w:color w:val="000000"/>
          <w:sz w:val="21"/>
          <w:szCs w:val="21"/>
        </w:rPr>
      </w:pPr>
      <w:r w:rsidRPr="00806431">
        <w:rPr>
          <w:color w:val="000000"/>
          <w:sz w:val="21"/>
          <w:szCs w:val="21"/>
        </w:rPr>
        <w:t>“Participants described mourning their previous lives.”</w:t>
      </w:r>
    </w:p>
    <w:p w14:paraId="718931B7" w14:textId="77777777" w:rsidR="00806431" w:rsidRPr="00806431" w:rsidRDefault="00806431">
      <w:pPr>
        <w:pStyle w:val="ccc16d0"/>
        <w:numPr>
          <w:ilvl w:val="0"/>
          <w:numId w:val="53"/>
        </w:numPr>
        <w:spacing w:line="300" w:lineRule="atLeast"/>
        <w:rPr>
          <w:color w:val="000000"/>
          <w:sz w:val="21"/>
          <w:szCs w:val="21"/>
        </w:rPr>
      </w:pPr>
      <w:r w:rsidRPr="00806431">
        <w:rPr>
          <w:color w:val="000000"/>
          <w:sz w:val="21"/>
          <w:szCs w:val="21"/>
        </w:rPr>
        <w:t>“Fear of deterioration shaped daily decision-making.”</w:t>
      </w:r>
    </w:p>
    <w:p w14:paraId="374533D7"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Decision rules</w:t>
      </w:r>
    </w:p>
    <w:p w14:paraId="74E28A68" w14:textId="77777777" w:rsidR="00806431" w:rsidRPr="00806431" w:rsidRDefault="00806431">
      <w:pPr>
        <w:pStyle w:val="ccc16d0"/>
        <w:numPr>
          <w:ilvl w:val="0"/>
          <w:numId w:val="54"/>
        </w:numPr>
        <w:spacing w:line="300" w:lineRule="atLeast"/>
        <w:rPr>
          <w:color w:val="000000"/>
          <w:sz w:val="21"/>
          <w:szCs w:val="21"/>
        </w:rPr>
      </w:pPr>
      <w:r w:rsidRPr="00806431">
        <w:rPr>
          <w:color w:val="000000"/>
          <w:sz w:val="21"/>
          <w:szCs w:val="21"/>
        </w:rPr>
        <w:t>If the finding concerns uncertainty about diagnosis, illness meaning, or future interpretation, consider</w:t>
      </w:r>
      <w:r w:rsidRPr="00806431">
        <w:rPr>
          <w:rStyle w:val="apple-converted-space"/>
          <w:color w:val="000000"/>
          <w:sz w:val="21"/>
          <w:szCs w:val="21"/>
        </w:rPr>
        <w:t> </w:t>
      </w:r>
      <w:r w:rsidRPr="00806431">
        <w:rPr>
          <w:rStyle w:val="Strong"/>
          <w:color w:val="000000"/>
          <w:sz w:val="21"/>
          <w:szCs w:val="21"/>
        </w:rPr>
        <w:t>Cognitive</w:t>
      </w:r>
      <w:r w:rsidRPr="00806431">
        <w:rPr>
          <w:rStyle w:val="apple-converted-space"/>
          <w:color w:val="000000"/>
          <w:sz w:val="21"/>
          <w:szCs w:val="21"/>
        </w:rPr>
        <w:t> </w:t>
      </w:r>
      <w:r w:rsidRPr="00806431">
        <w:rPr>
          <w:color w:val="000000"/>
          <w:sz w:val="21"/>
          <w:szCs w:val="21"/>
        </w:rPr>
        <w:t>as primary.</w:t>
      </w:r>
    </w:p>
    <w:p w14:paraId="31E4A6AD" w14:textId="4D31F683" w:rsidR="00806431" w:rsidRPr="00806431" w:rsidRDefault="00806431">
      <w:pPr>
        <w:pStyle w:val="ccc16d0"/>
        <w:numPr>
          <w:ilvl w:val="0"/>
          <w:numId w:val="54"/>
        </w:numPr>
        <w:spacing w:line="300" w:lineRule="atLeast"/>
        <w:rPr>
          <w:color w:val="000000"/>
          <w:sz w:val="21"/>
          <w:szCs w:val="21"/>
        </w:rPr>
      </w:pPr>
      <w:r w:rsidRPr="00806431">
        <w:rPr>
          <w:color w:val="000000"/>
          <w:sz w:val="21"/>
          <w:szCs w:val="21"/>
        </w:rPr>
        <w:t>If emotional distress is inseparable from pain, and pain is the central feature,</w:t>
      </w:r>
      <w:r w:rsidRPr="00806431">
        <w:rPr>
          <w:rStyle w:val="apple-converted-space"/>
          <w:color w:val="000000"/>
          <w:sz w:val="21"/>
          <w:szCs w:val="21"/>
        </w:rPr>
        <w:t> </w:t>
      </w:r>
      <w:r w:rsidRPr="00806431">
        <w:rPr>
          <w:rStyle w:val="Strong"/>
          <w:color w:val="000000"/>
          <w:sz w:val="21"/>
          <w:szCs w:val="21"/>
        </w:rPr>
        <w:t>Chronic Pain</w:t>
      </w:r>
      <w:r w:rsidRPr="00806431">
        <w:rPr>
          <w:rStyle w:val="apple-converted-space"/>
          <w:color w:val="000000"/>
          <w:sz w:val="21"/>
          <w:szCs w:val="21"/>
        </w:rPr>
        <w:t> </w:t>
      </w:r>
      <w:r w:rsidRPr="00806431">
        <w:rPr>
          <w:color w:val="000000"/>
          <w:sz w:val="21"/>
          <w:szCs w:val="21"/>
        </w:rPr>
        <w:t>may be primary and</w:t>
      </w:r>
      <w:r w:rsidRPr="00806431">
        <w:rPr>
          <w:rStyle w:val="apple-converted-space"/>
          <w:color w:val="000000"/>
          <w:sz w:val="21"/>
          <w:szCs w:val="21"/>
        </w:rPr>
        <w:t> </w:t>
      </w:r>
      <w:r w:rsidR="00D65F87" w:rsidRPr="00806431">
        <w:rPr>
          <w:rStyle w:val="Strong"/>
          <w:color w:val="000000"/>
          <w:sz w:val="21"/>
          <w:szCs w:val="21"/>
        </w:rPr>
        <w:t>Psychological</w:t>
      </w:r>
      <w:r w:rsidR="00D65F87" w:rsidRPr="00806431">
        <w:rPr>
          <w:color w:val="000000"/>
          <w:sz w:val="21"/>
          <w:szCs w:val="21"/>
        </w:rPr>
        <w:t xml:space="preserve"> secondary</w:t>
      </w:r>
      <w:r w:rsidRPr="00806431">
        <w:rPr>
          <w:color w:val="000000"/>
          <w:sz w:val="21"/>
          <w:szCs w:val="21"/>
        </w:rPr>
        <w:t>.</w:t>
      </w:r>
    </w:p>
    <w:p w14:paraId="2BDB0E18" w14:textId="10CACEB8" w:rsidR="00806431" w:rsidRPr="00806431" w:rsidRDefault="00806431" w:rsidP="00806431">
      <w:pPr>
        <w:spacing w:line="300" w:lineRule="atLeast"/>
        <w:rPr>
          <w:color w:val="000000"/>
          <w:sz w:val="21"/>
          <w:szCs w:val="21"/>
        </w:rPr>
      </w:pPr>
    </w:p>
    <w:p w14:paraId="0DB880FE" w14:textId="77777777" w:rsidR="00806431" w:rsidRPr="00BD723C" w:rsidRDefault="00806431" w:rsidP="00806431">
      <w:pPr>
        <w:pStyle w:val="Heading2"/>
        <w:spacing w:line="300" w:lineRule="atLeast"/>
        <w:rPr>
          <w:rFonts w:ascii="Times New Roman" w:hAnsi="Times New Roman" w:cs="Times New Roman"/>
          <w:b/>
          <w:bCs/>
          <w:color w:val="000000"/>
          <w:sz w:val="28"/>
          <w:szCs w:val="28"/>
        </w:rPr>
      </w:pPr>
      <w:r w:rsidRPr="00BD723C">
        <w:rPr>
          <w:rFonts w:ascii="Times New Roman" w:hAnsi="Times New Roman" w:cs="Times New Roman"/>
          <w:b/>
          <w:bCs/>
          <w:color w:val="000000"/>
          <w:sz w:val="28"/>
          <w:szCs w:val="28"/>
        </w:rPr>
        <w:t>4. Chronic Pain Domain</w:t>
      </w:r>
    </w:p>
    <w:p w14:paraId="04729133" w14:textId="2EBD1A73" w:rsidR="00806431" w:rsidRPr="00BD723C" w:rsidRDefault="00806431" w:rsidP="00BD723C">
      <w:pPr>
        <w:pStyle w:val="Heading3"/>
        <w:spacing w:line="300" w:lineRule="atLeast"/>
        <w:rPr>
          <w:rFonts w:cs="Times New Roman"/>
          <w:b/>
          <w:bCs/>
          <w:color w:val="000000"/>
        </w:rPr>
      </w:pPr>
      <w:proofErr w:type="spellStart"/>
      <w:r w:rsidRPr="00BD723C">
        <w:rPr>
          <w:rFonts w:cs="Times New Roman"/>
          <w:b/>
          <w:bCs/>
          <w:color w:val="000000"/>
        </w:rPr>
        <w:t>Definition</w:t>
      </w:r>
      <w:r w:rsidRPr="00806431">
        <w:rPr>
          <w:color w:val="000000"/>
          <w:sz w:val="21"/>
          <w:szCs w:val="21"/>
        </w:rPr>
        <w:t>Findings</w:t>
      </w:r>
      <w:proofErr w:type="spellEnd"/>
      <w:r w:rsidRPr="00806431">
        <w:rPr>
          <w:color w:val="000000"/>
          <w:sz w:val="21"/>
          <w:szCs w:val="21"/>
        </w:rPr>
        <w:t xml:space="preserve"> where pain is the dominant experiential and organizing feature, including suffering, pain centrality, pain-related distress, invisibility of pain, and pain-driven life reorganization.</w:t>
      </w:r>
    </w:p>
    <w:p w14:paraId="3A38F9EA"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Include when</w:t>
      </w:r>
    </w:p>
    <w:p w14:paraId="36D85C2D"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Chronic Pain</w:t>
      </w:r>
      <w:r w:rsidRPr="00806431">
        <w:rPr>
          <w:rStyle w:val="apple-converted-space"/>
          <w:color w:val="000000"/>
          <w:sz w:val="21"/>
          <w:szCs w:val="21"/>
        </w:rPr>
        <w:t> </w:t>
      </w:r>
      <w:r w:rsidRPr="00806431">
        <w:rPr>
          <w:color w:val="000000"/>
          <w:sz w:val="21"/>
          <w:szCs w:val="21"/>
        </w:rPr>
        <w:t>when pain is not just one symptom among others, but the principal framework through which experience is described.</w:t>
      </w:r>
    </w:p>
    <w:p w14:paraId="2554FFD8"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Exclude when</w:t>
      </w:r>
    </w:p>
    <w:p w14:paraId="48E7BE9C"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Chronic Pain</w:t>
      </w:r>
      <w:r w:rsidRPr="00806431">
        <w:rPr>
          <w:rStyle w:val="apple-converted-space"/>
          <w:color w:val="000000"/>
          <w:sz w:val="21"/>
          <w:szCs w:val="21"/>
        </w:rPr>
        <w:t> </w:t>
      </w:r>
      <w:r w:rsidRPr="00806431">
        <w:rPr>
          <w:color w:val="000000"/>
          <w:sz w:val="21"/>
          <w:szCs w:val="21"/>
        </w:rPr>
        <w:t>if pain is only one component of a broader physical symptom profile and is not conceptually central.</w:t>
      </w:r>
    </w:p>
    <w:p w14:paraId="7D8848E6"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7061A4C6" w14:textId="77777777" w:rsidR="00806431" w:rsidRPr="00806431" w:rsidRDefault="00806431">
      <w:pPr>
        <w:pStyle w:val="ccc16d0"/>
        <w:numPr>
          <w:ilvl w:val="0"/>
          <w:numId w:val="55"/>
        </w:numPr>
        <w:spacing w:line="300" w:lineRule="atLeast"/>
        <w:rPr>
          <w:color w:val="000000"/>
          <w:sz w:val="21"/>
          <w:szCs w:val="21"/>
        </w:rPr>
      </w:pPr>
      <w:r w:rsidRPr="00806431">
        <w:rPr>
          <w:rStyle w:val="Strong"/>
          <w:color w:val="000000"/>
          <w:sz w:val="21"/>
          <w:szCs w:val="21"/>
        </w:rPr>
        <w:t>Pain dominance/centrality</w:t>
      </w:r>
    </w:p>
    <w:p w14:paraId="6CFB3EA2" w14:textId="77777777" w:rsidR="00806431" w:rsidRPr="00806431" w:rsidRDefault="00806431">
      <w:pPr>
        <w:pStyle w:val="ccc16d0"/>
        <w:numPr>
          <w:ilvl w:val="0"/>
          <w:numId w:val="55"/>
        </w:numPr>
        <w:spacing w:line="300" w:lineRule="atLeast"/>
        <w:rPr>
          <w:color w:val="000000"/>
          <w:sz w:val="21"/>
          <w:szCs w:val="21"/>
        </w:rPr>
      </w:pPr>
      <w:r w:rsidRPr="00806431">
        <w:rPr>
          <w:rStyle w:val="Strong"/>
          <w:color w:val="000000"/>
          <w:sz w:val="21"/>
          <w:szCs w:val="21"/>
        </w:rPr>
        <w:t>Suffering and exhaustion</w:t>
      </w:r>
    </w:p>
    <w:p w14:paraId="7D9EACAE" w14:textId="77777777" w:rsidR="00806431" w:rsidRPr="00806431" w:rsidRDefault="00806431">
      <w:pPr>
        <w:pStyle w:val="ccc16d0"/>
        <w:numPr>
          <w:ilvl w:val="0"/>
          <w:numId w:val="55"/>
        </w:numPr>
        <w:spacing w:line="300" w:lineRule="atLeast"/>
        <w:rPr>
          <w:color w:val="000000"/>
          <w:sz w:val="21"/>
          <w:szCs w:val="21"/>
        </w:rPr>
      </w:pPr>
      <w:r w:rsidRPr="00806431">
        <w:rPr>
          <w:rStyle w:val="Strong"/>
          <w:color w:val="000000"/>
          <w:sz w:val="21"/>
          <w:szCs w:val="21"/>
        </w:rPr>
        <w:t>Pain-related unpredictability</w:t>
      </w:r>
    </w:p>
    <w:p w14:paraId="4B539BB3" w14:textId="77777777" w:rsidR="00806431" w:rsidRPr="00806431" w:rsidRDefault="00806431">
      <w:pPr>
        <w:pStyle w:val="ccc16d0"/>
        <w:numPr>
          <w:ilvl w:val="0"/>
          <w:numId w:val="55"/>
        </w:numPr>
        <w:spacing w:line="300" w:lineRule="atLeast"/>
        <w:rPr>
          <w:color w:val="000000"/>
          <w:sz w:val="21"/>
          <w:szCs w:val="21"/>
        </w:rPr>
      </w:pPr>
      <w:r w:rsidRPr="00806431">
        <w:rPr>
          <w:rStyle w:val="Strong"/>
          <w:color w:val="000000"/>
          <w:sz w:val="21"/>
          <w:szCs w:val="21"/>
        </w:rPr>
        <w:t>Invisibility and invalidation of pain</w:t>
      </w:r>
    </w:p>
    <w:p w14:paraId="6189120B" w14:textId="77777777" w:rsidR="00806431" w:rsidRPr="00806431" w:rsidRDefault="00806431">
      <w:pPr>
        <w:pStyle w:val="ccc16d0"/>
        <w:numPr>
          <w:ilvl w:val="0"/>
          <w:numId w:val="55"/>
        </w:numPr>
        <w:spacing w:line="300" w:lineRule="atLeast"/>
        <w:rPr>
          <w:color w:val="000000"/>
          <w:sz w:val="21"/>
          <w:szCs w:val="21"/>
        </w:rPr>
      </w:pPr>
      <w:r w:rsidRPr="00806431">
        <w:rPr>
          <w:rStyle w:val="Strong"/>
          <w:color w:val="000000"/>
          <w:sz w:val="21"/>
          <w:szCs w:val="21"/>
        </w:rPr>
        <w:t>Pain-driven restriction and adaptation</w:t>
      </w:r>
    </w:p>
    <w:p w14:paraId="62861F0A"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Example indicators</w:t>
      </w:r>
    </w:p>
    <w:p w14:paraId="4E61A3D0" w14:textId="77777777" w:rsidR="00806431" w:rsidRPr="00806431" w:rsidRDefault="00806431">
      <w:pPr>
        <w:pStyle w:val="ccc16d0"/>
        <w:numPr>
          <w:ilvl w:val="0"/>
          <w:numId w:val="56"/>
        </w:numPr>
        <w:spacing w:line="300" w:lineRule="atLeast"/>
        <w:rPr>
          <w:color w:val="000000"/>
          <w:sz w:val="21"/>
          <w:szCs w:val="21"/>
        </w:rPr>
      </w:pPr>
      <w:r w:rsidRPr="00806431">
        <w:rPr>
          <w:color w:val="000000"/>
          <w:sz w:val="21"/>
          <w:szCs w:val="21"/>
        </w:rPr>
        <w:t>“Pain dominated all aspects of everyday life.”</w:t>
      </w:r>
    </w:p>
    <w:p w14:paraId="12D652F5" w14:textId="77777777" w:rsidR="00806431" w:rsidRPr="00806431" w:rsidRDefault="00806431">
      <w:pPr>
        <w:pStyle w:val="ccc16d0"/>
        <w:numPr>
          <w:ilvl w:val="0"/>
          <w:numId w:val="56"/>
        </w:numPr>
        <w:spacing w:line="300" w:lineRule="atLeast"/>
        <w:rPr>
          <w:color w:val="000000"/>
          <w:sz w:val="21"/>
          <w:szCs w:val="21"/>
        </w:rPr>
      </w:pPr>
      <w:r w:rsidRPr="00806431">
        <w:rPr>
          <w:color w:val="000000"/>
          <w:sz w:val="21"/>
          <w:szCs w:val="21"/>
        </w:rPr>
        <w:t>“Participants felt others could not understand invisible pain.”</w:t>
      </w:r>
    </w:p>
    <w:p w14:paraId="4339462A"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lastRenderedPageBreak/>
        <w:t>Decision rules</w:t>
      </w:r>
    </w:p>
    <w:p w14:paraId="074585D7" w14:textId="77777777" w:rsidR="00806431" w:rsidRPr="00806431" w:rsidRDefault="00806431">
      <w:pPr>
        <w:pStyle w:val="ccc16d0"/>
        <w:numPr>
          <w:ilvl w:val="0"/>
          <w:numId w:val="57"/>
        </w:numPr>
        <w:spacing w:line="300" w:lineRule="atLeast"/>
        <w:rPr>
          <w:color w:val="000000"/>
          <w:sz w:val="21"/>
          <w:szCs w:val="21"/>
        </w:rPr>
      </w:pPr>
      <w:r w:rsidRPr="00806431">
        <w:rPr>
          <w:color w:val="000000"/>
          <w:sz w:val="21"/>
          <w:szCs w:val="21"/>
        </w:rPr>
        <w:t>If invalidation occurs specifically in clinical encounters, dual-code with</w:t>
      </w:r>
      <w:r w:rsidRPr="00806431">
        <w:rPr>
          <w:rStyle w:val="apple-converted-space"/>
          <w:color w:val="000000"/>
          <w:sz w:val="21"/>
          <w:szCs w:val="21"/>
        </w:rPr>
        <w:t> </w:t>
      </w:r>
      <w:r w:rsidRPr="00806431">
        <w:rPr>
          <w:rStyle w:val="Strong"/>
          <w:color w:val="000000"/>
          <w:sz w:val="21"/>
          <w:szCs w:val="21"/>
        </w:rPr>
        <w:t>Healthcare/System</w:t>
      </w:r>
      <w:r w:rsidRPr="00806431">
        <w:rPr>
          <w:color w:val="000000"/>
          <w:sz w:val="21"/>
          <w:szCs w:val="21"/>
        </w:rPr>
        <w:t>.</w:t>
      </w:r>
    </w:p>
    <w:p w14:paraId="112C2EA6" w14:textId="77777777" w:rsidR="00806431" w:rsidRPr="00806431" w:rsidRDefault="00806431">
      <w:pPr>
        <w:pStyle w:val="ccc16d0"/>
        <w:numPr>
          <w:ilvl w:val="0"/>
          <w:numId w:val="57"/>
        </w:numPr>
        <w:spacing w:line="300" w:lineRule="atLeast"/>
        <w:rPr>
          <w:color w:val="000000"/>
          <w:sz w:val="21"/>
          <w:szCs w:val="21"/>
        </w:rPr>
      </w:pPr>
      <w:r w:rsidRPr="00806431">
        <w:rPr>
          <w:color w:val="000000"/>
          <w:sz w:val="21"/>
          <w:szCs w:val="21"/>
        </w:rPr>
        <w:t>If pain is discussed mainly as symptom burden without interpretive centrality, use</w:t>
      </w:r>
      <w:r w:rsidRPr="00806431">
        <w:rPr>
          <w:rStyle w:val="apple-converted-space"/>
          <w:color w:val="000000"/>
          <w:sz w:val="21"/>
          <w:szCs w:val="21"/>
        </w:rPr>
        <w:t> </w:t>
      </w:r>
      <w:r w:rsidRPr="00806431">
        <w:rPr>
          <w:rStyle w:val="Strong"/>
          <w:color w:val="000000"/>
          <w:sz w:val="21"/>
          <w:szCs w:val="21"/>
        </w:rPr>
        <w:t>Physical</w:t>
      </w:r>
      <w:r w:rsidRPr="00806431">
        <w:rPr>
          <w:rStyle w:val="apple-converted-space"/>
          <w:color w:val="000000"/>
          <w:sz w:val="21"/>
          <w:szCs w:val="21"/>
        </w:rPr>
        <w:t> </w:t>
      </w:r>
      <w:r w:rsidRPr="00806431">
        <w:rPr>
          <w:color w:val="000000"/>
          <w:sz w:val="21"/>
          <w:szCs w:val="21"/>
        </w:rPr>
        <w:t>instead.</w:t>
      </w:r>
    </w:p>
    <w:p w14:paraId="670649DA" w14:textId="4F691520" w:rsidR="00806431" w:rsidRPr="00806431" w:rsidRDefault="00806431" w:rsidP="00806431">
      <w:pPr>
        <w:spacing w:line="300" w:lineRule="atLeast"/>
        <w:rPr>
          <w:color w:val="000000"/>
          <w:sz w:val="21"/>
          <w:szCs w:val="21"/>
        </w:rPr>
      </w:pPr>
    </w:p>
    <w:p w14:paraId="774C2F32" w14:textId="77777777" w:rsidR="00806431" w:rsidRPr="00BD723C" w:rsidRDefault="00806431" w:rsidP="00806431">
      <w:pPr>
        <w:pStyle w:val="Heading2"/>
        <w:spacing w:line="300" w:lineRule="atLeast"/>
        <w:rPr>
          <w:rFonts w:ascii="Times New Roman" w:hAnsi="Times New Roman" w:cs="Times New Roman"/>
          <w:b/>
          <w:bCs/>
          <w:color w:val="000000"/>
          <w:sz w:val="28"/>
          <w:szCs w:val="28"/>
        </w:rPr>
      </w:pPr>
      <w:r w:rsidRPr="00BD723C">
        <w:rPr>
          <w:rFonts w:ascii="Times New Roman" w:hAnsi="Times New Roman" w:cs="Times New Roman"/>
          <w:b/>
          <w:bCs/>
          <w:color w:val="000000"/>
          <w:sz w:val="28"/>
          <w:szCs w:val="28"/>
        </w:rPr>
        <w:t>5. Healthcare/System Domain</w:t>
      </w:r>
    </w:p>
    <w:p w14:paraId="22FD21AB" w14:textId="77777777" w:rsidR="00BD723C" w:rsidRDefault="00806431" w:rsidP="00BD723C">
      <w:pPr>
        <w:pStyle w:val="Heading3"/>
        <w:snapToGrid w:val="0"/>
        <w:spacing w:before="0"/>
        <w:contextualSpacing/>
        <w:rPr>
          <w:rFonts w:cs="Times New Roman"/>
          <w:b/>
          <w:bCs/>
          <w:color w:val="000000"/>
        </w:rPr>
      </w:pPr>
      <w:r w:rsidRPr="00BD723C">
        <w:rPr>
          <w:rFonts w:cs="Times New Roman"/>
          <w:b/>
          <w:bCs/>
          <w:color w:val="000000"/>
        </w:rPr>
        <w:t>Definition</w:t>
      </w:r>
    </w:p>
    <w:p w14:paraId="76153CDB" w14:textId="5676B4A6" w:rsidR="00806431" w:rsidRPr="00BD723C" w:rsidRDefault="00806431" w:rsidP="00BD723C">
      <w:pPr>
        <w:pStyle w:val="Heading3"/>
        <w:snapToGrid w:val="0"/>
        <w:spacing w:before="0"/>
        <w:contextualSpacing/>
        <w:rPr>
          <w:rFonts w:cs="Times New Roman"/>
          <w:b/>
          <w:bCs/>
          <w:color w:val="000000"/>
        </w:rPr>
      </w:pPr>
      <w:r w:rsidRPr="00806431">
        <w:rPr>
          <w:color w:val="000000"/>
          <w:sz w:val="21"/>
          <w:szCs w:val="21"/>
        </w:rPr>
        <w:t>Findings concerning healthcare encounters, access, fragmentation, recognition, dismissal, treatment burden, navigation of care, and institutional responses to chronic illness.</w:t>
      </w:r>
    </w:p>
    <w:p w14:paraId="6E3F3545" w14:textId="77777777" w:rsidR="00BD723C" w:rsidRDefault="00BD723C" w:rsidP="00BD723C">
      <w:pPr>
        <w:pStyle w:val="Heading3"/>
        <w:snapToGrid w:val="0"/>
        <w:spacing w:before="0"/>
        <w:contextualSpacing/>
        <w:rPr>
          <w:rFonts w:cs="Times New Roman"/>
          <w:color w:val="000000"/>
        </w:rPr>
      </w:pPr>
    </w:p>
    <w:p w14:paraId="27CC9A17" w14:textId="63AC90E3" w:rsidR="00806431" w:rsidRPr="00806431" w:rsidRDefault="00806431" w:rsidP="00BD723C">
      <w:pPr>
        <w:pStyle w:val="Heading3"/>
        <w:spacing w:before="0"/>
        <w:rPr>
          <w:rFonts w:cs="Times New Roman"/>
          <w:color w:val="000000"/>
          <w:sz w:val="27"/>
          <w:szCs w:val="27"/>
        </w:rPr>
      </w:pPr>
      <w:r w:rsidRPr="00806431">
        <w:rPr>
          <w:rFonts w:cs="Times New Roman"/>
          <w:color w:val="000000"/>
        </w:rPr>
        <w:t>Include when</w:t>
      </w:r>
    </w:p>
    <w:p w14:paraId="6F4039FF"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Healthcare/System</w:t>
      </w:r>
      <w:r w:rsidRPr="00806431">
        <w:rPr>
          <w:rStyle w:val="apple-converted-space"/>
          <w:color w:val="000000"/>
          <w:sz w:val="21"/>
          <w:szCs w:val="21"/>
        </w:rPr>
        <w:t> </w:t>
      </w:r>
      <w:r w:rsidRPr="00806431">
        <w:rPr>
          <w:color w:val="000000"/>
          <w:sz w:val="21"/>
          <w:szCs w:val="21"/>
        </w:rPr>
        <w:t>when the central meaning concerns formal healthcare structures, professionals, services, or systemic barriers and facilitators.</w:t>
      </w:r>
    </w:p>
    <w:p w14:paraId="0DFDDD15"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Exclude when</w:t>
      </w:r>
    </w:p>
    <w:p w14:paraId="5F172267"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Healthcare/System</w:t>
      </w:r>
      <w:r w:rsidRPr="00806431">
        <w:rPr>
          <w:rStyle w:val="apple-converted-space"/>
          <w:color w:val="000000"/>
          <w:sz w:val="21"/>
          <w:szCs w:val="21"/>
        </w:rPr>
        <w:t> </w:t>
      </w:r>
      <w:r w:rsidRPr="00806431">
        <w:rPr>
          <w:color w:val="000000"/>
          <w:sz w:val="21"/>
          <w:szCs w:val="21"/>
        </w:rPr>
        <w:t>if the meaning concerns broader social misunderstanding outside clinical settings.</w:t>
      </w:r>
    </w:p>
    <w:p w14:paraId="158FB6F7"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456AEAA3" w14:textId="77777777" w:rsidR="00806431" w:rsidRPr="00806431" w:rsidRDefault="00806431">
      <w:pPr>
        <w:pStyle w:val="ccc16d0"/>
        <w:numPr>
          <w:ilvl w:val="0"/>
          <w:numId w:val="58"/>
        </w:numPr>
        <w:spacing w:line="300" w:lineRule="atLeast"/>
        <w:rPr>
          <w:color w:val="000000"/>
          <w:sz w:val="21"/>
          <w:szCs w:val="21"/>
        </w:rPr>
      </w:pPr>
      <w:r w:rsidRPr="00806431">
        <w:rPr>
          <w:rStyle w:val="Strong"/>
          <w:color w:val="000000"/>
          <w:sz w:val="21"/>
          <w:szCs w:val="21"/>
        </w:rPr>
        <w:t>Validation versus dismissal</w:t>
      </w:r>
    </w:p>
    <w:p w14:paraId="31B83EF1" w14:textId="77777777" w:rsidR="00806431" w:rsidRPr="00806431" w:rsidRDefault="00806431">
      <w:pPr>
        <w:pStyle w:val="ccc16d0"/>
        <w:numPr>
          <w:ilvl w:val="0"/>
          <w:numId w:val="58"/>
        </w:numPr>
        <w:spacing w:line="300" w:lineRule="atLeast"/>
        <w:rPr>
          <w:color w:val="000000"/>
          <w:sz w:val="21"/>
          <w:szCs w:val="21"/>
        </w:rPr>
      </w:pPr>
      <w:r w:rsidRPr="00806431">
        <w:rPr>
          <w:rStyle w:val="Strong"/>
          <w:color w:val="000000"/>
          <w:sz w:val="21"/>
          <w:szCs w:val="21"/>
        </w:rPr>
        <w:t>Fragmented care</w:t>
      </w:r>
    </w:p>
    <w:p w14:paraId="04536139" w14:textId="77777777" w:rsidR="00806431" w:rsidRPr="00806431" w:rsidRDefault="00806431">
      <w:pPr>
        <w:pStyle w:val="ccc16d0"/>
        <w:numPr>
          <w:ilvl w:val="0"/>
          <w:numId w:val="58"/>
        </w:numPr>
        <w:spacing w:line="300" w:lineRule="atLeast"/>
        <w:rPr>
          <w:color w:val="000000"/>
          <w:sz w:val="21"/>
          <w:szCs w:val="21"/>
        </w:rPr>
      </w:pPr>
      <w:r w:rsidRPr="00806431">
        <w:rPr>
          <w:rStyle w:val="Strong"/>
          <w:color w:val="000000"/>
          <w:sz w:val="21"/>
          <w:szCs w:val="21"/>
        </w:rPr>
        <w:t>Access barriers</w:t>
      </w:r>
    </w:p>
    <w:p w14:paraId="0DC567A1" w14:textId="77777777" w:rsidR="00806431" w:rsidRPr="00806431" w:rsidRDefault="00806431">
      <w:pPr>
        <w:pStyle w:val="ccc16d0"/>
        <w:numPr>
          <w:ilvl w:val="0"/>
          <w:numId w:val="58"/>
        </w:numPr>
        <w:spacing w:line="300" w:lineRule="atLeast"/>
        <w:rPr>
          <w:color w:val="000000"/>
          <w:sz w:val="21"/>
          <w:szCs w:val="21"/>
        </w:rPr>
      </w:pPr>
      <w:r w:rsidRPr="00806431">
        <w:rPr>
          <w:rStyle w:val="Strong"/>
          <w:color w:val="000000"/>
          <w:sz w:val="21"/>
          <w:szCs w:val="21"/>
        </w:rPr>
        <w:t>Diagnostic delay/uncertainty in care</w:t>
      </w:r>
    </w:p>
    <w:p w14:paraId="69254D7F" w14:textId="77777777" w:rsidR="00806431" w:rsidRPr="00806431" w:rsidRDefault="00806431">
      <w:pPr>
        <w:pStyle w:val="ccc16d0"/>
        <w:numPr>
          <w:ilvl w:val="0"/>
          <w:numId w:val="58"/>
        </w:numPr>
        <w:spacing w:line="300" w:lineRule="atLeast"/>
        <w:rPr>
          <w:color w:val="000000"/>
          <w:sz w:val="21"/>
          <w:szCs w:val="21"/>
        </w:rPr>
      </w:pPr>
      <w:r w:rsidRPr="00806431">
        <w:rPr>
          <w:rStyle w:val="Strong"/>
          <w:color w:val="000000"/>
          <w:sz w:val="21"/>
          <w:szCs w:val="21"/>
        </w:rPr>
        <w:t>Treatment burden and navigation</w:t>
      </w:r>
    </w:p>
    <w:p w14:paraId="571B0250"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Example indicators</w:t>
      </w:r>
    </w:p>
    <w:p w14:paraId="42349699" w14:textId="77777777" w:rsidR="00806431" w:rsidRPr="00806431" w:rsidRDefault="00806431">
      <w:pPr>
        <w:pStyle w:val="ccc16d0"/>
        <w:numPr>
          <w:ilvl w:val="0"/>
          <w:numId w:val="59"/>
        </w:numPr>
        <w:spacing w:line="300" w:lineRule="atLeast"/>
        <w:rPr>
          <w:color w:val="000000"/>
          <w:sz w:val="21"/>
          <w:szCs w:val="21"/>
        </w:rPr>
      </w:pPr>
      <w:r w:rsidRPr="00806431">
        <w:rPr>
          <w:color w:val="000000"/>
          <w:sz w:val="21"/>
          <w:szCs w:val="21"/>
        </w:rPr>
        <w:t>“Participants felt dismissed by providers.”</w:t>
      </w:r>
    </w:p>
    <w:p w14:paraId="768235C2" w14:textId="77777777" w:rsidR="00806431" w:rsidRPr="00806431" w:rsidRDefault="00806431">
      <w:pPr>
        <w:pStyle w:val="ccc16d0"/>
        <w:numPr>
          <w:ilvl w:val="0"/>
          <w:numId w:val="59"/>
        </w:numPr>
        <w:spacing w:line="300" w:lineRule="atLeast"/>
        <w:rPr>
          <w:color w:val="000000"/>
          <w:sz w:val="21"/>
          <w:szCs w:val="21"/>
        </w:rPr>
      </w:pPr>
      <w:r w:rsidRPr="00806431">
        <w:rPr>
          <w:color w:val="000000"/>
          <w:sz w:val="21"/>
          <w:szCs w:val="21"/>
        </w:rPr>
        <w:t>“Care was fragmented across services and specialties.”</w:t>
      </w:r>
    </w:p>
    <w:p w14:paraId="7C554CEF"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Decision rules</w:t>
      </w:r>
    </w:p>
    <w:p w14:paraId="6F755798" w14:textId="77777777" w:rsidR="00806431" w:rsidRPr="00806431" w:rsidRDefault="00806431">
      <w:pPr>
        <w:pStyle w:val="ccc16d0"/>
        <w:numPr>
          <w:ilvl w:val="0"/>
          <w:numId w:val="60"/>
        </w:numPr>
        <w:spacing w:line="300" w:lineRule="atLeast"/>
        <w:rPr>
          <w:color w:val="000000"/>
          <w:sz w:val="21"/>
          <w:szCs w:val="21"/>
        </w:rPr>
      </w:pPr>
      <w:r w:rsidRPr="00806431">
        <w:rPr>
          <w:color w:val="000000"/>
          <w:sz w:val="21"/>
          <w:szCs w:val="21"/>
        </w:rPr>
        <w:t>Use this domain when the source of invalidation is clinical or institutional.</w:t>
      </w:r>
    </w:p>
    <w:p w14:paraId="03AE5C48" w14:textId="77777777" w:rsidR="00806431" w:rsidRPr="00806431" w:rsidRDefault="00806431">
      <w:pPr>
        <w:pStyle w:val="ccc16d0"/>
        <w:numPr>
          <w:ilvl w:val="0"/>
          <w:numId w:val="60"/>
        </w:numPr>
        <w:spacing w:line="300" w:lineRule="atLeast"/>
        <w:rPr>
          <w:color w:val="000000"/>
          <w:sz w:val="21"/>
          <w:szCs w:val="21"/>
        </w:rPr>
      </w:pPr>
      <w:r w:rsidRPr="00806431">
        <w:rPr>
          <w:color w:val="000000"/>
          <w:sz w:val="21"/>
          <w:szCs w:val="21"/>
        </w:rPr>
        <w:t>If the finding concerns inequity, stigma, or power beyond clinical institutions, consider</w:t>
      </w:r>
      <w:r w:rsidRPr="00806431">
        <w:rPr>
          <w:rStyle w:val="apple-converted-space"/>
          <w:color w:val="000000"/>
          <w:sz w:val="21"/>
          <w:szCs w:val="21"/>
        </w:rPr>
        <w:t> </w:t>
      </w:r>
      <w:r w:rsidRPr="00806431">
        <w:rPr>
          <w:rStyle w:val="Strong"/>
          <w:color w:val="000000"/>
          <w:sz w:val="21"/>
          <w:szCs w:val="21"/>
        </w:rPr>
        <w:t>Cultural</w:t>
      </w:r>
      <w:r w:rsidRPr="00806431">
        <w:rPr>
          <w:rStyle w:val="apple-converted-space"/>
          <w:color w:val="000000"/>
          <w:sz w:val="21"/>
          <w:szCs w:val="21"/>
        </w:rPr>
        <w:t> </w:t>
      </w:r>
      <w:r w:rsidRPr="00806431">
        <w:rPr>
          <w:color w:val="000000"/>
          <w:sz w:val="21"/>
          <w:szCs w:val="21"/>
        </w:rPr>
        <w:t>or</w:t>
      </w:r>
      <w:r w:rsidRPr="00806431">
        <w:rPr>
          <w:rStyle w:val="apple-converted-space"/>
          <w:color w:val="000000"/>
          <w:sz w:val="21"/>
          <w:szCs w:val="21"/>
        </w:rPr>
        <w:t> </w:t>
      </w:r>
      <w:r w:rsidRPr="00806431">
        <w:rPr>
          <w:rStyle w:val="Strong"/>
          <w:color w:val="000000"/>
          <w:sz w:val="21"/>
          <w:szCs w:val="21"/>
        </w:rPr>
        <w:t>Ecological</w:t>
      </w:r>
      <w:r w:rsidRPr="00806431">
        <w:rPr>
          <w:rStyle w:val="apple-converted-space"/>
          <w:color w:val="000000"/>
          <w:sz w:val="21"/>
          <w:szCs w:val="21"/>
        </w:rPr>
        <w:t> </w:t>
      </w:r>
      <w:r w:rsidRPr="00806431">
        <w:rPr>
          <w:color w:val="000000"/>
          <w:sz w:val="21"/>
          <w:szCs w:val="21"/>
        </w:rPr>
        <w:t>as secondary or primary, depending on emphasis.</w:t>
      </w:r>
    </w:p>
    <w:p w14:paraId="5316E596" w14:textId="0D5C53E1" w:rsidR="00806431" w:rsidRPr="00806431" w:rsidRDefault="00806431" w:rsidP="00806431">
      <w:pPr>
        <w:spacing w:line="300" w:lineRule="atLeast"/>
        <w:rPr>
          <w:color w:val="000000"/>
          <w:sz w:val="21"/>
          <w:szCs w:val="21"/>
        </w:rPr>
      </w:pPr>
    </w:p>
    <w:p w14:paraId="30728482" w14:textId="77777777" w:rsidR="00806431" w:rsidRPr="00BD723C" w:rsidRDefault="00806431" w:rsidP="00806431">
      <w:pPr>
        <w:pStyle w:val="Heading2"/>
        <w:spacing w:line="300" w:lineRule="atLeast"/>
        <w:rPr>
          <w:rFonts w:ascii="Times New Roman" w:hAnsi="Times New Roman" w:cs="Times New Roman"/>
          <w:b/>
          <w:bCs/>
          <w:color w:val="000000"/>
          <w:sz w:val="28"/>
          <w:szCs w:val="28"/>
        </w:rPr>
      </w:pPr>
      <w:r w:rsidRPr="00BD723C">
        <w:rPr>
          <w:rFonts w:ascii="Times New Roman" w:hAnsi="Times New Roman" w:cs="Times New Roman"/>
          <w:b/>
          <w:bCs/>
          <w:color w:val="000000"/>
          <w:sz w:val="28"/>
          <w:szCs w:val="28"/>
        </w:rPr>
        <w:lastRenderedPageBreak/>
        <w:t>6. Cultural Domain</w:t>
      </w:r>
    </w:p>
    <w:p w14:paraId="57688ACF" w14:textId="77777777" w:rsidR="00BD723C" w:rsidRPr="00BD723C" w:rsidRDefault="00806431" w:rsidP="00BD723C">
      <w:pPr>
        <w:pStyle w:val="Heading3"/>
        <w:snapToGrid w:val="0"/>
        <w:spacing w:line="300" w:lineRule="atLeast"/>
        <w:contextualSpacing/>
        <w:rPr>
          <w:rFonts w:cs="Times New Roman"/>
          <w:b/>
          <w:bCs/>
          <w:color w:val="000000"/>
        </w:rPr>
      </w:pPr>
      <w:r w:rsidRPr="00BD723C">
        <w:rPr>
          <w:rFonts w:cs="Times New Roman"/>
          <w:b/>
          <w:bCs/>
          <w:color w:val="000000"/>
        </w:rPr>
        <w:t>Definition</w:t>
      </w:r>
    </w:p>
    <w:p w14:paraId="529370D0" w14:textId="6A0EDE06" w:rsidR="00806431" w:rsidRPr="00BD723C" w:rsidRDefault="00806431" w:rsidP="00BD723C">
      <w:pPr>
        <w:pStyle w:val="Heading3"/>
        <w:snapToGrid w:val="0"/>
        <w:spacing w:line="300" w:lineRule="atLeast"/>
        <w:contextualSpacing/>
        <w:rPr>
          <w:rFonts w:cs="Times New Roman"/>
          <w:color w:val="000000"/>
        </w:rPr>
      </w:pPr>
      <w:r w:rsidRPr="00806431">
        <w:rPr>
          <w:color w:val="000000"/>
          <w:sz w:val="21"/>
          <w:szCs w:val="21"/>
        </w:rPr>
        <w:t>Findings concerning stigma, norms, expectations, moral judgments, cultural interpretations of illness, identity positioning, and legitimacy within wider social meaning systems.</w:t>
      </w:r>
    </w:p>
    <w:p w14:paraId="7D5BCC07"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Include when</w:t>
      </w:r>
    </w:p>
    <w:p w14:paraId="45AF1B09"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Cultural</w:t>
      </w:r>
      <w:r w:rsidRPr="00806431">
        <w:rPr>
          <w:rStyle w:val="apple-converted-space"/>
          <w:color w:val="000000"/>
          <w:sz w:val="21"/>
          <w:szCs w:val="21"/>
        </w:rPr>
        <w:t> </w:t>
      </w:r>
      <w:r w:rsidRPr="00806431">
        <w:rPr>
          <w:color w:val="000000"/>
          <w:sz w:val="21"/>
          <w:szCs w:val="21"/>
        </w:rPr>
        <w:t>when the finding concerns illness as interpreted through norms, values, moral assumptions, or socially shared meaning structures.</w:t>
      </w:r>
    </w:p>
    <w:p w14:paraId="69ACF0B9"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Exclude when</w:t>
      </w:r>
    </w:p>
    <w:p w14:paraId="2A9BDBD9"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Cultural</w:t>
      </w:r>
      <w:r w:rsidRPr="00806431">
        <w:rPr>
          <w:rStyle w:val="apple-converted-space"/>
          <w:color w:val="000000"/>
          <w:sz w:val="21"/>
          <w:szCs w:val="21"/>
        </w:rPr>
        <w:t> </w:t>
      </w:r>
      <w:r w:rsidRPr="00806431">
        <w:rPr>
          <w:color w:val="000000"/>
          <w:sz w:val="21"/>
          <w:szCs w:val="21"/>
        </w:rPr>
        <w:t>if the emphasis is only interpersonal support or only clinical validation.</w:t>
      </w:r>
    </w:p>
    <w:p w14:paraId="384DEA3A"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201F771C" w14:textId="77777777" w:rsidR="00806431" w:rsidRPr="00806431" w:rsidRDefault="00806431">
      <w:pPr>
        <w:pStyle w:val="ccc16d0"/>
        <w:numPr>
          <w:ilvl w:val="0"/>
          <w:numId w:val="61"/>
        </w:numPr>
        <w:spacing w:line="300" w:lineRule="atLeast"/>
        <w:rPr>
          <w:color w:val="000000"/>
          <w:sz w:val="21"/>
          <w:szCs w:val="21"/>
        </w:rPr>
      </w:pPr>
      <w:r w:rsidRPr="00806431">
        <w:rPr>
          <w:rStyle w:val="Strong"/>
          <w:color w:val="000000"/>
          <w:sz w:val="21"/>
          <w:szCs w:val="21"/>
        </w:rPr>
        <w:t>Stigma and moral judgment</w:t>
      </w:r>
    </w:p>
    <w:p w14:paraId="72291DF3" w14:textId="77777777" w:rsidR="00806431" w:rsidRPr="00806431" w:rsidRDefault="00806431">
      <w:pPr>
        <w:pStyle w:val="ccc16d0"/>
        <w:numPr>
          <w:ilvl w:val="0"/>
          <w:numId w:val="61"/>
        </w:numPr>
        <w:spacing w:line="300" w:lineRule="atLeast"/>
        <w:rPr>
          <w:color w:val="000000"/>
          <w:sz w:val="21"/>
          <w:szCs w:val="21"/>
        </w:rPr>
      </w:pPr>
      <w:r w:rsidRPr="00806431">
        <w:rPr>
          <w:rStyle w:val="Strong"/>
          <w:color w:val="000000"/>
          <w:sz w:val="21"/>
          <w:szCs w:val="21"/>
        </w:rPr>
        <w:t>Norms of productivity or normality</w:t>
      </w:r>
    </w:p>
    <w:p w14:paraId="2E6ED6A2" w14:textId="77777777" w:rsidR="00806431" w:rsidRPr="00806431" w:rsidRDefault="00806431">
      <w:pPr>
        <w:pStyle w:val="ccc16d0"/>
        <w:numPr>
          <w:ilvl w:val="0"/>
          <w:numId w:val="61"/>
        </w:numPr>
        <w:spacing w:line="300" w:lineRule="atLeast"/>
        <w:rPr>
          <w:color w:val="000000"/>
          <w:sz w:val="21"/>
          <w:szCs w:val="21"/>
        </w:rPr>
      </w:pPr>
      <w:r w:rsidRPr="00806431">
        <w:rPr>
          <w:rStyle w:val="Strong"/>
          <w:color w:val="000000"/>
          <w:sz w:val="21"/>
          <w:szCs w:val="21"/>
        </w:rPr>
        <w:t>Cultural illness meanings</w:t>
      </w:r>
    </w:p>
    <w:p w14:paraId="6D2CD94B" w14:textId="77777777" w:rsidR="00806431" w:rsidRPr="00806431" w:rsidRDefault="00806431">
      <w:pPr>
        <w:pStyle w:val="ccc16d0"/>
        <w:numPr>
          <w:ilvl w:val="0"/>
          <w:numId w:val="61"/>
        </w:numPr>
        <w:spacing w:line="300" w:lineRule="atLeast"/>
        <w:rPr>
          <w:color w:val="000000"/>
          <w:sz w:val="21"/>
          <w:szCs w:val="21"/>
        </w:rPr>
      </w:pPr>
      <w:r w:rsidRPr="00806431">
        <w:rPr>
          <w:rStyle w:val="Strong"/>
          <w:color w:val="000000"/>
          <w:sz w:val="21"/>
          <w:szCs w:val="21"/>
        </w:rPr>
        <w:t>Identity and legitimacy in social context</w:t>
      </w:r>
    </w:p>
    <w:p w14:paraId="6C990748" w14:textId="77777777" w:rsidR="00806431" w:rsidRPr="00806431" w:rsidRDefault="00806431">
      <w:pPr>
        <w:pStyle w:val="ccc16d0"/>
        <w:numPr>
          <w:ilvl w:val="0"/>
          <w:numId w:val="61"/>
        </w:numPr>
        <w:spacing w:line="300" w:lineRule="atLeast"/>
        <w:rPr>
          <w:color w:val="000000"/>
          <w:sz w:val="21"/>
          <w:szCs w:val="21"/>
        </w:rPr>
      </w:pPr>
      <w:r w:rsidRPr="00806431">
        <w:rPr>
          <w:rStyle w:val="Strong"/>
          <w:color w:val="000000"/>
          <w:sz w:val="21"/>
          <w:szCs w:val="21"/>
        </w:rPr>
        <w:t>Gendered, racialized, or socially patterned illness interpretation</w:t>
      </w:r>
    </w:p>
    <w:p w14:paraId="45B94ADE"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Example indicators</w:t>
      </w:r>
    </w:p>
    <w:p w14:paraId="707A0E46" w14:textId="77777777" w:rsidR="00806431" w:rsidRPr="00806431" w:rsidRDefault="00806431">
      <w:pPr>
        <w:pStyle w:val="ccc16d0"/>
        <w:numPr>
          <w:ilvl w:val="0"/>
          <w:numId w:val="62"/>
        </w:numPr>
        <w:spacing w:line="300" w:lineRule="atLeast"/>
        <w:rPr>
          <w:color w:val="000000"/>
          <w:sz w:val="21"/>
          <w:szCs w:val="21"/>
        </w:rPr>
      </w:pPr>
      <w:r w:rsidRPr="00806431">
        <w:rPr>
          <w:color w:val="000000"/>
          <w:sz w:val="21"/>
          <w:szCs w:val="21"/>
        </w:rPr>
        <w:t>“Participants felt judged for not meeting expectations of normal functioning.”</w:t>
      </w:r>
    </w:p>
    <w:p w14:paraId="1582754A" w14:textId="77777777" w:rsidR="00806431" w:rsidRPr="00806431" w:rsidRDefault="00806431">
      <w:pPr>
        <w:pStyle w:val="ccc16d0"/>
        <w:numPr>
          <w:ilvl w:val="0"/>
          <w:numId w:val="62"/>
        </w:numPr>
        <w:spacing w:line="300" w:lineRule="atLeast"/>
        <w:rPr>
          <w:color w:val="000000"/>
          <w:sz w:val="21"/>
          <w:szCs w:val="21"/>
        </w:rPr>
      </w:pPr>
      <w:r w:rsidRPr="00806431">
        <w:rPr>
          <w:color w:val="000000"/>
          <w:sz w:val="21"/>
          <w:szCs w:val="21"/>
        </w:rPr>
        <w:t>“Illness was interpreted through cultural beliefs about strength and weakness.”</w:t>
      </w:r>
    </w:p>
    <w:p w14:paraId="48DA540D"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Decision rules</w:t>
      </w:r>
    </w:p>
    <w:p w14:paraId="7AD74B17" w14:textId="77777777" w:rsidR="00806431" w:rsidRPr="00806431" w:rsidRDefault="00806431">
      <w:pPr>
        <w:pStyle w:val="ccc16d0"/>
        <w:numPr>
          <w:ilvl w:val="0"/>
          <w:numId w:val="63"/>
        </w:numPr>
        <w:spacing w:line="300" w:lineRule="atLeast"/>
        <w:rPr>
          <w:color w:val="000000"/>
          <w:sz w:val="21"/>
          <w:szCs w:val="21"/>
        </w:rPr>
      </w:pPr>
      <w:r w:rsidRPr="00806431">
        <w:rPr>
          <w:color w:val="000000"/>
          <w:sz w:val="21"/>
          <w:szCs w:val="21"/>
        </w:rPr>
        <w:t>If the finding focuses on institutional power or social determinants,</w:t>
      </w:r>
      <w:r w:rsidRPr="00806431">
        <w:rPr>
          <w:rStyle w:val="apple-converted-space"/>
          <w:color w:val="000000"/>
          <w:sz w:val="21"/>
          <w:szCs w:val="21"/>
        </w:rPr>
        <w:t> </w:t>
      </w:r>
      <w:r w:rsidRPr="00806431">
        <w:rPr>
          <w:rStyle w:val="Strong"/>
          <w:color w:val="000000"/>
          <w:sz w:val="21"/>
          <w:szCs w:val="21"/>
        </w:rPr>
        <w:t>Ecological</w:t>
      </w:r>
      <w:r w:rsidRPr="00806431">
        <w:rPr>
          <w:rStyle w:val="apple-converted-space"/>
          <w:color w:val="000000"/>
          <w:sz w:val="21"/>
          <w:szCs w:val="21"/>
        </w:rPr>
        <w:t> </w:t>
      </w:r>
      <w:r w:rsidRPr="00806431">
        <w:rPr>
          <w:color w:val="000000"/>
          <w:sz w:val="21"/>
          <w:szCs w:val="21"/>
        </w:rPr>
        <w:t>may be more appropriate.</w:t>
      </w:r>
    </w:p>
    <w:p w14:paraId="30689F6D" w14:textId="77777777" w:rsidR="00806431" w:rsidRPr="00806431" w:rsidRDefault="00806431">
      <w:pPr>
        <w:pStyle w:val="ccc16d0"/>
        <w:numPr>
          <w:ilvl w:val="0"/>
          <w:numId w:val="63"/>
        </w:numPr>
        <w:spacing w:line="300" w:lineRule="atLeast"/>
        <w:rPr>
          <w:color w:val="000000"/>
          <w:sz w:val="21"/>
          <w:szCs w:val="21"/>
        </w:rPr>
      </w:pPr>
      <w:r w:rsidRPr="00806431">
        <w:rPr>
          <w:color w:val="000000"/>
          <w:sz w:val="21"/>
          <w:szCs w:val="21"/>
        </w:rPr>
        <w:t>If the issue is mainly family misunderstanding without broader normative structures, use</w:t>
      </w:r>
      <w:r w:rsidRPr="00806431">
        <w:rPr>
          <w:rStyle w:val="apple-converted-space"/>
          <w:color w:val="000000"/>
          <w:sz w:val="21"/>
          <w:szCs w:val="21"/>
        </w:rPr>
        <w:t> </w:t>
      </w:r>
      <w:r w:rsidRPr="00806431">
        <w:rPr>
          <w:rStyle w:val="Strong"/>
          <w:color w:val="000000"/>
          <w:sz w:val="21"/>
          <w:szCs w:val="21"/>
        </w:rPr>
        <w:t>Social</w:t>
      </w:r>
      <w:r w:rsidRPr="00806431">
        <w:rPr>
          <w:color w:val="000000"/>
          <w:sz w:val="21"/>
          <w:szCs w:val="21"/>
        </w:rPr>
        <w:t>.</w:t>
      </w:r>
    </w:p>
    <w:p w14:paraId="38B8EBFE" w14:textId="2A0A9DC1" w:rsidR="00806431" w:rsidRPr="00806431" w:rsidRDefault="00806431" w:rsidP="00806431">
      <w:pPr>
        <w:spacing w:line="300" w:lineRule="atLeast"/>
        <w:rPr>
          <w:color w:val="000000"/>
          <w:sz w:val="21"/>
          <w:szCs w:val="21"/>
        </w:rPr>
      </w:pPr>
    </w:p>
    <w:p w14:paraId="29424F7C" w14:textId="77777777" w:rsidR="00806431" w:rsidRPr="00BD723C" w:rsidRDefault="00806431" w:rsidP="00806431">
      <w:pPr>
        <w:pStyle w:val="Heading2"/>
        <w:spacing w:line="300" w:lineRule="atLeast"/>
        <w:rPr>
          <w:rFonts w:ascii="Times New Roman" w:hAnsi="Times New Roman" w:cs="Times New Roman"/>
          <w:b/>
          <w:bCs/>
          <w:color w:val="000000"/>
          <w:sz w:val="28"/>
          <w:szCs w:val="28"/>
        </w:rPr>
      </w:pPr>
      <w:r w:rsidRPr="00BD723C">
        <w:rPr>
          <w:rFonts w:ascii="Times New Roman" w:hAnsi="Times New Roman" w:cs="Times New Roman"/>
          <w:b/>
          <w:bCs/>
          <w:color w:val="000000"/>
          <w:sz w:val="28"/>
          <w:szCs w:val="28"/>
        </w:rPr>
        <w:t>7. Cognitive Domain</w:t>
      </w:r>
    </w:p>
    <w:p w14:paraId="081FAACD" w14:textId="77777777" w:rsidR="00BD723C" w:rsidRDefault="00806431" w:rsidP="00BD723C">
      <w:pPr>
        <w:pStyle w:val="Heading3"/>
        <w:snapToGrid w:val="0"/>
        <w:spacing w:line="300" w:lineRule="atLeast"/>
        <w:contextualSpacing/>
        <w:rPr>
          <w:rFonts w:cs="Times New Roman"/>
          <w:b/>
          <w:bCs/>
          <w:color w:val="000000"/>
        </w:rPr>
      </w:pPr>
      <w:r w:rsidRPr="00BD723C">
        <w:rPr>
          <w:rFonts w:cs="Times New Roman"/>
          <w:b/>
          <w:bCs/>
          <w:color w:val="000000"/>
        </w:rPr>
        <w:t>Definition</w:t>
      </w:r>
    </w:p>
    <w:p w14:paraId="65DE8659" w14:textId="6915E5D9" w:rsidR="00806431" w:rsidRPr="00BD723C" w:rsidRDefault="00806431" w:rsidP="00BD723C">
      <w:pPr>
        <w:pStyle w:val="Heading3"/>
        <w:snapToGrid w:val="0"/>
        <w:spacing w:line="300" w:lineRule="atLeast"/>
        <w:contextualSpacing/>
        <w:rPr>
          <w:rFonts w:cs="Times New Roman"/>
          <w:b/>
          <w:bCs/>
          <w:color w:val="000000"/>
        </w:rPr>
      </w:pPr>
      <w:r w:rsidRPr="00806431">
        <w:rPr>
          <w:color w:val="000000"/>
          <w:sz w:val="21"/>
          <w:szCs w:val="21"/>
        </w:rPr>
        <w:t>Findings concerning interpretation, uncertainty, illness representation, decision-making, sense-making, anticipation, and efforts to understand symptoms or illness trajectories.</w:t>
      </w:r>
    </w:p>
    <w:p w14:paraId="24D4F28E"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Include when</w:t>
      </w:r>
    </w:p>
    <w:p w14:paraId="1869EC7B"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Cognitive</w:t>
      </w:r>
      <w:r w:rsidRPr="00806431">
        <w:rPr>
          <w:rStyle w:val="apple-converted-space"/>
          <w:color w:val="000000"/>
          <w:sz w:val="21"/>
          <w:szCs w:val="21"/>
        </w:rPr>
        <w:t> </w:t>
      </w:r>
      <w:r w:rsidRPr="00806431">
        <w:rPr>
          <w:color w:val="000000"/>
          <w:sz w:val="21"/>
          <w:szCs w:val="21"/>
        </w:rPr>
        <w:t>when the main issue is how individuals interpret, think about, predict, or make sense of illness.</w:t>
      </w:r>
    </w:p>
    <w:p w14:paraId="32A1FBAF"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lastRenderedPageBreak/>
        <w:t>Exclude when</w:t>
      </w:r>
    </w:p>
    <w:p w14:paraId="0B41299E"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Cognitive</w:t>
      </w:r>
      <w:r w:rsidRPr="00806431">
        <w:rPr>
          <w:rStyle w:val="apple-converted-space"/>
          <w:color w:val="000000"/>
          <w:sz w:val="21"/>
          <w:szCs w:val="21"/>
        </w:rPr>
        <w:t> </w:t>
      </w:r>
      <w:r w:rsidRPr="00806431">
        <w:rPr>
          <w:color w:val="000000"/>
          <w:sz w:val="21"/>
          <w:szCs w:val="21"/>
        </w:rPr>
        <w:t>if the emphasis is affective distress or healthcare-system response rather than interpretive processing.</w:t>
      </w:r>
    </w:p>
    <w:p w14:paraId="5DE638FC"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64250A4A" w14:textId="77777777" w:rsidR="00806431" w:rsidRPr="00806431" w:rsidRDefault="00806431">
      <w:pPr>
        <w:pStyle w:val="ccc16d0"/>
        <w:numPr>
          <w:ilvl w:val="0"/>
          <w:numId w:val="64"/>
        </w:numPr>
        <w:spacing w:line="300" w:lineRule="atLeast"/>
        <w:rPr>
          <w:color w:val="000000"/>
          <w:sz w:val="21"/>
          <w:szCs w:val="21"/>
        </w:rPr>
      </w:pPr>
      <w:r w:rsidRPr="00806431">
        <w:rPr>
          <w:rStyle w:val="Strong"/>
          <w:color w:val="000000"/>
          <w:sz w:val="21"/>
          <w:szCs w:val="21"/>
        </w:rPr>
        <w:t>Uncertainty and ambiguity</w:t>
      </w:r>
    </w:p>
    <w:p w14:paraId="7C08A48D" w14:textId="77777777" w:rsidR="00806431" w:rsidRPr="00806431" w:rsidRDefault="00806431">
      <w:pPr>
        <w:pStyle w:val="ccc16d0"/>
        <w:numPr>
          <w:ilvl w:val="0"/>
          <w:numId w:val="64"/>
        </w:numPr>
        <w:spacing w:line="300" w:lineRule="atLeast"/>
        <w:rPr>
          <w:color w:val="000000"/>
          <w:sz w:val="21"/>
          <w:szCs w:val="21"/>
        </w:rPr>
      </w:pPr>
      <w:r w:rsidRPr="00806431">
        <w:rPr>
          <w:rStyle w:val="Strong"/>
          <w:color w:val="000000"/>
          <w:sz w:val="21"/>
          <w:szCs w:val="21"/>
        </w:rPr>
        <w:t>Sense-making and explanation seeking</w:t>
      </w:r>
    </w:p>
    <w:p w14:paraId="729DB619" w14:textId="77777777" w:rsidR="00806431" w:rsidRPr="00806431" w:rsidRDefault="00806431">
      <w:pPr>
        <w:pStyle w:val="ccc16d0"/>
        <w:numPr>
          <w:ilvl w:val="0"/>
          <w:numId w:val="64"/>
        </w:numPr>
        <w:spacing w:line="300" w:lineRule="atLeast"/>
        <w:rPr>
          <w:color w:val="000000"/>
          <w:sz w:val="21"/>
          <w:szCs w:val="21"/>
        </w:rPr>
      </w:pPr>
      <w:r w:rsidRPr="00806431">
        <w:rPr>
          <w:rStyle w:val="Strong"/>
          <w:color w:val="000000"/>
          <w:sz w:val="21"/>
          <w:szCs w:val="21"/>
        </w:rPr>
        <w:t>Illness beliefs/representations</w:t>
      </w:r>
    </w:p>
    <w:p w14:paraId="275FC71B" w14:textId="77777777" w:rsidR="00806431" w:rsidRPr="00806431" w:rsidRDefault="00806431">
      <w:pPr>
        <w:pStyle w:val="ccc16d0"/>
        <w:numPr>
          <w:ilvl w:val="0"/>
          <w:numId w:val="64"/>
        </w:numPr>
        <w:spacing w:line="300" w:lineRule="atLeast"/>
        <w:rPr>
          <w:color w:val="000000"/>
          <w:sz w:val="21"/>
          <w:szCs w:val="21"/>
        </w:rPr>
      </w:pPr>
      <w:r w:rsidRPr="00806431">
        <w:rPr>
          <w:rStyle w:val="Strong"/>
          <w:color w:val="000000"/>
          <w:sz w:val="21"/>
          <w:szCs w:val="21"/>
        </w:rPr>
        <w:t>Decision-making and planning</w:t>
      </w:r>
    </w:p>
    <w:p w14:paraId="2066318D" w14:textId="77777777" w:rsidR="00806431" w:rsidRPr="00806431" w:rsidRDefault="00806431">
      <w:pPr>
        <w:pStyle w:val="ccc16d0"/>
        <w:numPr>
          <w:ilvl w:val="0"/>
          <w:numId w:val="64"/>
        </w:numPr>
        <w:spacing w:line="300" w:lineRule="atLeast"/>
        <w:rPr>
          <w:color w:val="000000"/>
          <w:sz w:val="21"/>
          <w:szCs w:val="21"/>
        </w:rPr>
      </w:pPr>
      <w:r w:rsidRPr="00806431">
        <w:rPr>
          <w:rStyle w:val="Strong"/>
          <w:color w:val="000000"/>
          <w:sz w:val="21"/>
          <w:szCs w:val="21"/>
        </w:rPr>
        <w:t>Future orientation and anticipation</w:t>
      </w:r>
    </w:p>
    <w:p w14:paraId="0B87A06E"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Example indicators</w:t>
      </w:r>
    </w:p>
    <w:p w14:paraId="6D2243E5" w14:textId="77777777" w:rsidR="00806431" w:rsidRPr="00806431" w:rsidRDefault="00806431">
      <w:pPr>
        <w:pStyle w:val="ccc16d0"/>
        <w:numPr>
          <w:ilvl w:val="0"/>
          <w:numId w:val="65"/>
        </w:numPr>
        <w:spacing w:line="300" w:lineRule="atLeast"/>
        <w:rPr>
          <w:color w:val="000000"/>
          <w:sz w:val="21"/>
          <w:szCs w:val="21"/>
        </w:rPr>
      </w:pPr>
      <w:r w:rsidRPr="00806431">
        <w:rPr>
          <w:color w:val="000000"/>
          <w:sz w:val="21"/>
          <w:szCs w:val="21"/>
        </w:rPr>
        <w:t>“Participants struggled to make sense of fluctuating symptoms.”</w:t>
      </w:r>
    </w:p>
    <w:p w14:paraId="5693A146" w14:textId="77777777" w:rsidR="00806431" w:rsidRPr="00806431" w:rsidRDefault="00806431">
      <w:pPr>
        <w:pStyle w:val="ccc16d0"/>
        <w:numPr>
          <w:ilvl w:val="0"/>
          <w:numId w:val="65"/>
        </w:numPr>
        <w:spacing w:line="300" w:lineRule="atLeast"/>
        <w:rPr>
          <w:color w:val="000000"/>
          <w:sz w:val="21"/>
          <w:szCs w:val="21"/>
        </w:rPr>
      </w:pPr>
      <w:r w:rsidRPr="00806431">
        <w:rPr>
          <w:color w:val="000000"/>
          <w:sz w:val="21"/>
          <w:szCs w:val="21"/>
        </w:rPr>
        <w:t>“Uncertainty about what the illness meant shaped planning.”</w:t>
      </w:r>
    </w:p>
    <w:p w14:paraId="789EE8A5"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Decision rules</w:t>
      </w:r>
    </w:p>
    <w:p w14:paraId="03500991" w14:textId="77777777" w:rsidR="00806431" w:rsidRPr="00806431" w:rsidRDefault="00806431">
      <w:pPr>
        <w:pStyle w:val="ccc16d0"/>
        <w:numPr>
          <w:ilvl w:val="0"/>
          <w:numId w:val="66"/>
        </w:numPr>
        <w:spacing w:line="300" w:lineRule="atLeast"/>
        <w:rPr>
          <w:color w:val="000000"/>
          <w:sz w:val="21"/>
          <w:szCs w:val="21"/>
        </w:rPr>
      </w:pPr>
      <w:r w:rsidRPr="00806431">
        <w:rPr>
          <w:color w:val="000000"/>
          <w:sz w:val="21"/>
          <w:szCs w:val="21"/>
        </w:rPr>
        <w:t>If uncertainty is primarily emotional, use</w:t>
      </w:r>
      <w:r w:rsidRPr="00806431">
        <w:rPr>
          <w:rStyle w:val="apple-converted-space"/>
          <w:color w:val="000000"/>
          <w:sz w:val="21"/>
          <w:szCs w:val="21"/>
        </w:rPr>
        <w:t> </w:t>
      </w:r>
      <w:r w:rsidRPr="00806431">
        <w:rPr>
          <w:rStyle w:val="Strong"/>
          <w:color w:val="000000"/>
          <w:sz w:val="21"/>
          <w:szCs w:val="21"/>
        </w:rPr>
        <w:t>Psychological</w:t>
      </w:r>
      <w:r w:rsidRPr="00806431">
        <w:rPr>
          <w:rStyle w:val="apple-converted-space"/>
          <w:color w:val="000000"/>
          <w:sz w:val="21"/>
          <w:szCs w:val="21"/>
        </w:rPr>
        <w:t> </w:t>
      </w:r>
      <w:r w:rsidRPr="00806431">
        <w:rPr>
          <w:color w:val="000000"/>
          <w:sz w:val="21"/>
          <w:szCs w:val="21"/>
        </w:rPr>
        <w:t>secondarily or primarily, depending on emphasis.</w:t>
      </w:r>
    </w:p>
    <w:p w14:paraId="308BAA76" w14:textId="77777777" w:rsidR="00806431" w:rsidRPr="00806431" w:rsidRDefault="00806431">
      <w:pPr>
        <w:pStyle w:val="ccc16d0"/>
        <w:numPr>
          <w:ilvl w:val="0"/>
          <w:numId w:val="66"/>
        </w:numPr>
        <w:spacing w:line="300" w:lineRule="atLeast"/>
        <w:rPr>
          <w:color w:val="000000"/>
          <w:sz w:val="21"/>
          <w:szCs w:val="21"/>
        </w:rPr>
      </w:pPr>
      <w:r w:rsidRPr="00806431">
        <w:rPr>
          <w:color w:val="000000"/>
          <w:sz w:val="21"/>
          <w:szCs w:val="21"/>
        </w:rPr>
        <w:t>If uncertainty is tied to diagnostic processes in healthcare, consider</w:t>
      </w:r>
      <w:r w:rsidRPr="00806431">
        <w:rPr>
          <w:rStyle w:val="apple-converted-space"/>
          <w:color w:val="000000"/>
          <w:sz w:val="21"/>
          <w:szCs w:val="21"/>
        </w:rPr>
        <w:t> </w:t>
      </w:r>
      <w:r w:rsidRPr="00806431">
        <w:rPr>
          <w:rStyle w:val="Strong"/>
          <w:color w:val="000000"/>
          <w:sz w:val="21"/>
          <w:szCs w:val="21"/>
        </w:rPr>
        <w:t>Healthcare/System</w:t>
      </w:r>
      <w:r w:rsidRPr="00806431">
        <w:rPr>
          <w:color w:val="000000"/>
          <w:sz w:val="21"/>
          <w:szCs w:val="21"/>
        </w:rPr>
        <w:t>.</w:t>
      </w:r>
    </w:p>
    <w:p w14:paraId="79173FD7" w14:textId="7452C5BC" w:rsidR="00806431" w:rsidRPr="00806431" w:rsidRDefault="00806431" w:rsidP="00806431">
      <w:pPr>
        <w:spacing w:line="300" w:lineRule="atLeast"/>
        <w:rPr>
          <w:color w:val="000000"/>
          <w:sz w:val="21"/>
          <w:szCs w:val="21"/>
        </w:rPr>
      </w:pPr>
    </w:p>
    <w:p w14:paraId="0BF91D2F" w14:textId="77777777" w:rsidR="00806431" w:rsidRPr="00BD723C" w:rsidRDefault="00806431" w:rsidP="00806431">
      <w:pPr>
        <w:pStyle w:val="Heading2"/>
        <w:spacing w:line="300" w:lineRule="atLeast"/>
        <w:rPr>
          <w:rFonts w:ascii="Times New Roman" w:hAnsi="Times New Roman" w:cs="Times New Roman"/>
          <w:b/>
          <w:bCs/>
          <w:color w:val="000000"/>
          <w:sz w:val="28"/>
          <w:szCs w:val="28"/>
        </w:rPr>
      </w:pPr>
      <w:r w:rsidRPr="00BD723C">
        <w:rPr>
          <w:rFonts w:ascii="Times New Roman" w:hAnsi="Times New Roman" w:cs="Times New Roman"/>
          <w:b/>
          <w:bCs/>
          <w:color w:val="000000"/>
          <w:sz w:val="28"/>
          <w:szCs w:val="28"/>
        </w:rPr>
        <w:t>8. Environmental Domain</w:t>
      </w:r>
    </w:p>
    <w:p w14:paraId="48AF86C8" w14:textId="77777777" w:rsidR="00BD723C" w:rsidRDefault="00806431" w:rsidP="00BD723C">
      <w:pPr>
        <w:pStyle w:val="Heading3"/>
        <w:snapToGrid w:val="0"/>
        <w:spacing w:line="300" w:lineRule="atLeast"/>
        <w:contextualSpacing/>
        <w:rPr>
          <w:rFonts w:cs="Times New Roman"/>
          <w:b/>
          <w:bCs/>
          <w:color w:val="000000"/>
        </w:rPr>
      </w:pPr>
      <w:r w:rsidRPr="00BD723C">
        <w:rPr>
          <w:rFonts w:cs="Times New Roman"/>
          <w:b/>
          <w:bCs/>
          <w:color w:val="000000"/>
        </w:rPr>
        <w:t>Definition</w:t>
      </w:r>
    </w:p>
    <w:p w14:paraId="5565A82B" w14:textId="7AFFF6E4" w:rsidR="00806431" w:rsidRPr="00BD723C" w:rsidRDefault="00806431" w:rsidP="00BD723C">
      <w:pPr>
        <w:pStyle w:val="Heading3"/>
        <w:snapToGrid w:val="0"/>
        <w:spacing w:line="300" w:lineRule="atLeast"/>
        <w:contextualSpacing/>
        <w:rPr>
          <w:rFonts w:cs="Times New Roman"/>
          <w:b/>
          <w:bCs/>
          <w:color w:val="000000"/>
        </w:rPr>
      </w:pPr>
      <w:r w:rsidRPr="00806431">
        <w:rPr>
          <w:color w:val="000000"/>
          <w:sz w:val="21"/>
          <w:szCs w:val="21"/>
        </w:rPr>
        <w:t>Findings concerning physical surroundings, built environments, accessibility, geography, place, and practical environmental constraints shaping illness experience.</w:t>
      </w:r>
    </w:p>
    <w:p w14:paraId="37F1515D" w14:textId="10D28D89"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Include when</w:t>
      </w:r>
    </w:p>
    <w:p w14:paraId="3FCB2B29"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Environmental</w:t>
      </w:r>
      <w:r w:rsidRPr="00806431">
        <w:rPr>
          <w:rStyle w:val="apple-converted-space"/>
          <w:color w:val="000000"/>
          <w:sz w:val="21"/>
          <w:szCs w:val="21"/>
        </w:rPr>
        <w:t> </w:t>
      </w:r>
      <w:r w:rsidRPr="00806431">
        <w:rPr>
          <w:color w:val="000000"/>
          <w:sz w:val="21"/>
          <w:szCs w:val="21"/>
        </w:rPr>
        <w:t>when the main emphasis is on physical or spatial context.</w:t>
      </w:r>
    </w:p>
    <w:p w14:paraId="70439D95"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Exclude when</w:t>
      </w:r>
    </w:p>
    <w:p w14:paraId="6D01473A"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Environmental</w:t>
      </w:r>
      <w:r w:rsidRPr="00806431">
        <w:rPr>
          <w:rStyle w:val="apple-converted-space"/>
          <w:color w:val="000000"/>
          <w:sz w:val="21"/>
          <w:szCs w:val="21"/>
        </w:rPr>
        <w:t> </w:t>
      </w:r>
      <w:r w:rsidRPr="00806431">
        <w:rPr>
          <w:color w:val="000000"/>
          <w:sz w:val="21"/>
          <w:szCs w:val="21"/>
        </w:rPr>
        <w:t>for broad social structures or institutional systems unless place and environment are central.</w:t>
      </w:r>
    </w:p>
    <w:p w14:paraId="65165DB3"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26158FF1" w14:textId="77777777" w:rsidR="00806431" w:rsidRPr="00806431" w:rsidRDefault="00806431">
      <w:pPr>
        <w:pStyle w:val="ccc16d0"/>
        <w:numPr>
          <w:ilvl w:val="0"/>
          <w:numId w:val="67"/>
        </w:numPr>
        <w:spacing w:line="300" w:lineRule="atLeast"/>
        <w:rPr>
          <w:color w:val="000000"/>
          <w:sz w:val="21"/>
          <w:szCs w:val="21"/>
        </w:rPr>
      </w:pPr>
      <w:r w:rsidRPr="00806431">
        <w:rPr>
          <w:rStyle w:val="Strong"/>
          <w:color w:val="000000"/>
          <w:sz w:val="21"/>
          <w:szCs w:val="21"/>
        </w:rPr>
        <w:t>Accessibility and mobility in place</w:t>
      </w:r>
    </w:p>
    <w:p w14:paraId="243FEA51" w14:textId="77777777" w:rsidR="00806431" w:rsidRPr="00806431" w:rsidRDefault="00806431">
      <w:pPr>
        <w:pStyle w:val="ccc16d0"/>
        <w:numPr>
          <w:ilvl w:val="0"/>
          <w:numId w:val="67"/>
        </w:numPr>
        <w:spacing w:line="300" w:lineRule="atLeast"/>
        <w:rPr>
          <w:color w:val="000000"/>
          <w:sz w:val="21"/>
          <w:szCs w:val="21"/>
        </w:rPr>
      </w:pPr>
      <w:r w:rsidRPr="00806431">
        <w:rPr>
          <w:rStyle w:val="Strong"/>
          <w:color w:val="000000"/>
          <w:sz w:val="21"/>
          <w:szCs w:val="21"/>
        </w:rPr>
        <w:t>Home environment and adaptation</w:t>
      </w:r>
    </w:p>
    <w:p w14:paraId="430CF021" w14:textId="77777777" w:rsidR="00806431" w:rsidRPr="00806431" w:rsidRDefault="00806431">
      <w:pPr>
        <w:pStyle w:val="ccc16d0"/>
        <w:numPr>
          <w:ilvl w:val="0"/>
          <w:numId w:val="67"/>
        </w:numPr>
        <w:spacing w:line="300" w:lineRule="atLeast"/>
        <w:rPr>
          <w:color w:val="000000"/>
          <w:sz w:val="21"/>
          <w:szCs w:val="21"/>
        </w:rPr>
      </w:pPr>
      <w:r w:rsidRPr="00806431">
        <w:rPr>
          <w:rStyle w:val="Strong"/>
          <w:color w:val="000000"/>
          <w:sz w:val="21"/>
          <w:szCs w:val="21"/>
        </w:rPr>
        <w:t>Geographic barriers</w:t>
      </w:r>
    </w:p>
    <w:p w14:paraId="6264FF7F" w14:textId="77777777" w:rsidR="00806431" w:rsidRPr="00806431" w:rsidRDefault="00806431">
      <w:pPr>
        <w:pStyle w:val="ccc16d0"/>
        <w:numPr>
          <w:ilvl w:val="0"/>
          <w:numId w:val="67"/>
        </w:numPr>
        <w:spacing w:line="300" w:lineRule="atLeast"/>
        <w:rPr>
          <w:color w:val="000000"/>
          <w:sz w:val="21"/>
          <w:szCs w:val="21"/>
        </w:rPr>
      </w:pPr>
      <w:r w:rsidRPr="00806431">
        <w:rPr>
          <w:rStyle w:val="Strong"/>
          <w:color w:val="000000"/>
          <w:sz w:val="21"/>
          <w:szCs w:val="21"/>
        </w:rPr>
        <w:t>Environmental triggers or constraints</w:t>
      </w:r>
    </w:p>
    <w:p w14:paraId="57AA9F59" w14:textId="77777777" w:rsidR="00806431" w:rsidRPr="00806431" w:rsidRDefault="00806431">
      <w:pPr>
        <w:pStyle w:val="ccc16d0"/>
        <w:numPr>
          <w:ilvl w:val="0"/>
          <w:numId w:val="67"/>
        </w:numPr>
        <w:spacing w:line="300" w:lineRule="atLeast"/>
        <w:rPr>
          <w:color w:val="000000"/>
          <w:sz w:val="21"/>
          <w:szCs w:val="21"/>
        </w:rPr>
      </w:pPr>
      <w:r w:rsidRPr="00806431">
        <w:rPr>
          <w:rStyle w:val="Strong"/>
          <w:color w:val="000000"/>
          <w:sz w:val="21"/>
          <w:szCs w:val="21"/>
        </w:rPr>
        <w:t>Daily environmental negotiation</w:t>
      </w:r>
    </w:p>
    <w:p w14:paraId="47B00EF8"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lastRenderedPageBreak/>
        <w:t>Example indicators</w:t>
      </w:r>
    </w:p>
    <w:p w14:paraId="483B20AD" w14:textId="77777777" w:rsidR="00806431" w:rsidRPr="00806431" w:rsidRDefault="00806431">
      <w:pPr>
        <w:pStyle w:val="ccc16d0"/>
        <w:numPr>
          <w:ilvl w:val="0"/>
          <w:numId w:val="68"/>
        </w:numPr>
        <w:spacing w:line="300" w:lineRule="atLeast"/>
        <w:rPr>
          <w:color w:val="000000"/>
          <w:sz w:val="21"/>
          <w:szCs w:val="21"/>
        </w:rPr>
      </w:pPr>
      <w:r w:rsidRPr="00806431">
        <w:rPr>
          <w:color w:val="000000"/>
          <w:sz w:val="21"/>
          <w:szCs w:val="21"/>
        </w:rPr>
        <w:t>“Participants had to reorganize the home to manage symptoms.”</w:t>
      </w:r>
    </w:p>
    <w:p w14:paraId="1F616BDC" w14:textId="77777777" w:rsidR="00806431" w:rsidRPr="00806431" w:rsidRDefault="00806431">
      <w:pPr>
        <w:pStyle w:val="ccc16d0"/>
        <w:numPr>
          <w:ilvl w:val="0"/>
          <w:numId w:val="68"/>
        </w:numPr>
        <w:spacing w:line="300" w:lineRule="atLeast"/>
        <w:rPr>
          <w:color w:val="000000"/>
          <w:sz w:val="21"/>
          <w:szCs w:val="21"/>
        </w:rPr>
      </w:pPr>
      <w:r w:rsidRPr="00806431">
        <w:rPr>
          <w:color w:val="000000"/>
          <w:sz w:val="21"/>
          <w:szCs w:val="21"/>
        </w:rPr>
        <w:t>“Travel and environmental access limited care and participation.”</w:t>
      </w:r>
    </w:p>
    <w:p w14:paraId="777396AF"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Decision rules</w:t>
      </w:r>
    </w:p>
    <w:p w14:paraId="2868A785" w14:textId="77777777" w:rsidR="00806431" w:rsidRPr="00806431" w:rsidRDefault="00806431">
      <w:pPr>
        <w:pStyle w:val="ccc16d0"/>
        <w:numPr>
          <w:ilvl w:val="0"/>
          <w:numId w:val="69"/>
        </w:numPr>
        <w:spacing w:line="300" w:lineRule="atLeast"/>
        <w:rPr>
          <w:color w:val="000000"/>
          <w:sz w:val="21"/>
          <w:szCs w:val="21"/>
        </w:rPr>
      </w:pPr>
      <w:r w:rsidRPr="00806431">
        <w:rPr>
          <w:color w:val="000000"/>
          <w:sz w:val="21"/>
          <w:szCs w:val="21"/>
        </w:rPr>
        <w:t>If the issue is system access rather than physical place, use</w:t>
      </w:r>
      <w:r w:rsidRPr="00806431">
        <w:rPr>
          <w:rStyle w:val="apple-converted-space"/>
          <w:color w:val="000000"/>
          <w:sz w:val="21"/>
          <w:szCs w:val="21"/>
        </w:rPr>
        <w:t> </w:t>
      </w:r>
      <w:r w:rsidRPr="00806431">
        <w:rPr>
          <w:rStyle w:val="Strong"/>
          <w:color w:val="000000"/>
          <w:sz w:val="21"/>
          <w:szCs w:val="21"/>
        </w:rPr>
        <w:t>Healthcare/System</w:t>
      </w:r>
      <w:r w:rsidRPr="00806431">
        <w:rPr>
          <w:color w:val="000000"/>
          <w:sz w:val="21"/>
          <w:szCs w:val="21"/>
        </w:rPr>
        <w:t>.</w:t>
      </w:r>
    </w:p>
    <w:p w14:paraId="51EF5B2D" w14:textId="77777777" w:rsidR="00806431" w:rsidRPr="00806431" w:rsidRDefault="00806431">
      <w:pPr>
        <w:pStyle w:val="ccc16d0"/>
        <w:numPr>
          <w:ilvl w:val="0"/>
          <w:numId w:val="69"/>
        </w:numPr>
        <w:spacing w:line="300" w:lineRule="atLeast"/>
        <w:rPr>
          <w:color w:val="000000"/>
          <w:sz w:val="21"/>
          <w:szCs w:val="21"/>
        </w:rPr>
      </w:pPr>
      <w:r w:rsidRPr="00806431">
        <w:rPr>
          <w:color w:val="000000"/>
          <w:sz w:val="21"/>
          <w:szCs w:val="21"/>
        </w:rPr>
        <w:t>If the issue concerns wider life systems, social determinants, or contextual interactions, consider</w:t>
      </w:r>
      <w:r w:rsidRPr="00806431">
        <w:rPr>
          <w:rStyle w:val="apple-converted-space"/>
          <w:color w:val="000000"/>
          <w:sz w:val="21"/>
          <w:szCs w:val="21"/>
        </w:rPr>
        <w:t> </w:t>
      </w:r>
      <w:r w:rsidRPr="00806431">
        <w:rPr>
          <w:rStyle w:val="Strong"/>
          <w:color w:val="000000"/>
          <w:sz w:val="21"/>
          <w:szCs w:val="21"/>
        </w:rPr>
        <w:t>Ecological</w:t>
      </w:r>
      <w:r w:rsidRPr="00806431">
        <w:rPr>
          <w:color w:val="000000"/>
          <w:sz w:val="21"/>
          <w:szCs w:val="21"/>
        </w:rPr>
        <w:t>.</w:t>
      </w:r>
    </w:p>
    <w:p w14:paraId="6689C096" w14:textId="2678A839" w:rsidR="00806431" w:rsidRPr="00806431" w:rsidRDefault="00806431" w:rsidP="00806431">
      <w:pPr>
        <w:spacing w:line="300" w:lineRule="atLeast"/>
        <w:rPr>
          <w:color w:val="000000"/>
          <w:sz w:val="21"/>
          <w:szCs w:val="21"/>
        </w:rPr>
      </w:pPr>
    </w:p>
    <w:p w14:paraId="4DAE2244" w14:textId="77777777" w:rsidR="00806431" w:rsidRPr="00BD723C" w:rsidRDefault="00806431" w:rsidP="00806431">
      <w:pPr>
        <w:pStyle w:val="Heading2"/>
        <w:spacing w:line="300" w:lineRule="atLeast"/>
        <w:rPr>
          <w:rFonts w:ascii="Times New Roman" w:hAnsi="Times New Roman" w:cs="Times New Roman"/>
          <w:b/>
          <w:bCs/>
          <w:color w:val="000000"/>
          <w:sz w:val="28"/>
          <w:szCs w:val="28"/>
        </w:rPr>
      </w:pPr>
      <w:r w:rsidRPr="00BD723C">
        <w:rPr>
          <w:rFonts w:ascii="Times New Roman" w:hAnsi="Times New Roman" w:cs="Times New Roman"/>
          <w:b/>
          <w:bCs/>
          <w:color w:val="000000"/>
          <w:sz w:val="28"/>
          <w:szCs w:val="28"/>
        </w:rPr>
        <w:t>9. Ecological Domain</w:t>
      </w:r>
    </w:p>
    <w:p w14:paraId="077E51B9" w14:textId="77777777" w:rsidR="00BD723C" w:rsidRDefault="00806431" w:rsidP="00BD723C">
      <w:pPr>
        <w:pStyle w:val="Heading3"/>
        <w:snapToGrid w:val="0"/>
        <w:spacing w:line="300" w:lineRule="atLeast"/>
        <w:contextualSpacing/>
        <w:rPr>
          <w:rFonts w:cs="Times New Roman"/>
          <w:b/>
          <w:bCs/>
          <w:color w:val="000000"/>
        </w:rPr>
      </w:pPr>
      <w:r w:rsidRPr="00BD723C">
        <w:rPr>
          <w:rFonts w:cs="Times New Roman"/>
          <w:b/>
          <w:bCs/>
          <w:color w:val="000000"/>
        </w:rPr>
        <w:t>Definition</w:t>
      </w:r>
    </w:p>
    <w:p w14:paraId="4C193446" w14:textId="0DEAE5CB" w:rsidR="00806431" w:rsidRPr="00BD723C" w:rsidRDefault="00806431" w:rsidP="00BD723C">
      <w:pPr>
        <w:pStyle w:val="Heading3"/>
        <w:snapToGrid w:val="0"/>
        <w:spacing w:line="300" w:lineRule="atLeast"/>
        <w:contextualSpacing/>
        <w:rPr>
          <w:rFonts w:cs="Times New Roman"/>
          <w:color w:val="000000"/>
        </w:rPr>
      </w:pPr>
      <w:r w:rsidRPr="00806431">
        <w:rPr>
          <w:color w:val="000000"/>
          <w:sz w:val="21"/>
          <w:szCs w:val="21"/>
        </w:rPr>
        <w:t>Findings concerning broader contextual embeddedness, including interactions among illness, family, work, institutions, material conditions, and life systems over time.</w:t>
      </w:r>
    </w:p>
    <w:p w14:paraId="7DF74EF9"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Include when</w:t>
      </w:r>
    </w:p>
    <w:p w14:paraId="139D95BB" w14:textId="77777777" w:rsidR="00806431" w:rsidRPr="00806431" w:rsidRDefault="00806431" w:rsidP="00806431">
      <w:pPr>
        <w:spacing w:line="300" w:lineRule="atLeast"/>
        <w:rPr>
          <w:color w:val="000000"/>
          <w:sz w:val="21"/>
          <w:szCs w:val="21"/>
        </w:rPr>
      </w:pPr>
      <w:r w:rsidRPr="00806431">
        <w:rPr>
          <w:color w:val="000000"/>
          <w:sz w:val="21"/>
          <w:szCs w:val="21"/>
        </w:rPr>
        <w:t>Code to</w:t>
      </w:r>
      <w:r w:rsidRPr="00806431">
        <w:rPr>
          <w:rStyle w:val="apple-converted-space"/>
          <w:color w:val="000000"/>
          <w:sz w:val="21"/>
          <w:szCs w:val="21"/>
        </w:rPr>
        <w:t> </w:t>
      </w:r>
      <w:r w:rsidRPr="00806431">
        <w:rPr>
          <w:rStyle w:val="Strong"/>
          <w:color w:val="000000"/>
          <w:sz w:val="21"/>
          <w:szCs w:val="21"/>
        </w:rPr>
        <w:t>Ecological</w:t>
      </w:r>
      <w:r w:rsidRPr="00806431">
        <w:rPr>
          <w:rStyle w:val="apple-converted-space"/>
          <w:color w:val="000000"/>
          <w:sz w:val="21"/>
          <w:szCs w:val="21"/>
        </w:rPr>
        <w:t> </w:t>
      </w:r>
      <w:r w:rsidRPr="00806431">
        <w:rPr>
          <w:color w:val="000000"/>
          <w:sz w:val="21"/>
          <w:szCs w:val="21"/>
        </w:rPr>
        <w:t>when the finding explicitly concerns multi-level context, systems interaction, or whole-life reorganization beyond a single domain.</w:t>
      </w:r>
    </w:p>
    <w:p w14:paraId="1F85D05F"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Exclude when</w:t>
      </w:r>
    </w:p>
    <w:p w14:paraId="6B979125" w14:textId="77777777" w:rsidR="00806431" w:rsidRPr="00806431" w:rsidRDefault="00806431" w:rsidP="00806431">
      <w:pPr>
        <w:spacing w:line="300" w:lineRule="atLeast"/>
        <w:rPr>
          <w:color w:val="000000"/>
          <w:sz w:val="21"/>
          <w:szCs w:val="21"/>
        </w:rPr>
      </w:pPr>
      <w:r w:rsidRPr="00806431">
        <w:rPr>
          <w:color w:val="000000"/>
          <w:sz w:val="21"/>
          <w:szCs w:val="21"/>
        </w:rPr>
        <w:t>Do not use</w:t>
      </w:r>
      <w:r w:rsidRPr="00806431">
        <w:rPr>
          <w:rStyle w:val="apple-converted-space"/>
          <w:color w:val="000000"/>
          <w:sz w:val="21"/>
          <w:szCs w:val="21"/>
        </w:rPr>
        <w:t> </w:t>
      </w:r>
      <w:r w:rsidRPr="00806431">
        <w:rPr>
          <w:rStyle w:val="Strong"/>
          <w:color w:val="000000"/>
          <w:sz w:val="21"/>
          <w:szCs w:val="21"/>
        </w:rPr>
        <w:t>Ecological</w:t>
      </w:r>
      <w:r w:rsidRPr="00806431">
        <w:rPr>
          <w:rStyle w:val="apple-converted-space"/>
          <w:color w:val="000000"/>
          <w:sz w:val="21"/>
          <w:szCs w:val="21"/>
        </w:rPr>
        <w:t> </w:t>
      </w:r>
      <w:r w:rsidRPr="00806431">
        <w:rPr>
          <w:color w:val="000000"/>
          <w:sz w:val="21"/>
          <w:szCs w:val="21"/>
        </w:rPr>
        <w:t>for ordinary social or environmental findings unless the emphasis is clearly systemic and integrative.</w:t>
      </w:r>
    </w:p>
    <w:p w14:paraId="30A820F8"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Subdomains</w:t>
      </w:r>
    </w:p>
    <w:p w14:paraId="3D058C8E" w14:textId="77777777" w:rsidR="00806431" w:rsidRPr="00806431" w:rsidRDefault="00806431">
      <w:pPr>
        <w:pStyle w:val="ccc16d0"/>
        <w:numPr>
          <w:ilvl w:val="0"/>
          <w:numId w:val="70"/>
        </w:numPr>
        <w:spacing w:line="300" w:lineRule="atLeast"/>
        <w:rPr>
          <w:color w:val="000000"/>
          <w:sz w:val="21"/>
          <w:szCs w:val="21"/>
        </w:rPr>
      </w:pPr>
      <w:r w:rsidRPr="00806431">
        <w:rPr>
          <w:rStyle w:val="Strong"/>
          <w:color w:val="000000"/>
          <w:sz w:val="21"/>
          <w:szCs w:val="21"/>
        </w:rPr>
        <w:t>Whole-life reorganization</w:t>
      </w:r>
    </w:p>
    <w:p w14:paraId="18EE01D9" w14:textId="77777777" w:rsidR="00806431" w:rsidRPr="00806431" w:rsidRDefault="00806431">
      <w:pPr>
        <w:pStyle w:val="ccc16d0"/>
        <w:numPr>
          <w:ilvl w:val="0"/>
          <w:numId w:val="70"/>
        </w:numPr>
        <w:spacing w:line="300" w:lineRule="atLeast"/>
        <w:rPr>
          <w:color w:val="000000"/>
          <w:sz w:val="21"/>
          <w:szCs w:val="21"/>
        </w:rPr>
      </w:pPr>
      <w:r w:rsidRPr="00806431">
        <w:rPr>
          <w:rStyle w:val="Strong"/>
          <w:color w:val="000000"/>
          <w:sz w:val="21"/>
          <w:szCs w:val="21"/>
        </w:rPr>
        <w:t>System interaction across settings</w:t>
      </w:r>
    </w:p>
    <w:p w14:paraId="7DC9A8A3" w14:textId="77777777" w:rsidR="00806431" w:rsidRPr="00806431" w:rsidRDefault="00806431">
      <w:pPr>
        <w:pStyle w:val="ccc16d0"/>
        <w:numPr>
          <w:ilvl w:val="0"/>
          <w:numId w:val="70"/>
        </w:numPr>
        <w:spacing w:line="300" w:lineRule="atLeast"/>
        <w:rPr>
          <w:color w:val="000000"/>
          <w:sz w:val="21"/>
          <w:szCs w:val="21"/>
        </w:rPr>
      </w:pPr>
      <w:r w:rsidRPr="00806431">
        <w:rPr>
          <w:rStyle w:val="Strong"/>
          <w:color w:val="000000"/>
          <w:sz w:val="21"/>
          <w:szCs w:val="21"/>
        </w:rPr>
        <w:t>Structural conditions and constraints</w:t>
      </w:r>
    </w:p>
    <w:p w14:paraId="3C576801" w14:textId="77777777" w:rsidR="00806431" w:rsidRPr="00806431" w:rsidRDefault="00806431">
      <w:pPr>
        <w:pStyle w:val="ccc16d0"/>
        <w:numPr>
          <w:ilvl w:val="0"/>
          <w:numId w:val="70"/>
        </w:numPr>
        <w:spacing w:line="300" w:lineRule="atLeast"/>
        <w:rPr>
          <w:color w:val="000000"/>
          <w:sz w:val="21"/>
          <w:szCs w:val="21"/>
        </w:rPr>
      </w:pPr>
      <w:r w:rsidRPr="00806431">
        <w:rPr>
          <w:rStyle w:val="Strong"/>
          <w:color w:val="000000"/>
          <w:sz w:val="21"/>
          <w:szCs w:val="21"/>
        </w:rPr>
        <w:t>Temporal life-course effects</w:t>
      </w:r>
    </w:p>
    <w:p w14:paraId="003DD2B2" w14:textId="77777777" w:rsidR="00806431" w:rsidRPr="00806431" w:rsidRDefault="00806431">
      <w:pPr>
        <w:pStyle w:val="ccc16d0"/>
        <w:numPr>
          <w:ilvl w:val="0"/>
          <w:numId w:val="70"/>
        </w:numPr>
        <w:spacing w:line="300" w:lineRule="atLeast"/>
        <w:rPr>
          <w:color w:val="000000"/>
          <w:sz w:val="21"/>
          <w:szCs w:val="21"/>
        </w:rPr>
      </w:pPr>
      <w:r w:rsidRPr="00806431">
        <w:rPr>
          <w:rStyle w:val="Strong"/>
          <w:color w:val="000000"/>
          <w:sz w:val="21"/>
          <w:szCs w:val="21"/>
        </w:rPr>
        <w:t>Interdependence across domains</w:t>
      </w:r>
    </w:p>
    <w:p w14:paraId="5EC8B275"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Example indicators</w:t>
      </w:r>
    </w:p>
    <w:p w14:paraId="54730A65" w14:textId="77777777" w:rsidR="00806431" w:rsidRPr="00806431" w:rsidRDefault="00806431">
      <w:pPr>
        <w:pStyle w:val="ccc16d0"/>
        <w:numPr>
          <w:ilvl w:val="0"/>
          <w:numId w:val="71"/>
        </w:numPr>
        <w:spacing w:line="300" w:lineRule="atLeast"/>
        <w:rPr>
          <w:color w:val="000000"/>
          <w:sz w:val="21"/>
          <w:szCs w:val="21"/>
        </w:rPr>
      </w:pPr>
      <w:r w:rsidRPr="00806431">
        <w:rPr>
          <w:color w:val="000000"/>
          <w:sz w:val="21"/>
          <w:szCs w:val="21"/>
        </w:rPr>
        <w:t>“Illness affected relationships, finances, care, and future planning simultaneously.”</w:t>
      </w:r>
    </w:p>
    <w:p w14:paraId="5C62AF63" w14:textId="77777777" w:rsidR="00806431" w:rsidRPr="00806431" w:rsidRDefault="00806431">
      <w:pPr>
        <w:pStyle w:val="ccc16d0"/>
        <w:numPr>
          <w:ilvl w:val="0"/>
          <w:numId w:val="71"/>
        </w:numPr>
        <w:spacing w:line="300" w:lineRule="atLeast"/>
        <w:rPr>
          <w:color w:val="000000"/>
          <w:sz w:val="21"/>
          <w:szCs w:val="21"/>
        </w:rPr>
      </w:pPr>
      <w:r w:rsidRPr="00806431">
        <w:rPr>
          <w:color w:val="000000"/>
          <w:sz w:val="21"/>
          <w:szCs w:val="21"/>
        </w:rPr>
        <w:t>“Participants described illness as reshaping the whole ecology of everyday life.”</w:t>
      </w:r>
    </w:p>
    <w:p w14:paraId="50EF5BFB" w14:textId="77777777" w:rsidR="00806431" w:rsidRPr="00806431" w:rsidRDefault="00806431" w:rsidP="00806431">
      <w:pPr>
        <w:pStyle w:val="Heading3"/>
        <w:spacing w:line="300" w:lineRule="atLeast"/>
        <w:rPr>
          <w:rFonts w:cs="Times New Roman"/>
          <w:color w:val="000000"/>
          <w:sz w:val="27"/>
          <w:szCs w:val="27"/>
        </w:rPr>
      </w:pPr>
      <w:r w:rsidRPr="00806431">
        <w:rPr>
          <w:rFonts w:cs="Times New Roman"/>
          <w:color w:val="000000"/>
        </w:rPr>
        <w:t>Decision rules</w:t>
      </w:r>
    </w:p>
    <w:p w14:paraId="09A87F0F" w14:textId="77777777" w:rsidR="00806431" w:rsidRPr="00806431" w:rsidRDefault="00806431">
      <w:pPr>
        <w:pStyle w:val="ccc16d0"/>
        <w:numPr>
          <w:ilvl w:val="0"/>
          <w:numId w:val="72"/>
        </w:numPr>
        <w:spacing w:line="300" w:lineRule="atLeast"/>
        <w:rPr>
          <w:color w:val="000000"/>
          <w:sz w:val="21"/>
          <w:szCs w:val="21"/>
        </w:rPr>
      </w:pPr>
      <w:r w:rsidRPr="00806431">
        <w:rPr>
          <w:color w:val="000000"/>
          <w:sz w:val="21"/>
          <w:szCs w:val="21"/>
        </w:rPr>
        <w:t>Use</w:t>
      </w:r>
      <w:r w:rsidRPr="00806431">
        <w:rPr>
          <w:rStyle w:val="apple-converted-space"/>
          <w:color w:val="000000"/>
          <w:sz w:val="21"/>
          <w:szCs w:val="21"/>
        </w:rPr>
        <w:t> </w:t>
      </w:r>
      <w:r w:rsidRPr="00806431">
        <w:rPr>
          <w:rStyle w:val="Strong"/>
          <w:color w:val="000000"/>
          <w:sz w:val="21"/>
          <w:szCs w:val="21"/>
        </w:rPr>
        <w:t>Ecological</w:t>
      </w:r>
      <w:r w:rsidRPr="00806431">
        <w:rPr>
          <w:rStyle w:val="apple-converted-space"/>
          <w:color w:val="000000"/>
          <w:sz w:val="21"/>
          <w:szCs w:val="21"/>
        </w:rPr>
        <w:t> </w:t>
      </w:r>
      <w:r w:rsidRPr="00806431">
        <w:rPr>
          <w:color w:val="000000"/>
          <w:sz w:val="21"/>
          <w:szCs w:val="21"/>
        </w:rPr>
        <w:t>when the finding bridges several domains and is explicitly systemic.</w:t>
      </w:r>
    </w:p>
    <w:p w14:paraId="201F11E2" w14:textId="77777777" w:rsidR="00806431" w:rsidRPr="00806431" w:rsidRDefault="00806431">
      <w:pPr>
        <w:pStyle w:val="ccc16d0"/>
        <w:numPr>
          <w:ilvl w:val="0"/>
          <w:numId w:val="72"/>
        </w:numPr>
        <w:spacing w:line="300" w:lineRule="atLeast"/>
        <w:rPr>
          <w:color w:val="000000"/>
          <w:sz w:val="21"/>
          <w:szCs w:val="21"/>
        </w:rPr>
      </w:pPr>
      <w:r w:rsidRPr="00806431">
        <w:rPr>
          <w:color w:val="000000"/>
          <w:sz w:val="21"/>
          <w:szCs w:val="21"/>
        </w:rPr>
        <w:t>If one domain clearly dominates, code that domain as primary and</w:t>
      </w:r>
      <w:r w:rsidRPr="00806431">
        <w:rPr>
          <w:rStyle w:val="apple-converted-space"/>
          <w:color w:val="000000"/>
          <w:sz w:val="21"/>
          <w:szCs w:val="21"/>
        </w:rPr>
        <w:t> </w:t>
      </w:r>
      <w:r w:rsidRPr="00806431">
        <w:rPr>
          <w:rStyle w:val="Strong"/>
          <w:color w:val="000000"/>
          <w:sz w:val="21"/>
          <w:szCs w:val="21"/>
        </w:rPr>
        <w:t>Ecological</w:t>
      </w:r>
      <w:r w:rsidRPr="00806431">
        <w:rPr>
          <w:rStyle w:val="apple-converted-space"/>
          <w:color w:val="000000"/>
          <w:sz w:val="21"/>
          <w:szCs w:val="21"/>
        </w:rPr>
        <w:t> </w:t>
      </w:r>
      <w:r w:rsidRPr="00806431">
        <w:rPr>
          <w:color w:val="000000"/>
          <w:sz w:val="21"/>
          <w:szCs w:val="21"/>
        </w:rPr>
        <w:t>as secondary.</w:t>
      </w:r>
    </w:p>
    <w:p w14:paraId="62FDBDC0" w14:textId="7DDA4DF9" w:rsidR="00806431" w:rsidRPr="00806431" w:rsidRDefault="00806431" w:rsidP="00806431">
      <w:pPr>
        <w:spacing w:line="300" w:lineRule="atLeast"/>
        <w:rPr>
          <w:color w:val="000000"/>
          <w:sz w:val="21"/>
          <w:szCs w:val="21"/>
        </w:rPr>
      </w:pPr>
    </w:p>
    <w:p w14:paraId="3B6566DC" w14:textId="77777777" w:rsidR="00806431" w:rsidRPr="00D65F87" w:rsidRDefault="00806431" w:rsidP="00806431">
      <w:pPr>
        <w:pStyle w:val="Heading1"/>
        <w:spacing w:line="300" w:lineRule="atLeast"/>
        <w:rPr>
          <w:rFonts w:ascii="Times New Roman" w:hAnsi="Times New Roman" w:cs="Times New Roman"/>
          <w:b/>
          <w:bCs/>
          <w:color w:val="000000"/>
          <w:sz w:val="32"/>
          <w:szCs w:val="32"/>
        </w:rPr>
      </w:pPr>
      <w:r w:rsidRPr="00D65F87">
        <w:rPr>
          <w:rFonts w:ascii="Times New Roman" w:hAnsi="Times New Roman" w:cs="Times New Roman"/>
          <w:b/>
          <w:bCs/>
          <w:color w:val="000000"/>
          <w:sz w:val="32"/>
          <w:szCs w:val="32"/>
        </w:rPr>
        <w:t>Phase 1 Cross-Domain Coding Rules</w:t>
      </w:r>
    </w:p>
    <w:p w14:paraId="3C27E648" w14:textId="77777777" w:rsidR="00806431" w:rsidRPr="00D65F87" w:rsidRDefault="00806431" w:rsidP="00806431">
      <w:pPr>
        <w:pStyle w:val="Heading2"/>
        <w:spacing w:line="300" w:lineRule="atLeast"/>
        <w:rPr>
          <w:rFonts w:ascii="Times New Roman" w:hAnsi="Times New Roman" w:cs="Times New Roman"/>
          <w:color w:val="000000"/>
          <w:sz w:val="28"/>
          <w:szCs w:val="28"/>
        </w:rPr>
      </w:pPr>
      <w:r w:rsidRPr="00D65F87">
        <w:rPr>
          <w:rFonts w:ascii="Times New Roman" w:hAnsi="Times New Roman" w:cs="Times New Roman"/>
          <w:color w:val="000000"/>
          <w:sz w:val="28"/>
          <w:szCs w:val="28"/>
        </w:rPr>
        <w:t>Primary code assignment</w:t>
      </w:r>
    </w:p>
    <w:p w14:paraId="61BA2242" w14:textId="77777777" w:rsidR="00806431" w:rsidRPr="00806431" w:rsidRDefault="00806431" w:rsidP="00806431">
      <w:pPr>
        <w:spacing w:line="300" w:lineRule="atLeast"/>
        <w:rPr>
          <w:color w:val="000000"/>
          <w:sz w:val="21"/>
          <w:szCs w:val="21"/>
        </w:rPr>
      </w:pPr>
      <w:r w:rsidRPr="00806431">
        <w:rPr>
          <w:color w:val="000000"/>
          <w:sz w:val="21"/>
          <w:szCs w:val="21"/>
        </w:rPr>
        <w:t>Assign the</w:t>
      </w:r>
      <w:r w:rsidRPr="00806431">
        <w:rPr>
          <w:rStyle w:val="apple-converted-space"/>
          <w:color w:val="000000"/>
          <w:sz w:val="21"/>
          <w:szCs w:val="21"/>
        </w:rPr>
        <w:t> </w:t>
      </w:r>
      <w:r w:rsidRPr="00806431">
        <w:rPr>
          <w:rStyle w:val="Strong"/>
          <w:color w:val="000000"/>
          <w:sz w:val="21"/>
          <w:szCs w:val="21"/>
        </w:rPr>
        <w:t>primary code</w:t>
      </w:r>
      <w:r w:rsidRPr="00806431">
        <w:rPr>
          <w:rStyle w:val="apple-converted-space"/>
          <w:color w:val="000000"/>
          <w:sz w:val="21"/>
          <w:szCs w:val="21"/>
        </w:rPr>
        <w:t> </w:t>
      </w:r>
      <w:r w:rsidRPr="00806431">
        <w:rPr>
          <w:color w:val="000000"/>
          <w:sz w:val="21"/>
          <w:szCs w:val="21"/>
        </w:rPr>
        <w:t>based on the dominant meaning of the finding, not on the number of topics mentioned.</w:t>
      </w:r>
    </w:p>
    <w:p w14:paraId="3CC13078" w14:textId="77777777" w:rsidR="00806431" w:rsidRPr="00D65F87" w:rsidRDefault="00806431" w:rsidP="00806431">
      <w:pPr>
        <w:pStyle w:val="Heading2"/>
        <w:spacing w:line="300" w:lineRule="atLeast"/>
        <w:rPr>
          <w:rFonts w:ascii="Times New Roman" w:hAnsi="Times New Roman" w:cs="Times New Roman"/>
          <w:color w:val="000000"/>
          <w:sz w:val="28"/>
          <w:szCs w:val="28"/>
        </w:rPr>
      </w:pPr>
      <w:r w:rsidRPr="00D65F87">
        <w:rPr>
          <w:rFonts w:ascii="Times New Roman" w:hAnsi="Times New Roman" w:cs="Times New Roman"/>
          <w:color w:val="000000"/>
          <w:sz w:val="28"/>
          <w:szCs w:val="28"/>
        </w:rPr>
        <w:t>Secondary and tertiary codes</w:t>
      </w:r>
    </w:p>
    <w:p w14:paraId="5A6D340C" w14:textId="77777777" w:rsidR="00806431" w:rsidRPr="00806431" w:rsidRDefault="00806431" w:rsidP="00806431">
      <w:pPr>
        <w:spacing w:line="300" w:lineRule="atLeast"/>
        <w:rPr>
          <w:color w:val="000000"/>
          <w:sz w:val="21"/>
          <w:szCs w:val="21"/>
        </w:rPr>
      </w:pPr>
      <w:r w:rsidRPr="00806431">
        <w:rPr>
          <w:color w:val="000000"/>
          <w:sz w:val="21"/>
          <w:szCs w:val="21"/>
        </w:rPr>
        <w:t>Assign</w:t>
      </w:r>
      <w:r w:rsidRPr="00806431">
        <w:rPr>
          <w:rStyle w:val="apple-converted-space"/>
          <w:color w:val="000000"/>
          <w:sz w:val="21"/>
          <w:szCs w:val="21"/>
        </w:rPr>
        <w:t> </w:t>
      </w:r>
      <w:r w:rsidRPr="00806431">
        <w:rPr>
          <w:rStyle w:val="Strong"/>
          <w:color w:val="000000"/>
          <w:sz w:val="21"/>
          <w:szCs w:val="21"/>
        </w:rPr>
        <w:t>secondary</w:t>
      </w:r>
      <w:r w:rsidRPr="00806431">
        <w:rPr>
          <w:rStyle w:val="apple-converted-space"/>
          <w:color w:val="000000"/>
          <w:sz w:val="21"/>
          <w:szCs w:val="21"/>
        </w:rPr>
        <w:t> </w:t>
      </w:r>
      <w:r w:rsidRPr="00806431">
        <w:rPr>
          <w:color w:val="000000"/>
          <w:sz w:val="21"/>
          <w:szCs w:val="21"/>
        </w:rPr>
        <w:t>or</w:t>
      </w:r>
      <w:r w:rsidRPr="00806431">
        <w:rPr>
          <w:rStyle w:val="apple-converted-space"/>
          <w:color w:val="000000"/>
          <w:sz w:val="21"/>
          <w:szCs w:val="21"/>
        </w:rPr>
        <w:t> </w:t>
      </w:r>
      <w:r w:rsidRPr="00806431">
        <w:rPr>
          <w:rStyle w:val="Strong"/>
          <w:color w:val="000000"/>
          <w:sz w:val="21"/>
          <w:szCs w:val="21"/>
        </w:rPr>
        <w:t>tertiary</w:t>
      </w:r>
      <w:r w:rsidRPr="00806431">
        <w:rPr>
          <w:rStyle w:val="apple-converted-space"/>
          <w:color w:val="000000"/>
          <w:sz w:val="21"/>
          <w:szCs w:val="21"/>
        </w:rPr>
        <w:t> </w:t>
      </w:r>
      <w:r w:rsidRPr="00806431">
        <w:rPr>
          <w:color w:val="000000"/>
          <w:sz w:val="21"/>
          <w:szCs w:val="21"/>
        </w:rPr>
        <w:t>codes where a finding clearly contains co-occurring meanings that are analytically important.</w:t>
      </w:r>
    </w:p>
    <w:p w14:paraId="2A72A300" w14:textId="77777777" w:rsidR="00806431" w:rsidRPr="00D65F87" w:rsidRDefault="00806431" w:rsidP="00806431">
      <w:pPr>
        <w:pStyle w:val="Heading2"/>
        <w:spacing w:line="300" w:lineRule="atLeast"/>
        <w:rPr>
          <w:rFonts w:ascii="Times New Roman" w:hAnsi="Times New Roman" w:cs="Times New Roman"/>
          <w:color w:val="000000"/>
          <w:sz w:val="28"/>
          <w:szCs w:val="28"/>
        </w:rPr>
      </w:pPr>
      <w:r w:rsidRPr="00D65F87">
        <w:rPr>
          <w:rFonts w:ascii="Times New Roman" w:hAnsi="Times New Roman" w:cs="Times New Roman"/>
          <w:color w:val="000000"/>
          <w:sz w:val="28"/>
          <w:szCs w:val="28"/>
        </w:rPr>
        <w:t>Borderline distinctions</w:t>
      </w:r>
    </w:p>
    <w:p w14:paraId="0AE40D65" w14:textId="77777777" w:rsidR="00806431" w:rsidRPr="00806431" w:rsidRDefault="00806431">
      <w:pPr>
        <w:pStyle w:val="ccc16d0"/>
        <w:numPr>
          <w:ilvl w:val="0"/>
          <w:numId w:val="73"/>
        </w:numPr>
        <w:spacing w:line="300" w:lineRule="atLeast"/>
        <w:rPr>
          <w:color w:val="000000"/>
          <w:sz w:val="21"/>
          <w:szCs w:val="21"/>
        </w:rPr>
      </w:pPr>
      <w:r w:rsidRPr="00806431">
        <w:rPr>
          <w:rStyle w:val="Strong"/>
          <w:color w:val="000000"/>
          <w:sz w:val="21"/>
          <w:szCs w:val="21"/>
        </w:rPr>
        <w:t>Validation in clinic</w:t>
      </w:r>
      <w:r w:rsidRPr="00806431">
        <w:rPr>
          <w:rStyle w:val="apple-converted-space"/>
          <w:color w:val="000000"/>
          <w:sz w:val="21"/>
          <w:szCs w:val="21"/>
        </w:rPr>
        <w:t> </w:t>
      </w:r>
      <w:r w:rsidRPr="00806431">
        <w:rPr>
          <w:color w:val="000000"/>
          <w:sz w:val="21"/>
          <w:szCs w:val="21"/>
        </w:rPr>
        <w:t>= Healthcare/System</w:t>
      </w:r>
    </w:p>
    <w:p w14:paraId="69E29FB9" w14:textId="77777777" w:rsidR="00806431" w:rsidRPr="00806431" w:rsidRDefault="00806431">
      <w:pPr>
        <w:pStyle w:val="ccc16d0"/>
        <w:numPr>
          <w:ilvl w:val="0"/>
          <w:numId w:val="73"/>
        </w:numPr>
        <w:spacing w:line="300" w:lineRule="atLeast"/>
        <w:rPr>
          <w:color w:val="000000"/>
          <w:sz w:val="21"/>
          <w:szCs w:val="21"/>
        </w:rPr>
      </w:pPr>
      <w:r w:rsidRPr="00806431">
        <w:rPr>
          <w:rStyle w:val="Strong"/>
          <w:color w:val="000000"/>
          <w:sz w:val="21"/>
          <w:szCs w:val="21"/>
        </w:rPr>
        <w:t>Validation in social relationships</w:t>
      </w:r>
      <w:r w:rsidRPr="00806431">
        <w:rPr>
          <w:rStyle w:val="apple-converted-space"/>
          <w:color w:val="000000"/>
          <w:sz w:val="21"/>
          <w:szCs w:val="21"/>
        </w:rPr>
        <w:t> </w:t>
      </w:r>
      <w:r w:rsidRPr="00806431">
        <w:rPr>
          <w:color w:val="000000"/>
          <w:sz w:val="21"/>
          <w:szCs w:val="21"/>
        </w:rPr>
        <w:t>= Social</w:t>
      </w:r>
    </w:p>
    <w:p w14:paraId="361679B6" w14:textId="77777777" w:rsidR="00806431" w:rsidRPr="00806431" w:rsidRDefault="00806431">
      <w:pPr>
        <w:pStyle w:val="ccc16d0"/>
        <w:numPr>
          <w:ilvl w:val="0"/>
          <w:numId w:val="73"/>
        </w:numPr>
        <w:spacing w:line="300" w:lineRule="atLeast"/>
        <w:rPr>
          <w:color w:val="000000"/>
          <w:sz w:val="21"/>
          <w:szCs w:val="21"/>
        </w:rPr>
      </w:pPr>
      <w:r w:rsidRPr="00806431">
        <w:rPr>
          <w:rStyle w:val="Strong"/>
          <w:color w:val="000000"/>
          <w:sz w:val="21"/>
          <w:szCs w:val="21"/>
        </w:rPr>
        <w:t>Broader stigma/norms</w:t>
      </w:r>
      <w:r w:rsidRPr="00806431">
        <w:rPr>
          <w:rStyle w:val="apple-converted-space"/>
          <w:color w:val="000000"/>
          <w:sz w:val="21"/>
          <w:szCs w:val="21"/>
        </w:rPr>
        <w:t> </w:t>
      </w:r>
      <w:r w:rsidRPr="00806431">
        <w:rPr>
          <w:color w:val="000000"/>
          <w:sz w:val="21"/>
          <w:szCs w:val="21"/>
        </w:rPr>
        <w:t>= Cultural</w:t>
      </w:r>
    </w:p>
    <w:p w14:paraId="17481E7A" w14:textId="77777777" w:rsidR="00806431" w:rsidRPr="00806431" w:rsidRDefault="00806431">
      <w:pPr>
        <w:pStyle w:val="ccc16d0"/>
        <w:numPr>
          <w:ilvl w:val="0"/>
          <w:numId w:val="73"/>
        </w:numPr>
        <w:spacing w:line="300" w:lineRule="atLeast"/>
        <w:rPr>
          <w:color w:val="000000"/>
          <w:sz w:val="21"/>
          <w:szCs w:val="21"/>
        </w:rPr>
      </w:pPr>
      <w:r w:rsidRPr="00806431">
        <w:rPr>
          <w:rStyle w:val="Strong"/>
          <w:color w:val="000000"/>
          <w:sz w:val="21"/>
          <w:szCs w:val="21"/>
        </w:rPr>
        <w:t>Emotion-focused suffering</w:t>
      </w:r>
      <w:r w:rsidRPr="00806431">
        <w:rPr>
          <w:rStyle w:val="apple-converted-space"/>
          <w:color w:val="000000"/>
          <w:sz w:val="21"/>
          <w:szCs w:val="21"/>
        </w:rPr>
        <w:t> </w:t>
      </w:r>
      <w:r w:rsidRPr="00806431">
        <w:rPr>
          <w:color w:val="000000"/>
          <w:sz w:val="21"/>
          <w:szCs w:val="21"/>
        </w:rPr>
        <w:t>= Psychological</w:t>
      </w:r>
    </w:p>
    <w:p w14:paraId="44C5DC40" w14:textId="77777777" w:rsidR="00806431" w:rsidRPr="00806431" w:rsidRDefault="00806431">
      <w:pPr>
        <w:pStyle w:val="ccc16d0"/>
        <w:numPr>
          <w:ilvl w:val="0"/>
          <w:numId w:val="73"/>
        </w:numPr>
        <w:spacing w:line="300" w:lineRule="atLeast"/>
        <w:rPr>
          <w:color w:val="000000"/>
          <w:sz w:val="21"/>
          <w:szCs w:val="21"/>
        </w:rPr>
      </w:pPr>
      <w:r w:rsidRPr="00806431">
        <w:rPr>
          <w:rStyle w:val="Strong"/>
          <w:color w:val="000000"/>
          <w:sz w:val="21"/>
          <w:szCs w:val="21"/>
        </w:rPr>
        <w:t>Pain-focused suffering</w:t>
      </w:r>
      <w:r w:rsidRPr="00806431">
        <w:rPr>
          <w:rStyle w:val="apple-converted-space"/>
          <w:color w:val="000000"/>
          <w:sz w:val="21"/>
          <w:szCs w:val="21"/>
        </w:rPr>
        <w:t> </w:t>
      </w:r>
      <w:r w:rsidRPr="00806431">
        <w:rPr>
          <w:color w:val="000000"/>
          <w:sz w:val="21"/>
          <w:szCs w:val="21"/>
        </w:rPr>
        <w:t>= Chronic Pain</w:t>
      </w:r>
    </w:p>
    <w:p w14:paraId="759F6A59" w14:textId="77777777" w:rsidR="00806431" w:rsidRPr="00806431" w:rsidRDefault="00806431">
      <w:pPr>
        <w:pStyle w:val="ccc16d0"/>
        <w:numPr>
          <w:ilvl w:val="0"/>
          <w:numId w:val="73"/>
        </w:numPr>
        <w:spacing w:line="300" w:lineRule="atLeast"/>
        <w:rPr>
          <w:color w:val="000000"/>
          <w:sz w:val="21"/>
          <w:szCs w:val="21"/>
        </w:rPr>
      </w:pPr>
      <w:r w:rsidRPr="00806431">
        <w:rPr>
          <w:rStyle w:val="Strong"/>
          <w:color w:val="000000"/>
          <w:sz w:val="21"/>
          <w:szCs w:val="21"/>
        </w:rPr>
        <w:t>Uncertainty as meaning-making</w:t>
      </w:r>
      <w:r w:rsidRPr="00806431">
        <w:rPr>
          <w:rStyle w:val="apple-converted-space"/>
          <w:color w:val="000000"/>
          <w:sz w:val="21"/>
          <w:szCs w:val="21"/>
        </w:rPr>
        <w:t> </w:t>
      </w:r>
      <w:r w:rsidRPr="00806431">
        <w:rPr>
          <w:color w:val="000000"/>
          <w:sz w:val="21"/>
          <w:szCs w:val="21"/>
        </w:rPr>
        <w:t>= Cognitive</w:t>
      </w:r>
    </w:p>
    <w:p w14:paraId="7FBFD622" w14:textId="77777777" w:rsidR="00806431" w:rsidRPr="00806431" w:rsidRDefault="00806431">
      <w:pPr>
        <w:pStyle w:val="ccc16d0"/>
        <w:numPr>
          <w:ilvl w:val="0"/>
          <w:numId w:val="73"/>
        </w:numPr>
        <w:spacing w:line="300" w:lineRule="atLeast"/>
        <w:rPr>
          <w:color w:val="000000"/>
          <w:sz w:val="21"/>
          <w:szCs w:val="21"/>
        </w:rPr>
      </w:pPr>
      <w:r w:rsidRPr="00806431">
        <w:rPr>
          <w:rStyle w:val="Strong"/>
          <w:color w:val="000000"/>
          <w:sz w:val="21"/>
          <w:szCs w:val="21"/>
        </w:rPr>
        <w:t>Systemic whole-life interaction</w:t>
      </w:r>
      <w:r w:rsidRPr="00806431">
        <w:rPr>
          <w:rStyle w:val="apple-converted-space"/>
          <w:color w:val="000000"/>
          <w:sz w:val="21"/>
          <w:szCs w:val="21"/>
        </w:rPr>
        <w:t> </w:t>
      </w:r>
      <w:r w:rsidRPr="00806431">
        <w:rPr>
          <w:color w:val="000000"/>
          <w:sz w:val="21"/>
          <w:szCs w:val="21"/>
        </w:rPr>
        <w:t>= Ecological</w:t>
      </w:r>
    </w:p>
    <w:p w14:paraId="28B64D9E" w14:textId="77777777" w:rsidR="00BD723C" w:rsidRDefault="00806431" w:rsidP="00BD723C">
      <w:pPr>
        <w:pStyle w:val="Heading2"/>
        <w:spacing w:before="0" w:line="300" w:lineRule="atLeast"/>
        <w:rPr>
          <w:rFonts w:ascii="Times New Roman" w:hAnsi="Times New Roman" w:cs="Times New Roman"/>
          <w:b/>
          <w:bCs/>
          <w:color w:val="000000"/>
          <w:sz w:val="28"/>
          <w:szCs w:val="28"/>
        </w:rPr>
      </w:pPr>
      <w:proofErr w:type="spellStart"/>
      <w:r w:rsidRPr="00BD723C">
        <w:rPr>
          <w:rFonts w:ascii="Times New Roman" w:hAnsi="Times New Roman" w:cs="Times New Roman"/>
          <w:b/>
          <w:bCs/>
          <w:color w:val="000000"/>
          <w:sz w:val="28"/>
          <w:szCs w:val="28"/>
        </w:rPr>
        <w:t>Memoing</w:t>
      </w:r>
      <w:proofErr w:type="spellEnd"/>
      <w:r w:rsidRPr="00BD723C">
        <w:rPr>
          <w:rFonts w:ascii="Times New Roman" w:hAnsi="Times New Roman" w:cs="Times New Roman"/>
          <w:b/>
          <w:bCs/>
          <w:color w:val="000000"/>
          <w:sz w:val="28"/>
          <w:szCs w:val="28"/>
        </w:rPr>
        <w:t xml:space="preserve"> prompts</w:t>
      </w:r>
    </w:p>
    <w:p w14:paraId="38BF58E3" w14:textId="4235E59B" w:rsidR="00806431" w:rsidRPr="00BD723C" w:rsidRDefault="00806431" w:rsidP="00BD723C">
      <w:pPr>
        <w:pStyle w:val="Heading2"/>
        <w:spacing w:before="0" w:line="300" w:lineRule="atLeast"/>
        <w:rPr>
          <w:rFonts w:ascii="Times New Roman" w:hAnsi="Times New Roman" w:cs="Times New Roman"/>
          <w:b/>
          <w:bCs/>
          <w:color w:val="000000"/>
          <w:sz w:val="28"/>
          <w:szCs w:val="28"/>
        </w:rPr>
      </w:pPr>
      <w:r w:rsidRPr="00806431">
        <w:rPr>
          <w:color w:val="000000"/>
          <w:sz w:val="21"/>
          <w:szCs w:val="21"/>
        </w:rPr>
        <w:t>Reviewers were encouraged to memo:</w:t>
      </w:r>
    </w:p>
    <w:p w14:paraId="1FC1C1A0" w14:textId="77777777" w:rsidR="00806431" w:rsidRPr="00806431" w:rsidRDefault="00806431" w:rsidP="00BD723C">
      <w:pPr>
        <w:pStyle w:val="ccc16d0"/>
        <w:numPr>
          <w:ilvl w:val="0"/>
          <w:numId w:val="74"/>
        </w:numPr>
        <w:spacing w:before="0" w:beforeAutospacing="0" w:line="300" w:lineRule="atLeast"/>
        <w:rPr>
          <w:color w:val="000000"/>
          <w:sz w:val="21"/>
          <w:szCs w:val="21"/>
        </w:rPr>
      </w:pPr>
      <w:r w:rsidRPr="00806431">
        <w:rPr>
          <w:color w:val="000000"/>
          <w:sz w:val="21"/>
          <w:szCs w:val="21"/>
        </w:rPr>
        <w:t>why a primary code was chosen,</w:t>
      </w:r>
    </w:p>
    <w:p w14:paraId="672DE3B3" w14:textId="77777777" w:rsidR="00806431" w:rsidRPr="00806431" w:rsidRDefault="00806431" w:rsidP="00BD723C">
      <w:pPr>
        <w:pStyle w:val="ccc16d0"/>
        <w:numPr>
          <w:ilvl w:val="0"/>
          <w:numId w:val="74"/>
        </w:numPr>
        <w:spacing w:before="0" w:beforeAutospacing="0" w:line="300" w:lineRule="atLeast"/>
        <w:rPr>
          <w:color w:val="000000"/>
          <w:sz w:val="21"/>
          <w:szCs w:val="21"/>
        </w:rPr>
      </w:pPr>
      <w:r w:rsidRPr="00806431">
        <w:rPr>
          <w:color w:val="000000"/>
          <w:sz w:val="21"/>
          <w:szCs w:val="21"/>
        </w:rPr>
        <w:t>what alternative code was considered,</w:t>
      </w:r>
    </w:p>
    <w:p w14:paraId="66853C4A" w14:textId="77777777" w:rsidR="00806431" w:rsidRPr="00806431" w:rsidRDefault="00806431" w:rsidP="00BD723C">
      <w:pPr>
        <w:pStyle w:val="ccc16d0"/>
        <w:numPr>
          <w:ilvl w:val="0"/>
          <w:numId w:val="74"/>
        </w:numPr>
        <w:spacing w:before="0" w:beforeAutospacing="0" w:line="300" w:lineRule="atLeast"/>
        <w:rPr>
          <w:color w:val="000000"/>
          <w:sz w:val="21"/>
          <w:szCs w:val="21"/>
        </w:rPr>
      </w:pPr>
      <w:r w:rsidRPr="00806431">
        <w:rPr>
          <w:color w:val="000000"/>
          <w:sz w:val="21"/>
          <w:szCs w:val="21"/>
        </w:rPr>
        <w:t>whether the finding suggests a cross-domain pattern, and</w:t>
      </w:r>
    </w:p>
    <w:p w14:paraId="2066E32A" w14:textId="77777777" w:rsidR="00806431" w:rsidRPr="00806431" w:rsidRDefault="00806431" w:rsidP="00BD723C">
      <w:pPr>
        <w:pStyle w:val="ccc16d0"/>
        <w:numPr>
          <w:ilvl w:val="0"/>
          <w:numId w:val="74"/>
        </w:numPr>
        <w:spacing w:before="0" w:beforeAutospacing="0" w:line="300" w:lineRule="atLeast"/>
        <w:rPr>
          <w:color w:val="000000"/>
          <w:sz w:val="21"/>
          <w:szCs w:val="21"/>
        </w:rPr>
      </w:pPr>
      <w:r w:rsidRPr="00806431">
        <w:rPr>
          <w:color w:val="000000"/>
          <w:sz w:val="21"/>
          <w:szCs w:val="21"/>
        </w:rPr>
        <w:t>whether the finding contributes to a higher-order interpretive theme.</w:t>
      </w:r>
    </w:p>
    <w:p w14:paraId="6EABA8AE" w14:textId="26257489" w:rsidR="00124281" w:rsidRDefault="00124281" w:rsidP="00806431">
      <w:pPr>
        <w:rPr>
          <w:b/>
          <w:bCs/>
        </w:rPr>
      </w:pPr>
    </w:p>
    <w:p w14:paraId="49D707FC" w14:textId="6D2E56FD" w:rsidR="00D65F87" w:rsidRPr="00BD723C" w:rsidRDefault="00B65D52" w:rsidP="00124281">
      <w:pPr>
        <w:rPr>
          <w:sz w:val="36"/>
          <w:szCs w:val="36"/>
        </w:rPr>
      </w:pPr>
      <w:r w:rsidRPr="00BD723C">
        <w:rPr>
          <w:b/>
          <w:bCs/>
          <w:sz w:val="36"/>
          <w:szCs w:val="36"/>
        </w:rPr>
        <w:t>Phase 2 Codebook: Transdisciplinary Pathways for Implementation and Clinical Integration</w:t>
      </w:r>
      <w:r w:rsidRPr="00BD723C">
        <w:rPr>
          <w:b/>
          <w:bCs/>
          <w:sz w:val="36"/>
          <w:szCs w:val="36"/>
        </w:rPr>
        <w:br/>
      </w:r>
      <w:r w:rsidRPr="00124281">
        <w:rPr>
          <w:b/>
          <w:bCs/>
        </w:rPr>
        <w:t>Purpose of the Phase 2 codebook</w:t>
      </w:r>
      <w:r w:rsidRPr="00B65D52">
        <w:br/>
        <w:t>The Phase 2 codebook was developed to identify, compare, and organize transdisciplinary principles and implementation-relevant pathways capable of extending Phase 1 lived-experience findings into clinically and methodologically applicable frameworks. It was used during Steps 2.1 to 2.7, including cross-disciplinary extension, supplementary searching, appraisal, synthesis, heuristic pathway organization, co-occurrence analysis, and final integration.</w:t>
      </w:r>
      <w:r w:rsidRPr="00B65D52">
        <w:br/>
        <w:t>The purpose of this codebook was to capture how different literatures contribute to implementation, conceptual integration, collaboration, contextual responsiveness, and whole-person chronic illness care.</w:t>
      </w:r>
      <w:r w:rsidRPr="00B65D52">
        <w:br/>
      </w:r>
      <w:r w:rsidRPr="00B65D52">
        <w:br/>
      </w:r>
      <w:r w:rsidRPr="00124281">
        <w:rPr>
          <w:b/>
          <w:bCs/>
        </w:rPr>
        <w:t>Unit of coding</w:t>
      </w:r>
      <w:r w:rsidRPr="00B65D52">
        <w:br/>
      </w:r>
      <w:r w:rsidRPr="00B65D52">
        <w:lastRenderedPageBreak/>
        <w:t>The coding unit for Phase 2 was the study-level transdisciplinary finding or conceptual contribution. This included:</w:t>
      </w:r>
    </w:p>
    <w:p w14:paraId="444EB7EB" w14:textId="634BCDFA" w:rsidR="00D65F87" w:rsidRDefault="00B65D52" w:rsidP="00124281">
      <w:r w:rsidRPr="00B65D52">
        <w:br/>
        <w:t>• empirical findings relevant to implementation or collaboration</w:t>
      </w:r>
      <w:r w:rsidRPr="00B65D52">
        <w:br/>
        <w:t>• conceptual claims about ontology, systems, participation, or methodology</w:t>
      </w:r>
      <w:r w:rsidRPr="00B65D52">
        <w:br/>
        <w:t>• descriptions of barriers and facilitators to cross-disciplinary care</w:t>
      </w:r>
      <w:r w:rsidRPr="00B65D52">
        <w:br/>
        <w:t>• proposed frameworks, pathways, or models</w:t>
      </w:r>
      <w:r w:rsidRPr="00B65D52">
        <w:br/>
        <w:t>• evidence relevant to translation from lived experience to practice</w:t>
      </w:r>
      <w:r w:rsidRPr="00B65D52">
        <w:br/>
      </w:r>
      <w:r w:rsidRPr="00B65D52">
        <w:br/>
        <w:t>Each source received one primary pathway code when possible, with additional secondary codes assigned for intersecting contributions.</w:t>
      </w:r>
      <w:r w:rsidRPr="00B65D52">
        <w:br/>
      </w:r>
      <w:r w:rsidRPr="00B65D52">
        <w:br/>
      </w:r>
      <w:r w:rsidRPr="00D65F87">
        <w:rPr>
          <w:b/>
          <w:bCs/>
        </w:rPr>
        <w:t>Phase 2 principal pathways</w:t>
      </w:r>
      <w:r w:rsidRPr="00D65F87">
        <w:rPr>
          <w:b/>
          <w:bCs/>
        </w:rPr>
        <w:br/>
      </w:r>
      <w:r w:rsidRPr="00B65D52">
        <w:br/>
        <w:t>Four principal pathways were used in Phase 2:</w:t>
      </w:r>
      <w:r w:rsidRPr="00B65D52">
        <w:br/>
      </w:r>
      <w:r w:rsidRPr="00B65D52">
        <w:br/>
      </w:r>
      <w:r w:rsidRPr="00D65F87">
        <w:rPr>
          <w:b/>
          <w:bCs/>
        </w:rPr>
        <w:t>1. Pain: mindfulness, lived experience, and supportive care  </w:t>
      </w:r>
      <w:r w:rsidRPr="00D65F87">
        <w:rPr>
          <w:b/>
          <w:bCs/>
        </w:rPr>
        <w:br/>
        <w:t>2. Ontology: process-based conceptualization  </w:t>
      </w:r>
      <w:r w:rsidRPr="00D65F87">
        <w:rPr>
          <w:b/>
          <w:bCs/>
        </w:rPr>
        <w:br/>
        <w:t xml:space="preserve">3. </w:t>
      </w:r>
      <w:proofErr w:type="spellStart"/>
      <w:r w:rsidRPr="00D65F87">
        <w:rPr>
          <w:b/>
          <w:bCs/>
        </w:rPr>
        <w:t>Transdisciplinarity</w:t>
      </w:r>
      <w:proofErr w:type="spellEnd"/>
      <w:r w:rsidRPr="00D65F87">
        <w:rPr>
          <w:b/>
          <w:bCs/>
        </w:rPr>
        <w:t>: One Health, team science, and whole-systems research  </w:t>
      </w:r>
      <w:r w:rsidRPr="00D65F87">
        <w:rPr>
          <w:b/>
          <w:bCs/>
        </w:rPr>
        <w:br/>
        <w:t>4. Participatory research: CBPR, PAR, co-production, and community engagement  </w:t>
      </w:r>
      <w:r w:rsidRPr="00D65F87">
        <w:rPr>
          <w:b/>
          <w:bCs/>
        </w:rPr>
        <w:br/>
      </w:r>
      <w:r w:rsidRPr="00D65F87">
        <w:rPr>
          <w:b/>
          <w:bCs/>
        </w:rPr>
        <w:br/>
      </w:r>
      <w:r w:rsidRPr="00B65D52">
        <w:br/>
      </w:r>
      <w:r w:rsidR="00D65F87" w:rsidRPr="00D65F87">
        <w:rPr>
          <w:b/>
          <w:bCs/>
        </w:rPr>
        <w:t>Phase 2 principal pathways</w:t>
      </w:r>
      <w:r w:rsidR="00D65F87">
        <w:rPr>
          <w:b/>
          <w:bCs/>
        </w:rPr>
        <w:t xml:space="preserve"> details</w:t>
      </w:r>
      <w:r w:rsidR="00D65F87" w:rsidRPr="00D65F87">
        <w:rPr>
          <w:b/>
          <w:bCs/>
        </w:rPr>
        <w:br/>
      </w:r>
      <w:r w:rsidRPr="00B65D52">
        <w:br/>
      </w:r>
      <w:r w:rsidRPr="00D65F87">
        <w:rPr>
          <w:b/>
          <w:bCs/>
        </w:rPr>
        <w:t>1. Pain, mindfulness, lived experience, and supportive care pathway</w:t>
      </w:r>
      <w:r w:rsidRPr="00B65D52">
        <w:br/>
        <w:t>Definition</w:t>
      </w:r>
      <w:r w:rsidRPr="00B65D52">
        <w:br/>
        <w:t>Findings concerning whole-person approaches to pain, mindfulness-related interventions or frameworks, supportive care, suffering reduction, coping, and the translation of lived pain experience into care design.</w:t>
      </w:r>
      <w:r w:rsidRPr="00B65D52">
        <w:br/>
      </w:r>
    </w:p>
    <w:p w14:paraId="47763B30" w14:textId="497B39F0" w:rsidR="00D61259" w:rsidRDefault="00B65D52" w:rsidP="00124281">
      <w:r w:rsidRPr="00B65D52">
        <w:t>Include when</w:t>
      </w:r>
      <w:r w:rsidR="00D65F87">
        <w:t>:</w:t>
      </w:r>
      <w:r w:rsidRPr="00B65D52">
        <w:br/>
        <w:t>Code to this pathway when the study focuses on chronic pain care, pain-related lived experience, mindfulness, supportive interventions, or whole-person approaches to distress and coping.</w:t>
      </w:r>
      <w:r w:rsidRPr="00B65D52">
        <w:br/>
      </w:r>
      <w:r w:rsidRPr="00B65D52">
        <w:br/>
        <w:t>Exclude when</w:t>
      </w:r>
      <w:r w:rsidR="00D65F87">
        <w:t>:</w:t>
      </w:r>
      <w:r w:rsidRPr="00B65D52">
        <w:br/>
        <w:t>Do not use this as primary if pain is not central or if the main contribution is ontological, participatory, or organizational.</w:t>
      </w:r>
      <w:r w:rsidRPr="00B65D52">
        <w:br/>
      </w:r>
      <w:r w:rsidRPr="00B65D52">
        <w:br/>
        <w:t>Subdomains</w:t>
      </w:r>
      <w:r w:rsidRPr="00B65D52">
        <w:br/>
      </w:r>
      <w:r w:rsidRPr="00B65D52">
        <w:br/>
        <w:t xml:space="preserve">• Mindfulness and attentional approaches </w:t>
      </w:r>
      <w:r w:rsidRPr="00B65D52">
        <w:br/>
        <w:t>• Supportive care and therapeutic relationship  </w:t>
      </w:r>
      <w:r w:rsidRPr="00B65D52">
        <w:br/>
        <w:t>• Distress reduction and coping  </w:t>
      </w:r>
      <w:r w:rsidRPr="00B65D52">
        <w:br/>
        <w:t>• Quality of life and participation outcomes  </w:t>
      </w:r>
      <w:r w:rsidRPr="00B65D52">
        <w:br/>
        <w:t>• Whole-person pain framing  </w:t>
      </w:r>
      <w:r w:rsidRPr="00B65D52">
        <w:br/>
      </w:r>
      <w:r w:rsidRPr="00B65D52">
        <w:br/>
      </w:r>
      <w:r w:rsidRPr="00B65D52">
        <w:lastRenderedPageBreak/>
        <w:t>Decision rules</w:t>
      </w:r>
      <w:r w:rsidRPr="00B65D52">
        <w:br/>
        <w:t>• If the study mainly proposes a conceptual process model of illness, use Ontology.</w:t>
      </w:r>
      <w:r w:rsidRPr="00B65D52">
        <w:br/>
        <w:t>• If the key contribution is stakeholder co-design of pain care, use Participatory research as primary and this pathway as secondary.</w:t>
      </w:r>
      <w:r w:rsidRPr="00B65D52">
        <w:br/>
      </w:r>
      <w:r w:rsidRPr="00B65D52">
        <w:br/>
      </w:r>
      <w:r w:rsidR="00D65F87" w:rsidRPr="00D65F87">
        <w:rPr>
          <w:b/>
          <w:bCs/>
        </w:rPr>
        <w:t>2</w:t>
      </w:r>
      <w:r w:rsidRPr="00D65F87">
        <w:rPr>
          <w:b/>
          <w:bCs/>
        </w:rPr>
        <w:t>. Ontology: process-based conceptualization pathway</w:t>
      </w:r>
      <w:r w:rsidRPr="00B65D52">
        <w:br/>
        <w:t>Definition</w:t>
      </w:r>
      <w:r w:rsidRPr="00B65D52">
        <w:br/>
        <w:t>Findings concerning chronic illness as dynamic, relational, temporal, emergent, multi-level, or processual, including both applied ontology and broader philosophical or conceptual accounts.</w:t>
      </w:r>
      <w:r w:rsidRPr="00B65D52">
        <w:br/>
      </w:r>
      <w:r w:rsidRPr="00B65D52">
        <w:br/>
        <w:t>Include when</w:t>
      </w:r>
      <w:r w:rsidR="00D65F87">
        <w:t>:</w:t>
      </w:r>
      <w:r w:rsidRPr="00B65D52">
        <w:br/>
        <w:t>Code to Ontology when the main contribution concerns how illness should be conceptualized, modeled, structured, or represented.</w:t>
      </w:r>
      <w:r w:rsidRPr="00B65D52">
        <w:br/>
      </w:r>
      <w:r w:rsidRPr="00B65D52">
        <w:br/>
        <w:t>Exclude when</w:t>
      </w:r>
      <w:r w:rsidR="00D65F87">
        <w:t>:</w:t>
      </w:r>
      <w:r w:rsidRPr="00B65D52">
        <w:br/>
        <w:t>Do not use this as primary if the emphasis is mainly on collaboration processes or participatory implementation.</w:t>
      </w:r>
      <w:r w:rsidRPr="00B65D52">
        <w:br/>
      </w:r>
      <w:r w:rsidRPr="00B65D52">
        <w:br/>
        <w:t>Subdomains</w:t>
      </w:r>
      <w:r w:rsidR="00D61259">
        <w:t>:</w:t>
      </w:r>
      <w:r w:rsidRPr="00B65D52">
        <w:br/>
        <w:t>• Process ontology  </w:t>
      </w:r>
      <w:r w:rsidRPr="00B65D52">
        <w:br/>
        <w:t>• Relational and temporal models of illness  </w:t>
      </w:r>
      <w:r w:rsidRPr="00B65D52">
        <w:br/>
        <w:t>• Formal/applied ontology for data integration  </w:t>
      </w:r>
      <w:r w:rsidRPr="00B65D52">
        <w:br/>
        <w:t>• Interoperability and conceptual standardization  </w:t>
      </w:r>
      <w:r w:rsidRPr="00B65D52">
        <w:br/>
        <w:t>• Multi-level causation and complexity  </w:t>
      </w:r>
      <w:r w:rsidRPr="00B65D52">
        <w:br/>
      </w:r>
      <w:r w:rsidRPr="00B65D52">
        <w:br/>
        <w:t>Decision rules</w:t>
      </w:r>
      <w:r w:rsidRPr="00B65D52">
        <w:br/>
        <w:t>• If the study centers on data systems, workflow representation, or interoperability, Ontology remains primary if conceptual structuring is the main contribution.</w:t>
      </w:r>
      <w:r w:rsidRPr="00B65D52">
        <w:br/>
        <w:t xml:space="preserve">• If ontology is discussed only as background to collaborative care, consider </w:t>
      </w:r>
      <w:proofErr w:type="spellStart"/>
      <w:r w:rsidRPr="00B65D52">
        <w:t>Transdisciplinarity</w:t>
      </w:r>
      <w:proofErr w:type="spellEnd"/>
      <w:r w:rsidRPr="00B65D52">
        <w:t xml:space="preserve"> as primary.</w:t>
      </w:r>
      <w:r w:rsidRPr="00B65D52">
        <w:br/>
      </w:r>
      <w:r w:rsidRPr="00B65D52">
        <w:br/>
      </w:r>
      <w:r w:rsidR="00D65F87" w:rsidRPr="00D65F87">
        <w:rPr>
          <w:b/>
          <w:bCs/>
        </w:rPr>
        <w:t>3</w:t>
      </w:r>
      <w:r w:rsidRPr="00D65F87">
        <w:rPr>
          <w:b/>
          <w:bCs/>
        </w:rPr>
        <w:t xml:space="preserve">. </w:t>
      </w:r>
      <w:proofErr w:type="spellStart"/>
      <w:r w:rsidRPr="00D65F87">
        <w:rPr>
          <w:b/>
          <w:bCs/>
        </w:rPr>
        <w:t>Transdisciplinarity</w:t>
      </w:r>
      <w:proofErr w:type="spellEnd"/>
      <w:r w:rsidRPr="00D65F87">
        <w:rPr>
          <w:b/>
          <w:bCs/>
        </w:rPr>
        <w:t>: One Health, team science, and whole-systems research pathway</w:t>
      </w:r>
      <w:r w:rsidRPr="00B65D52">
        <w:br/>
        <w:t>Definition</w:t>
      </w:r>
      <w:r w:rsidRPr="00B65D52">
        <w:br/>
        <w:t>Findings concerning collaboration across disciplines and sectors, integration of knowledge systems, team science, whole-systems design, institutional supports, and complexity-responsive care structures.</w:t>
      </w:r>
      <w:r w:rsidRPr="00B65D52">
        <w:br/>
      </w:r>
      <w:r w:rsidRPr="00B65D52">
        <w:br/>
        <w:t>Include when</w:t>
      </w:r>
      <w:r w:rsidRPr="00B65D52">
        <w:br/>
        <w:t>Code to this pathway when the central issue is how multiple forms of expertise or sectors are integrated to address chronic illness.</w:t>
      </w:r>
      <w:r w:rsidRPr="00B65D52">
        <w:br/>
      </w:r>
      <w:r w:rsidRPr="00B65D52">
        <w:br/>
        <w:t>Exclude when</w:t>
      </w:r>
      <w:r w:rsidRPr="00B65D52">
        <w:br/>
        <w:t>Do not use as primary if the study focuses mainly on community participation or philosophical illness models.</w:t>
      </w:r>
      <w:r w:rsidRPr="00B65D52">
        <w:br/>
      </w:r>
      <w:r w:rsidRPr="00B65D52">
        <w:br/>
        <w:t>Subdomains</w:t>
      </w:r>
      <w:r w:rsidR="00D61259">
        <w:t>:</w:t>
      </w:r>
      <w:r w:rsidRPr="00B65D52">
        <w:br/>
      </w:r>
      <w:r w:rsidRPr="00B65D52">
        <w:lastRenderedPageBreak/>
        <w:t xml:space="preserve">• Interdisciplinary/transdisciplinary collaboration </w:t>
      </w:r>
      <w:r w:rsidRPr="00B65D52">
        <w:br/>
        <w:t>• Team science and shared language  </w:t>
      </w:r>
      <w:r w:rsidRPr="00B65D52">
        <w:br/>
        <w:t>• Whole-systems or One Health approaches  </w:t>
      </w:r>
      <w:r w:rsidRPr="00B65D52">
        <w:br/>
        <w:t>• Institutional barriers and facilitators  </w:t>
      </w:r>
      <w:r w:rsidRPr="00B65D52">
        <w:br/>
        <w:t>• Implementation infrastructure and sustainability  </w:t>
      </w:r>
      <w:r w:rsidRPr="00B65D52">
        <w:br/>
      </w:r>
      <w:r w:rsidRPr="00B65D52">
        <w:br/>
        <w:t>Decision rules</w:t>
      </w:r>
      <w:r w:rsidRPr="00B65D52">
        <w:br/>
        <w:t>• If the contribution is mainly practical collaboration among professionals, this pathway is primary.</w:t>
      </w:r>
      <w:r w:rsidRPr="00B65D52">
        <w:br/>
        <w:t>• If the focus is on patients and communities as co-producers rather than on disciplinary integration, use Participatory research.</w:t>
      </w:r>
      <w:r w:rsidRPr="00B65D52">
        <w:br/>
      </w:r>
      <w:r w:rsidRPr="00D61259">
        <w:rPr>
          <w:b/>
          <w:bCs/>
        </w:rPr>
        <w:br/>
      </w:r>
      <w:r w:rsidR="00D61259" w:rsidRPr="00D61259">
        <w:rPr>
          <w:b/>
          <w:bCs/>
        </w:rPr>
        <w:t>4</w:t>
      </w:r>
      <w:r w:rsidRPr="00D61259">
        <w:rPr>
          <w:b/>
          <w:bCs/>
        </w:rPr>
        <w:t>. Participatory research: CBPR, PAR, co-production, and community engagement pathway</w:t>
      </w:r>
      <w:r w:rsidRPr="00D61259">
        <w:rPr>
          <w:b/>
          <w:bCs/>
        </w:rPr>
        <w:br/>
      </w:r>
      <w:r w:rsidRPr="00B65D52">
        <w:t>Definition</w:t>
      </w:r>
      <w:r w:rsidRPr="00B65D52">
        <w:br/>
        <w:t>Findings concerning patient, stakeholder, or community involvement in the design, implementation, evaluation, or governance of chronic illness care and research.</w:t>
      </w:r>
      <w:r w:rsidRPr="00B65D52">
        <w:br/>
      </w:r>
      <w:r w:rsidRPr="00B65D52">
        <w:br/>
        <w:t>Include when</w:t>
      </w:r>
      <w:r w:rsidRPr="00B65D52">
        <w:br/>
        <w:t>Code to this pathway when the main contribution concerns participation, co-design, co-production, shared decision-making structures, or community-engaged research.</w:t>
      </w:r>
      <w:r w:rsidRPr="00B65D52">
        <w:br/>
      </w:r>
      <w:r w:rsidRPr="00B65D52">
        <w:br/>
        <w:t>Exclude when</w:t>
      </w:r>
      <w:r w:rsidRPr="00B65D52">
        <w:br/>
        <w:t>Do not use as primary if participation is peripheral rather than central.</w:t>
      </w:r>
      <w:r w:rsidRPr="00B65D52">
        <w:br/>
      </w:r>
      <w:r w:rsidRPr="00B65D52">
        <w:br/>
        <w:t>Subdomains</w:t>
      </w:r>
      <w:r w:rsidR="00D61259">
        <w:t>:</w:t>
      </w:r>
      <w:r w:rsidRPr="00B65D52">
        <w:br/>
        <w:t>• Community-based participatory research (CBPR)  </w:t>
      </w:r>
      <w:r w:rsidRPr="00B65D52">
        <w:br/>
        <w:t>• Participatory action research (PAR)  </w:t>
      </w:r>
      <w:r w:rsidRPr="00B65D52">
        <w:br/>
        <w:t>• Co-design/co-production</w:t>
      </w:r>
      <w:r w:rsidR="00D61259">
        <w:t>, collaborative decision-making</w:t>
      </w:r>
      <w:r w:rsidRPr="00B65D52">
        <w:br/>
        <w:t>• Community engagement and trust-building  </w:t>
      </w:r>
      <w:r w:rsidRPr="00B65D52">
        <w:br/>
        <w:t>• Equity, legitimacy, and contextual fit  </w:t>
      </w:r>
      <w:r w:rsidRPr="00B65D52">
        <w:br/>
      </w:r>
      <w:r w:rsidRPr="00B65D52">
        <w:br/>
      </w:r>
      <w:r w:rsidRPr="00B65D52">
        <w:br/>
        <w:t>Decision rules</w:t>
      </w:r>
      <w:r w:rsidRPr="00B65D52">
        <w:br/>
        <w:t>• If the study focuses on engagement as a mechanism for implementation fit, this pathway is primary</w:t>
      </w:r>
      <w:r w:rsidRPr="00B65D52">
        <w:br/>
        <w:t xml:space="preserve">• If participation is discussed only as one feature of a larger team-science model, </w:t>
      </w:r>
      <w:proofErr w:type="spellStart"/>
      <w:r w:rsidRPr="00B65D52">
        <w:t>Transdisciplinarity</w:t>
      </w:r>
      <w:proofErr w:type="spellEnd"/>
      <w:r w:rsidRPr="00B65D52">
        <w:t xml:space="preserve"> may be primary.</w:t>
      </w:r>
      <w:r w:rsidRPr="00B65D52">
        <w:br/>
      </w:r>
      <w:r w:rsidRPr="00B65D52">
        <w:br/>
      </w:r>
      <w:r w:rsidRPr="00D61259">
        <w:rPr>
          <w:b/>
          <w:bCs/>
          <w:sz w:val="32"/>
          <w:szCs w:val="32"/>
        </w:rPr>
        <w:t>Phase 2 cross-pathway coding rules</w:t>
      </w:r>
      <w:r w:rsidRPr="00B65D52">
        <w:br/>
      </w:r>
      <w:r w:rsidRPr="00B65D52">
        <w:br/>
        <w:t>Primary code assignment</w:t>
      </w:r>
      <w:r w:rsidRPr="00B65D52">
        <w:br/>
        <w:t>Assign the primary pathway according to the source’s main contribution to implementation or conceptual integration.</w:t>
      </w:r>
      <w:r w:rsidRPr="00B65D52">
        <w:br/>
      </w:r>
      <w:r w:rsidRPr="00B65D52">
        <w:br/>
        <w:t>Secondary coding</w:t>
      </w:r>
      <w:r w:rsidRPr="00B65D52">
        <w:br/>
      </w:r>
      <w:r w:rsidRPr="00B65D52">
        <w:lastRenderedPageBreak/>
        <w:t>Assign secondary codes where a paper clearly contributes to more than one pathway, such as participatory ontology development or pain care delivered through transdisciplinary teams.</w:t>
      </w:r>
      <w:r w:rsidRPr="00B65D52">
        <w:br/>
      </w:r>
      <w:r w:rsidRPr="00B65D52">
        <w:br/>
      </w:r>
      <w:r w:rsidRPr="00D61259">
        <w:rPr>
          <w:b/>
          <w:bCs/>
        </w:rPr>
        <w:t>Common overlaps</w:t>
      </w:r>
      <w:r w:rsidR="00D61259" w:rsidRPr="00D61259">
        <w:rPr>
          <w:b/>
          <w:bCs/>
        </w:rPr>
        <w:t>:</w:t>
      </w:r>
      <w:r w:rsidRPr="00D61259">
        <w:rPr>
          <w:b/>
          <w:bCs/>
        </w:rPr>
        <w:br/>
      </w:r>
      <w:r w:rsidRPr="00B65D52">
        <w:t>• Pain + Participatory research: co-designed chronic pain interventions  </w:t>
      </w:r>
      <w:r w:rsidRPr="00B65D52">
        <w:br/>
        <w:t xml:space="preserve">• Ontology + </w:t>
      </w:r>
      <w:proofErr w:type="spellStart"/>
      <w:r w:rsidRPr="00B65D52">
        <w:t>Transdisciplinarity</w:t>
      </w:r>
      <w:proofErr w:type="spellEnd"/>
      <w:r w:rsidRPr="00B65D52">
        <w:t>: conceptual models used to bridge disciplines  </w:t>
      </w:r>
      <w:r w:rsidRPr="00B65D52">
        <w:br/>
        <w:t xml:space="preserve">• </w:t>
      </w:r>
      <w:proofErr w:type="spellStart"/>
      <w:r w:rsidRPr="00B65D52">
        <w:t>Transdisciplinarity</w:t>
      </w:r>
      <w:proofErr w:type="spellEnd"/>
      <w:r w:rsidRPr="00B65D52">
        <w:t xml:space="preserve"> + Participatory research: team science that includes patient/community expertise  </w:t>
      </w:r>
      <w:r w:rsidRPr="00B65D52">
        <w:br/>
        <w:t>• Pain + Ontology: models framing pain as dynamic, processual, and relational  </w:t>
      </w:r>
      <w:r w:rsidRPr="00B65D52">
        <w:br/>
      </w:r>
      <w:r w:rsidRPr="00B65D52">
        <w:br/>
      </w:r>
      <w:proofErr w:type="spellStart"/>
      <w:r w:rsidRPr="00D61259">
        <w:rPr>
          <w:b/>
          <w:bCs/>
        </w:rPr>
        <w:t>Memoing</w:t>
      </w:r>
      <w:proofErr w:type="spellEnd"/>
      <w:r w:rsidRPr="00D61259">
        <w:rPr>
          <w:b/>
          <w:bCs/>
        </w:rPr>
        <w:t xml:space="preserve"> prompts</w:t>
      </w:r>
      <w:r w:rsidRPr="00D61259">
        <w:rPr>
          <w:b/>
          <w:bCs/>
        </w:rPr>
        <w:br/>
      </w:r>
      <w:r w:rsidRPr="00B65D52">
        <w:t>Reviewers were encouraged to memo:</w:t>
      </w:r>
      <w:r w:rsidRPr="00B65D52">
        <w:br/>
        <w:t>• what kind of contribution the source makes: empirical, conceptual, methodological, implementation-focused</w:t>
      </w:r>
      <w:r w:rsidRPr="00B65D52">
        <w:br/>
        <w:t>• whether the source is mainly descriptive or framework-building</w:t>
      </w:r>
      <w:r w:rsidRPr="00B65D52">
        <w:br/>
        <w:t>• how the source extends Phase 1 lived-experience findings</w:t>
      </w:r>
      <w:r w:rsidRPr="00B65D52">
        <w:br/>
        <w:t>• whether the source supports or complicates a proposed pathway</w:t>
      </w:r>
      <w:r w:rsidRPr="00B65D52">
        <w:br/>
      </w:r>
      <w:r w:rsidRPr="00B65D52">
        <w:br/>
      </w:r>
      <w:r w:rsidRPr="00D61259">
        <w:rPr>
          <w:b/>
          <w:bCs/>
          <w:sz w:val="28"/>
          <w:szCs w:val="28"/>
        </w:rPr>
        <w:br/>
        <w:t>Phase 2 implementation and co-occurrence coding rules</w:t>
      </w:r>
      <w:r w:rsidRPr="00B65D52">
        <w:br/>
        <w:t>Co-occurrence coding</w:t>
      </w:r>
      <w:r w:rsidRPr="00B65D52">
        <w:br/>
        <w:t>In Phase 2 integration, co-occurrence coding was used to examine how Phase 1 domains and Phase 2 pathways appeared together across studies. A co-occurrence was recorded when a study explicitly addressed both a lived-experience domain and a transdisciplinary pathway within the same analytic contribution.</w:t>
      </w:r>
      <w:r w:rsidRPr="00B65D52">
        <w:br/>
      </w:r>
      <w:r w:rsidRPr="00B65D52">
        <w:br/>
        <w:t>Purpose</w:t>
      </w:r>
      <w:r w:rsidRPr="00B65D52">
        <w:br/>
        <w:t>This step was used to identify:</w:t>
      </w:r>
      <w:r w:rsidRPr="00B65D52">
        <w:br/>
        <w:t>• dense intersections</w:t>
      </w:r>
      <w:r w:rsidRPr="00B65D52">
        <w:br/>
        <w:t>• recurring implementation priorities</w:t>
      </w:r>
      <w:r w:rsidRPr="00B65D52">
        <w:br/>
        <w:t>• gaps in the literature</w:t>
      </w:r>
      <w:r w:rsidRPr="00B65D52">
        <w:br/>
        <w:t>• areas of convergence and divergence across evidence types</w:t>
      </w:r>
      <w:r w:rsidRPr="00B65D52">
        <w:br/>
      </w:r>
      <w:r w:rsidRPr="00B65D52">
        <w:br/>
      </w:r>
      <w:r w:rsidRPr="00D61259">
        <w:rPr>
          <w:b/>
          <w:bCs/>
        </w:rPr>
        <w:t>Co-occurrence interpretation rules</w:t>
      </w:r>
      <w:r w:rsidRPr="00B65D52">
        <w:br/>
        <w:t>• High co-occurrence suggested strong conceptual or applied linkage.</w:t>
      </w:r>
      <w:r w:rsidRPr="00B65D52">
        <w:br/>
        <w:t>• Low co-occurrence did not automatically imply irrelevance; it could also indicate underdeveloped literature.</w:t>
      </w:r>
      <w:r w:rsidRPr="00B65D52">
        <w:br/>
        <w:t>• Co-occurrence patterns were interpreted qualitatively, not as causal or quantitative proof.</w:t>
      </w:r>
      <w:r w:rsidRPr="00B65D52">
        <w:br/>
      </w:r>
      <w:r w:rsidRPr="00B65D52">
        <w:br/>
      </w:r>
      <w:r w:rsidRPr="00B65D52">
        <w:br/>
      </w:r>
      <w:r w:rsidRPr="00D61259">
        <w:rPr>
          <w:b/>
          <w:bCs/>
          <w:sz w:val="28"/>
          <w:szCs w:val="28"/>
        </w:rPr>
        <w:br/>
      </w:r>
      <w:r w:rsidRPr="00D61259">
        <w:rPr>
          <w:b/>
          <w:bCs/>
          <w:sz w:val="32"/>
          <w:szCs w:val="32"/>
        </w:rPr>
        <w:t>Final codebook refinement and audit trail</w:t>
      </w:r>
      <w:r w:rsidRPr="00B65D52">
        <w:br/>
        <w:t>Across both phases, the codebooks were refined iteratively through repeated reading, comparison of coded findings, discussion of disagreements, memo review, and consolidation of operational definitions. Refinement focused especially on:</w:t>
      </w:r>
      <w:r w:rsidRPr="00B65D52">
        <w:br/>
        <w:t>• reducing overlap among adjacent codes</w:t>
      </w:r>
      <w:r w:rsidRPr="00B65D52">
        <w:br/>
      </w:r>
      <w:r w:rsidRPr="00B65D52">
        <w:lastRenderedPageBreak/>
        <w:t>• clarifying distinctions between experiential and implementation-oriented meanings</w:t>
      </w:r>
      <w:r w:rsidRPr="00B65D52">
        <w:br/>
        <w:t>• preserving conceptual nuance while enabling reproducible grouping</w:t>
      </w:r>
      <w:r w:rsidRPr="00B65D52">
        <w:br/>
        <w:t>• aligning final coding structures with the review’s interpretive, transdisciplinary, and practice-oriented aims</w:t>
      </w:r>
    </w:p>
    <w:p w14:paraId="69418A0F" w14:textId="6DC8B28A" w:rsidR="00B65D52" w:rsidRPr="00B65D52" w:rsidRDefault="00B65D52" w:rsidP="00124281">
      <w:r w:rsidRPr="00B65D52">
        <w:br/>
        <w:t>The final codebooks served not only as organizational tools, but also as part of the review’s analytic audit trail linking individual study findings to higher-order domains, pathways, co-occurrence analyses, confidence assessments, and final framework development.</w:t>
      </w:r>
    </w:p>
    <w:p w14:paraId="08A0A9ED" w14:textId="77777777" w:rsidR="00B65D52" w:rsidRPr="00BD723C" w:rsidRDefault="00B65D52" w:rsidP="00B65D52">
      <w:pPr>
        <w:rPr>
          <w:sz w:val="36"/>
          <w:szCs w:val="36"/>
        </w:rPr>
      </w:pPr>
    </w:p>
    <w:p w14:paraId="1EC8B8EB" w14:textId="521944AC" w:rsidR="00B65D52" w:rsidRPr="00B65D52" w:rsidRDefault="00CB6413" w:rsidP="00B65D52">
      <w:r>
        <w:rPr>
          <w:b/>
          <w:bCs/>
          <w:sz w:val="36"/>
          <w:szCs w:val="36"/>
        </w:rPr>
        <w:t xml:space="preserve">S3. </w:t>
      </w:r>
      <w:r w:rsidR="00B65D52" w:rsidRPr="00BD723C">
        <w:rPr>
          <w:b/>
          <w:bCs/>
          <w:sz w:val="36"/>
          <w:szCs w:val="36"/>
        </w:rPr>
        <w:t>Supplementary Results</w:t>
      </w:r>
      <w:r w:rsidR="00B65D52" w:rsidRPr="00B65D52">
        <w:br/>
      </w:r>
      <w:r w:rsidR="00B65D52" w:rsidRPr="00B65D52">
        <w:br/>
      </w:r>
      <w:r w:rsidR="00B65D52" w:rsidRPr="00BD723C">
        <w:rPr>
          <w:b/>
          <w:bCs/>
        </w:rPr>
        <w:t>Overview of synthesis outputs</w:t>
      </w:r>
      <w:r w:rsidR="00B65D52" w:rsidRPr="00B65D52">
        <w:br/>
        <w:t>Across both phases, the sequential synthesis included 158 studies. Phase 1 comprised 94 studies representing 17,468 participants from 28 countries and synthesized the lived experience of chronic illness and chronic pain. Phase 2 incorporated an additional 64 studies examining transdisciplinary pathways for implementation and framework development. Together, these phases generated an evidence-informed, transdisciplinary framework for chronic illness care grounded in experiential, organizational, and conceptual synthesis.</w:t>
      </w:r>
      <w:r w:rsidR="00B65D52" w:rsidRPr="00B65D52">
        <w:br/>
      </w:r>
      <w:r w:rsidR="00B65D52" w:rsidRPr="00B65D52">
        <w:br/>
      </w:r>
      <w:r w:rsidR="00B65D52" w:rsidRPr="00D61259">
        <w:rPr>
          <w:b/>
          <w:bCs/>
          <w:sz w:val="28"/>
          <w:szCs w:val="28"/>
        </w:rPr>
        <w:t>Phase 1. Lived experience of chronic illness and chronic pain</w:t>
      </w:r>
      <w:r w:rsidR="00B65D52" w:rsidRPr="00B65D52">
        <w:br/>
      </w:r>
      <w:r w:rsidR="00B65D52" w:rsidRPr="00D61259">
        <w:rPr>
          <w:b/>
          <w:bCs/>
        </w:rPr>
        <w:t>Synthesis sample and analytic outputs</w:t>
      </w:r>
      <w:r w:rsidR="00B65D52" w:rsidRPr="00B65D52">
        <w:br/>
        <w:t>Phase 1 included 94 studies drawn from qualitative studies, phenomenological studies, interpretive qualitative studies, meta-ethnographies, and related qualitative syntheses. Across these studies, iterative hermeneutic reading and meta-ethnographic translation yielded nine principal experiential domains: Social, Physical, Psychological, Chronic Pain, Cultural, Cognitive, Healthcare/System, Environmental, and Ecological. Coding was conducted at the level of study findings rather than participant counts in order to preserve interpretive meaning and avoid disproportionate weighting of larger studies (Noblit and Hare 1988; Thomas and Harden 2008; France et al. 2019).</w:t>
      </w:r>
      <w:r w:rsidR="00B65D52" w:rsidRPr="00B65D52">
        <w:br/>
      </w:r>
      <w:r w:rsidR="00B65D52" w:rsidRPr="00B65D52">
        <w:br/>
      </w:r>
      <w:r w:rsidR="00B65D52" w:rsidRPr="00D61259">
        <w:rPr>
          <w:b/>
          <w:bCs/>
        </w:rPr>
        <w:t>Principal domains and thematic structure</w:t>
      </w:r>
      <w:r w:rsidR="00B65D52" w:rsidRPr="00B65D52">
        <w:br/>
        <w:t>The most prominent domains were Social, Psychological, Physical, Healthcare/System, and Chronic Pain. Across these domains, recurrent subthemes included support systems, isolation, family strain, work disruption, pain and symptom burden, activity and pacing, limitation and disability, depression and hopelessness, anxiety and fear, identity threat, validation versus dismissal, fragmented care, access barriers, pain dominance, suffering, and variability or uncertainty.</w:t>
      </w:r>
      <w:r w:rsidR="00B65D52" w:rsidRPr="00B65D52">
        <w:br/>
        <w:t>Taken together, these findings showed chronic illness and chronic pain to be multidimensional and relational rather than reducible to bodily symptoms alone. Lived experience was structured by embodied burden, emotional distress, disruption of self, altered social participation, cultural legitimacy, and healthcare recognition or invalidation. Smaller but conceptually important contributions from Cultural, Cognitive, Environmental, and Ecological domains further showed that meaning-making, stigma, place, structural conditions, and broader life reorganization were integral to chronic illness experience.</w:t>
      </w:r>
      <w:r w:rsidR="00B65D52" w:rsidRPr="00B65D52">
        <w:br/>
      </w:r>
      <w:r w:rsidR="00B65D52" w:rsidRPr="00B65D52">
        <w:br/>
      </w:r>
      <w:r w:rsidR="00B65D52" w:rsidRPr="00D61259">
        <w:rPr>
          <w:b/>
          <w:bCs/>
        </w:rPr>
        <w:lastRenderedPageBreak/>
        <w:t>Interpretive patterns</w:t>
      </w:r>
      <w:r w:rsidR="00B65D52" w:rsidRPr="00B65D52">
        <w:br/>
        <w:t>Across the Phase 1 synthesis, five interpretive patterns were especially prominent. First, chronic pain and illness were experienced as intrusive, fluctuating, and often unpredictable. Second, illness disrupted identity, self-continuity, and ordinary expectations of functioning. Third, social support and social isolation emerged as major opposing poles in the lived experience. Fourth, healthcare encounters were central, particularly where validation, dismissal, access, and care mismatch were concerned. Fifth, adaptation was not limited to symptom management, but involved broader reorganization of daily life, relationships, and future orientation.</w:t>
      </w:r>
      <w:r w:rsidR="00B65D52" w:rsidRPr="00B65D52">
        <w:br/>
        <w:t>These patterns supported a third-order interpretation of chronic illness and chronic pain as dynamic and processual phenomena characterized by temporality, interdependence across domains, unstable legitimacy, and the fundamentally relational nature of adaptation.</w:t>
      </w:r>
      <w:r w:rsidR="00B65D52" w:rsidRPr="00B65D52">
        <w:br/>
      </w:r>
      <w:r w:rsidR="00B65D52" w:rsidRPr="00B65D52">
        <w:br/>
      </w:r>
      <w:r w:rsidR="00B65D52" w:rsidRPr="00D61259">
        <w:rPr>
          <w:b/>
          <w:bCs/>
        </w:rPr>
        <w:t>Confidence in Phase 1 findings</w:t>
      </w:r>
      <w:r w:rsidR="00B65D52" w:rsidRPr="00D61259">
        <w:rPr>
          <w:b/>
          <w:bCs/>
        </w:rPr>
        <w:br/>
      </w:r>
      <w:r w:rsidR="00B65D52" w:rsidRPr="00B65D52">
        <w:t xml:space="preserve">Confidence in synthesized Phase 1 findings ranged from moderate to high for the most recurrent and coherent domains, particularly those relating to social support and isolation, emotional distress, symptom burden, healthcare validation, and pain dominance. More specific or context-dependent findings, especially within Environmental and Ecological domains, were supported by fewer studies and were interpreted more cautiously. </w:t>
      </w:r>
      <w:proofErr w:type="spellStart"/>
      <w:r w:rsidR="00B65D52" w:rsidRPr="00B65D52">
        <w:t>CERQual</w:t>
      </w:r>
      <w:proofErr w:type="spellEnd"/>
      <w:r w:rsidR="00B65D52" w:rsidRPr="00B65D52">
        <w:t xml:space="preserve"> assessments are reported in the Supplementary Tables (Lewin et al. 2018; Downe et al. 2019).</w:t>
      </w:r>
      <w:r w:rsidR="00B65D52" w:rsidRPr="00B65D52">
        <w:br/>
      </w:r>
      <w:r w:rsidR="00B65D52" w:rsidRPr="00B65D52">
        <w:br/>
      </w:r>
      <w:r w:rsidR="00B65D52" w:rsidRPr="00B65D52">
        <w:br/>
      </w:r>
      <w:r w:rsidR="00B65D52" w:rsidRPr="00D61259">
        <w:rPr>
          <w:b/>
          <w:bCs/>
        </w:rPr>
        <w:t>Phase 2. Transdisciplinary pathways for implementation</w:t>
      </w:r>
      <w:r w:rsidR="00B65D52" w:rsidRPr="00D61259">
        <w:rPr>
          <w:b/>
          <w:bCs/>
        </w:rPr>
        <w:br/>
        <w:t>Evidence base and thematic structure</w:t>
      </w:r>
      <w:r w:rsidR="00B65D52" w:rsidRPr="00B65D52">
        <w:br/>
        <w:t>Phase 2 incorporated 64 additional studies spanning empirical qualitative and mixed-methods studies, participatory research, scoping and systematic reviews, applied ontology and informatics studies, and conceptual or theoretical papers. Interpretive synthesis identified four higher-order transdisciplinary themes:</w:t>
      </w:r>
      <w:r w:rsidR="00B65D52" w:rsidRPr="00B65D52">
        <w:br/>
      </w:r>
      <w:r w:rsidR="00B65D52" w:rsidRPr="00B65D52">
        <w:br/>
        <w:t>1. pain: mindfulness, lived experience, and supportive care;  </w:t>
      </w:r>
      <w:r w:rsidR="00B65D52" w:rsidRPr="00B65D52">
        <w:br/>
        <w:t>2. ontology: process-based conceptualization;  </w:t>
      </w:r>
      <w:r w:rsidR="00B65D52" w:rsidRPr="00B65D52">
        <w:br/>
        <w:t xml:space="preserve">3. </w:t>
      </w:r>
      <w:proofErr w:type="spellStart"/>
      <w:r w:rsidR="00B65D52" w:rsidRPr="00B65D52">
        <w:t>transdisciplinarity</w:t>
      </w:r>
      <w:proofErr w:type="spellEnd"/>
      <w:r w:rsidR="00B65D52" w:rsidRPr="00B65D52">
        <w:t>: One Health, team science, and whole-systems research; and  </w:t>
      </w:r>
      <w:r w:rsidR="00B65D52" w:rsidRPr="00B65D52">
        <w:br/>
        <w:t>4. participatory research: community-based participatory research, participatory action research, co-production, and community engagement.</w:t>
      </w:r>
      <w:r w:rsidR="00B65D52" w:rsidRPr="00B65D52">
        <w:br/>
      </w:r>
      <w:r w:rsidR="00B65D52" w:rsidRPr="00B65D52">
        <w:br/>
        <w:t>Although analytically distinct, these themes converged in supporting care models that integrate biological, psychological, social, cultural, and organizational dimensions of chronic illness.</w:t>
      </w:r>
      <w:r w:rsidR="00B65D52" w:rsidRPr="00B65D52">
        <w:br/>
      </w:r>
      <w:r w:rsidR="00B65D52" w:rsidRPr="00B65D52">
        <w:br/>
      </w:r>
      <w:r w:rsidR="00B65D52" w:rsidRPr="00D61259">
        <w:rPr>
          <w:b/>
          <w:bCs/>
        </w:rPr>
        <w:t>Pain, supportive care, and lived experience</w:t>
      </w:r>
      <w:r w:rsidR="00B65D52" w:rsidRPr="00B65D52">
        <w:br/>
        <w:t>The pain literature showed broad convergence around a whole-person understanding of chronic pain. Across systematic reviews, qualitative studies, participatory work, and service-development papers, the most consistent findings related to reduced pain-related distress, improved coping, better quality of life, and greater engagement with care. Evidence for direct reductions in pain intensity was less consistent. Overall, this literature supported mindfulness-based and supportive-care approaches most strongly as components of broader relational and whole-person models rather than as stand-alone solutions.</w:t>
      </w:r>
      <w:r w:rsidR="00B65D52" w:rsidRPr="00B65D52">
        <w:br/>
      </w:r>
      <w:r w:rsidR="00B65D52" w:rsidRPr="00B65D52">
        <w:br/>
      </w:r>
      <w:r w:rsidR="00B65D52" w:rsidRPr="00D61259">
        <w:rPr>
          <w:b/>
          <w:bCs/>
        </w:rPr>
        <w:lastRenderedPageBreak/>
        <w:t>Ontology and process-based conceptualization</w:t>
      </w:r>
      <w:r w:rsidR="00B65D52" w:rsidRPr="00B65D52">
        <w:br/>
        <w:t>The ontology literature comprised two overlapping strands. Applied ontology studies supported the use of formal ontologies for data integration, interoperability, workflow representation, causal modelling, and decision support. In parallel, philosophical and theoretical studies supported process-based accounts of chronic illness emphasizing temporality, fluctuation, interaction, and multi-level causation. Together, these strands suggested that process-sensitive conceptual frameworks are especially well suited to chronic conditions characterized by recurrence, instability, and complexity across domains.</w:t>
      </w:r>
      <w:r w:rsidR="00B65D52" w:rsidRPr="00B65D52">
        <w:br/>
      </w:r>
      <w:r w:rsidR="00B65D52" w:rsidRPr="00B65D52">
        <w:br/>
      </w:r>
      <w:proofErr w:type="spellStart"/>
      <w:r w:rsidR="00B65D52" w:rsidRPr="00D61259">
        <w:rPr>
          <w:b/>
          <w:bCs/>
        </w:rPr>
        <w:t>Transdisciplinarity</w:t>
      </w:r>
      <w:proofErr w:type="spellEnd"/>
      <w:r w:rsidR="00B65D52" w:rsidRPr="00D61259">
        <w:rPr>
          <w:b/>
          <w:bCs/>
        </w:rPr>
        <w:t xml:space="preserve"> and whole-systems collaboration</w:t>
      </w:r>
      <w:r w:rsidR="00B65D52" w:rsidRPr="00D61259">
        <w:rPr>
          <w:b/>
          <w:bCs/>
        </w:rPr>
        <w:br/>
      </w:r>
      <w:r w:rsidR="00B65D52" w:rsidRPr="00B65D52">
        <w:t xml:space="preserve">The </w:t>
      </w:r>
      <w:proofErr w:type="spellStart"/>
      <w:r w:rsidR="00B65D52" w:rsidRPr="00B65D52">
        <w:t>transdisciplinarity</w:t>
      </w:r>
      <w:proofErr w:type="spellEnd"/>
      <w:r w:rsidR="00B65D52" w:rsidRPr="00B65D52">
        <w:t xml:space="preserve"> literature consistently emphasized that chronic illness and chronic pain cannot be adequately addressed within disciplinary silos. Recurrent themes included the need for shared conceptual language, enabling institutional conditions, collaborative infrastructures, flexible evaluative models, and integration of diverse forms of expertise. Although direct evaluative evidence was more limited than in some other areas, the literature strongly supported </w:t>
      </w:r>
      <w:proofErr w:type="spellStart"/>
      <w:r w:rsidR="00B65D52" w:rsidRPr="00B65D52">
        <w:t>transdisciplinarity</w:t>
      </w:r>
      <w:proofErr w:type="spellEnd"/>
      <w:r w:rsidR="00B65D52" w:rsidRPr="00B65D52">
        <w:t xml:space="preserve"> as an organizational and epistemic requirement for complex care.</w:t>
      </w:r>
      <w:r w:rsidR="00B65D52" w:rsidRPr="00B65D52">
        <w:br/>
      </w:r>
      <w:r w:rsidR="00B65D52" w:rsidRPr="00D61259">
        <w:rPr>
          <w:b/>
          <w:bCs/>
        </w:rPr>
        <w:br/>
        <w:t>Participatory research and contextual fit</w:t>
      </w:r>
      <w:r w:rsidR="00B65D52" w:rsidRPr="00B65D52">
        <w:br/>
        <w:t>Participatory research showed the most consistent empirical support across contexts. Across CBPR, PAR, co-design, and community-engaged studies, participation was associated with improved contextual fit, trust, legitimacy, equity, and implementation relevance. These findings were especially salient in settings marked by stigma, fragmentation, marginalization, or mismatch between professional assumptions and lived experience. Participation functioned not only as an ethical principle, but also as a practical mechanism for improving acceptability and real-world applicability.</w:t>
      </w:r>
      <w:r w:rsidR="00B65D52" w:rsidRPr="00B65D52">
        <w:br/>
      </w:r>
      <w:r w:rsidR="00B65D52" w:rsidRPr="00B65D52">
        <w:br/>
      </w:r>
      <w:r w:rsidR="00B65D52" w:rsidRPr="00D61259">
        <w:rPr>
          <w:b/>
          <w:bCs/>
        </w:rPr>
        <w:t>Confidence and sensitivity analysis</w:t>
      </w:r>
      <w:r w:rsidR="00B65D52" w:rsidRPr="00B65D52">
        <w:br/>
        <w:t xml:space="preserve">Confidence in Phase 2 findings varied across thematic areas. Participatory research and applied ontology showed the greatest overall robustness, supported by high coherence and relevance together with either substantial empirical grounding or strong conceptual precision. The </w:t>
      </w:r>
      <w:proofErr w:type="spellStart"/>
      <w:r w:rsidR="00B65D52" w:rsidRPr="00B65D52">
        <w:t>transdisciplinarity</w:t>
      </w:r>
      <w:proofErr w:type="spellEnd"/>
      <w:r w:rsidR="00B65D52" w:rsidRPr="00B65D52">
        <w:t xml:space="preserve"> literature also showed strong coherence and relevance, although confidence in implementation effectiveness was more limited because much of the literature was conceptual, strategic, or scoping in nature. The pain literature supported a whole-person and supportive-care orientation, but heterogeneity in interventions and outcomes required greater caution, especially regarding claims about pain intensity reduction.</w:t>
      </w:r>
      <w:r w:rsidR="00B65D52" w:rsidRPr="00B65D52">
        <w:br/>
        <w:t xml:space="preserve">Sensitivity analyses showed that all four higher-order themes remained stable under alternative analytic restrictions, although some conclusions narrowed. In the pain literature, stronger evidence restrictions preserved the overall theme but narrowed the most defensible claims to distress reduction, coping, quality of life, and engagement. In the ontology literature, applied findings remained highly stable, whereas broader process-ontological claims required more cautious interpretation when separated from theoretical sources. In the </w:t>
      </w:r>
      <w:proofErr w:type="spellStart"/>
      <w:r w:rsidR="00B65D52" w:rsidRPr="00B65D52">
        <w:t>transdisciplinarity</w:t>
      </w:r>
      <w:proofErr w:type="spellEnd"/>
      <w:r w:rsidR="00B65D52" w:rsidRPr="00B65D52">
        <w:t xml:space="preserve"> literature, the need for cross-disciplinary and cross-sector collaboration remained clear, but claims about comparative effectiveness or downstream implementation outcomes became more tentative when limited to evaluative evidence. The participatory literature was least affected by sensitivity testing, with core conclusions regarding trust, equity, contextual relevance, and implementation fit remaining unchanged.</w:t>
      </w:r>
      <w:r w:rsidR="00B65D52" w:rsidRPr="00B65D52">
        <w:br/>
      </w:r>
      <w:r w:rsidR="00B65D52" w:rsidRPr="00B65D52">
        <w:lastRenderedPageBreak/>
        <w:br/>
      </w:r>
      <w:r w:rsidR="00B65D52" w:rsidRPr="00B65D52">
        <w:br/>
      </w:r>
      <w:r w:rsidR="00B65D52" w:rsidRPr="00D61259">
        <w:rPr>
          <w:b/>
          <w:bCs/>
          <w:sz w:val="28"/>
          <w:szCs w:val="28"/>
        </w:rPr>
        <w:t>Integrative findings across Phases 1 and 2</w:t>
      </w:r>
      <w:r w:rsidR="00B65D52" w:rsidRPr="00D61259">
        <w:rPr>
          <w:b/>
          <w:bCs/>
          <w:sz w:val="28"/>
          <w:szCs w:val="28"/>
        </w:rPr>
        <w:br/>
      </w:r>
      <w:r w:rsidR="00B65D52" w:rsidRPr="00B65D52">
        <w:t>Bringing the two phases together, the synthesis supported a model of chronic illness care that is whole-person, process-sensitive, participatory, and structurally integrated. The experiential findings from Phase 1 demonstrated that chronic illness and chronic pain are lived across intertwined bodily, emotional, social, cultural, and healthcare dimensions. The transdisciplinary findings from Phase 2 identified conceptual and methodological pathways capable of addressing this complexity through process-based understanding, collaborative infrastructures, participatory design, and supportive forms of care.</w:t>
      </w:r>
      <w:r w:rsidR="00B65D52" w:rsidRPr="00B65D52">
        <w:br/>
        <w:t>Across the integrated framework, the most strongly supported conclusions were that chronic illness care should:</w:t>
      </w:r>
      <w:r w:rsidR="00B65D52" w:rsidRPr="00B65D52">
        <w:br/>
        <w:t>1. recognize pain and illness as dynamic, relational, and temporally unfolding processes;  </w:t>
      </w:r>
      <w:r w:rsidR="00B65D52" w:rsidRPr="00B65D52">
        <w:br/>
        <w:t>2. move beyond symptom reduction alone toward broader outcomes such as coping, participation, validation, and quality of life;  </w:t>
      </w:r>
      <w:r w:rsidR="00B65D52" w:rsidRPr="00B65D52">
        <w:br/>
        <w:t>3. incorporate participatory and co-productive approaches to improve relevance, legitimacy, and implementation fit; and  </w:t>
      </w:r>
      <w:r w:rsidR="00B65D52" w:rsidRPr="00B65D52">
        <w:br/>
        <w:t>4. support transdisciplinary collaboration across clinical, social, community, and systems domains.</w:t>
      </w:r>
      <w:r w:rsidR="00B65D52" w:rsidRPr="00B65D52">
        <w:br/>
      </w:r>
      <w:r w:rsidR="00B65D52" w:rsidRPr="00B65D52">
        <w:br/>
        <w:t>Taken together, the synthesis supports an applied transdisciplinary framework in which ethical or axiological commitments, process-relational ontology, plural and practice-relevant epistemology, and continuous reflexivity operate as mutually informing foundations for chronic illness care.</w:t>
      </w:r>
      <w:r w:rsidR="00B65D52" w:rsidRPr="00B65D52">
        <w:br/>
      </w:r>
      <w:r w:rsidR="00B65D52" w:rsidRPr="00D61259">
        <w:rPr>
          <w:b/>
          <w:bCs/>
          <w:sz w:val="36"/>
          <w:szCs w:val="36"/>
        </w:rPr>
        <w:br/>
        <w:t>Outputs reported in supplementary materials</w:t>
      </w:r>
      <w:r w:rsidR="00B65D52" w:rsidRPr="00B65D52">
        <w:br/>
        <w:t xml:space="preserve">Detailed Phase 1 outputs are reported in the Supplementary Tables and include study characteristics, hermeneutic summaries, appraisal outputs, </w:t>
      </w:r>
      <w:proofErr w:type="spellStart"/>
      <w:r w:rsidR="00B65D52" w:rsidRPr="00B65D52">
        <w:t>CERQual</w:t>
      </w:r>
      <w:proofErr w:type="spellEnd"/>
      <w:r w:rsidR="00B65D52" w:rsidRPr="00B65D52">
        <w:t xml:space="preserve"> assessments, code development, codebook structure, weighted thematic summaries, and study-to-domain mapping. Detailed Phase 2 outputs include study-level summaries, thematic coding, appraisal profiles, sensitivity analyses, thematic evidence profiles, and pathway integration tables. Together, these materials provide the analytic trail supporting the final framework.</w:t>
      </w:r>
    </w:p>
    <w:p w14:paraId="53BBBA32" w14:textId="77777777" w:rsidR="00B65D52" w:rsidRPr="00B65D52" w:rsidRDefault="00B65D52" w:rsidP="00B65D52"/>
    <w:p w14:paraId="3EA8F796" w14:textId="77777777" w:rsidR="00E81111" w:rsidRDefault="00B65D52" w:rsidP="00B65D52">
      <w:r w:rsidRPr="00D61259">
        <w:rPr>
          <w:b/>
          <w:bCs/>
        </w:rPr>
        <w:t>Overview of supplementary outputs</w:t>
      </w:r>
      <w:r w:rsidRPr="00B65D52">
        <w:br/>
        <w:t>Supplementary results are presented across Tables S4-S20. These tables document the analytic trail from study inclusion and appraisal through thematic coding, confidence assessment, sensitivity analysis, and final framework integration. Phase 1 supplementary materials focus on the lived experience synthesis of chronic illness and chronic pain, whereas Phase 2 supplementary materials focus on transdisciplinary pathways for implementation and conceptual integration.</w:t>
      </w:r>
      <w:r w:rsidRPr="00B65D52">
        <w:br/>
        <w:t>Across both phases, the sequential synthesis included 158 studies. Phase 1 comprised 94 studies representing 17,468 participants from 28 countries. Phase 2 incorporated 64 additional studies examining transdisciplinary pathways relevant to chronic illness care.</w:t>
      </w:r>
      <w:r w:rsidRPr="00B65D52">
        <w:br/>
      </w:r>
      <w:r w:rsidRPr="00B65D52">
        <w:br/>
      </w:r>
      <w:r w:rsidRPr="00B65D52">
        <w:br/>
      </w:r>
      <w:r w:rsidRPr="00D61259">
        <w:rPr>
          <w:b/>
          <w:bCs/>
          <w:sz w:val="28"/>
          <w:szCs w:val="28"/>
        </w:rPr>
        <w:t>Phase 1. Lived experience of chronic illness and chronic pain</w:t>
      </w:r>
      <w:r w:rsidRPr="00D61259">
        <w:rPr>
          <w:b/>
          <w:bCs/>
        </w:rPr>
        <w:br/>
      </w:r>
      <w:r w:rsidRPr="00B65D52">
        <w:lastRenderedPageBreak/>
        <w:br/>
      </w:r>
      <w:r w:rsidRPr="00D61259">
        <w:rPr>
          <w:b/>
          <w:bCs/>
        </w:rPr>
        <w:t>Study characteristics and evidence base</w:t>
      </w:r>
      <w:r w:rsidRPr="00D61259">
        <w:rPr>
          <w:b/>
          <w:bCs/>
        </w:rPr>
        <w:br/>
      </w:r>
      <w:r w:rsidRPr="00B65D52">
        <w:t>The characteristics of studies included in Phase 1 are summarized in Table S4. These studies spanned multiple countries, chronic illness populations, and qualitative methodologies, including phenomenology, interpretive description, grounded theory, thematic analysis, and qualitative evidence synthesis. Together, they provided the evidentiary basis for the lived-experience synthesis.</w:t>
      </w:r>
      <w:r w:rsidRPr="00B65D52">
        <w:br/>
        <w:t>Study-level methodological appraisal for Phase 1 is reported in Table S5. Overall, the included studies were of sufficient quality to support interpretive synthesis, although some variation was observed in reporting transparency, reflexivity, analytic detail, and contextual description. These quality considerations informed confidence judgments but did not preclude inclusion where conceptual contribution remained strong.</w:t>
      </w:r>
      <w:r w:rsidRPr="00B65D52">
        <w:br/>
      </w:r>
      <w:r w:rsidRPr="00B65D52">
        <w:br/>
      </w:r>
      <w:r w:rsidRPr="00D61259">
        <w:rPr>
          <w:b/>
          <w:bCs/>
        </w:rPr>
        <w:t>Coding structure and thematic organization</w:t>
      </w:r>
      <w:r w:rsidRPr="00B65D52">
        <w:br/>
        <w:t>The Phase 1 coding framework, including principal domains, subdomains, and operational coding rules, is presented in Table S6. Coding was conducted at the level of study findings in order to preserve interpretive meaning and avoid disproportionate weighting of studies with larger sample sizes. This process yielded nine principal experiential domains: Social, Physical, Psychological, Chronic Pain, Healthcare/System, Cultural, Cognitive, Environmental, and Ecological.</w:t>
      </w:r>
      <w:r w:rsidRPr="00B65D52">
        <w:br/>
        <w:t>Study-to-domain coding and domain assignment outputs are summarized in Table S7. Because studies could contribute to more than one domain, totals exceeded the total number of included studies. Primary codes captured dominant analytic emphasis, while secondary and tertiary codes captured co-occurring experiential dimensions.</w:t>
      </w:r>
      <w:r w:rsidR="00D61259">
        <w:t xml:space="preserve"> </w:t>
      </w:r>
      <w:r w:rsidRPr="00B65D52">
        <w:t>Weighted thematic summaries are presented in Table S8. The most prominent domains were Social, Psychological, Physical, Healthcare/System, and Chronic Pain. Across these domains, recurrent subthemes included support systems, isolation, family strain, work disruption, pain and symptom burden, limitation and disability, pacing, depression and hopelessness, anxiety and fear, identity disruption, validation versus dismissal, fragmented care, access barriers, and pain dominance.</w:t>
      </w:r>
      <w:r w:rsidRPr="00B65D52">
        <w:br/>
      </w:r>
      <w:r w:rsidRPr="00B65D52">
        <w:br/>
      </w:r>
      <w:r w:rsidRPr="00D61259">
        <w:rPr>
          <w:b/>
          <w:bCs/>
        </w:rPr>
        <w:t>Interpretive synthesis findings</w:t>
      </w:r>
      <w:r w:rsidRPr="00B65D52">
        <w:br/>
        <w:t>Hermeneutic summaries and higher-order interpretive outputs for Phase 1 are presented in Table S9. Across studies, chronic illness and chronic pain were consistently experienced as multidimensional and relational rather than reducible to symptoms alone. The synthesis showed that lived experience was structured by embodied burden, emotional distress, social participation, identity disruption, uncertainty, cultural legitimacy, and healthcare recognition or invalidation.</w:t>
      </w:r>
      <w:r w:rsidRPr="00B65D52">
        <w:br/>
        <w:t>Five interpretive patterns were particularly prominent. First, chronic illness and pain were experienced as fluctuating, intrusive, and often unpredictable. Second, illness disrupted identity, continuity of self, and ordinary expectations of functioning. Third, support and isolation emerged as major opposing poles in lived experience. Fourth, healthcare encounters were central, especially where validation, dismissal, fragmentation, and access were concerned. Fifth, adaptation involved broader reorganization of daily life, relationships, and future orientation, rather than symptom control alone.</w:t>
      </w:r>
      <w:r w:rsidRPr="00B65D52">
        <w:br/>
        <w:t>These findings supported a third-order interpretation of chronic illness and chronic pain as dynamic and processual phenomena characterized by temporality, interdependence across domains, unstable legitimacy, and the fundamentally relational nature of adaptation.</w:t>
      </w:r>
      <w:r w:rsidRPr="00B65D52">
        <w:br/>
      </w:r>
      <w:r w:rsidRPr="00B65D52">
        <w:lastRenderedPageBreak/>
        <w:br/>
      </w:r>
      <w:r w:rsidRPr="00D61259">
        <w:rPr>
          <w:b/>
          <w:bCs/>
        </w:rPr>
        <w:t>Confidence in Phase 1 findings</w:t>
      </w:r>
      <w:r w:rsidRPr="00B65D52">
        <w:br/>
      </w:r>
      <w:proofErr w:type="spellStart"/>
      <w:r w:rsidRPr="00B65D52">
        <w:t>CERQual</w:t>
      </w:r>
      <w:proofErr w:type="spellEnd"/>
      <w:r w:rsidRPr="00B65D52">
        <w:t>-based confidence assessments for Phase 1 findings are reported in Table S10. Confidence was highest for recurrent and coherent findings relating to social support and isolation, emotional distress, symptom burden, healthcare validation, and pain dominance. Confidence was more moderate for context-specific findings within Environmental, Ecological, and some Cultural domains, largely because these were represented by fewer studies or more heterogeneous contexts. Overall, the core Phase 1 findings were supported by adequate coherence, relevance, and interpretive consistency across the evidence base.</w:t>
      </w:r>
      <w:r w:rsidRPr="00B65D52">
        <w:br/>
      </w:r>
      <w:r w:rsidRPr="00B65D52">
        <w:br/>
      </w:r>
      <w:r w:rsidRPr="00B65D52">
        <w:br/>
      </w:r>
      <w:r w:rsidRPr="00D61259">
        <w:rPr>
          <w:b/>
          <w:bCs/>
          <w:sz w:val="28"/>
          <w:szCs w:val="28"/>
        </w:rPr>
        <w:t>Phase 2. Transdisciplinary pathways for implementation</w:t>
      </w:r>
      <w:r w:rsidRPr="00D61259">
        <w:rPr>
          <w:b/>
          <w:bCs/>
        </w:rPr>
        <w:br/>
      </w:r>
      <w:r w:rsidRPr="00B65D52">
        <w:br/>
      </w:r>
      <w:r w:rsidRPr="00E81111">
        <w:rPr>
          <w:b/>
          <w:bCs/>
        </w:rPr>
        <w:t>Study characteristics and evidence base</w:t>
      </w:r>
      <w:r w:rsidRPr="00B65D52">
        <w:br/>
        <w:t>The characteristics of studies included in Phase 2 are summarized in Table S11. These studies included empirical qualitative and mixed-methods studies, participatory research, reviews, applied ontology and informatics literature, and conceptual or theoretical papers relevant to transdisciplinary chronic illness care.</w:t>
      </w:r>
      <w:r w:rsidR="00E81111">
        <w:t xml:space="preserve"> </w:t>
      </w:r>
      <w:r w:rsidRPr="00B65D52">
        <w:t>Methodological and conceptual appraisal for Phase 2 is reported in Table S12. Because this phase included heterogeneous evidence types, appraisal emphasized both methodological quality and conceptual contribution. Empirical studies were assessed for analytic transparency, adequacy, and relevance, while conceptual papers were assessed for internal coherence, explanatory value, and applicability to chronic illness, chronic pain, and implementation.</w:t>
      </w:r>
      <w:r w:rsidRPr="00B65D52">
        <w:br/>
      </w:r>
      <w:r w:rsidRPr="00B65D52">
        <w:br/>
      </w:r>
      <w:r w:rsidRPr="00E81111">
        <w:rPr>
          <w:b/>
          <w:bCs/>
        </w:rPr>
        <w:t>Thematic coding and higher-order pathways</w:t>
      </w:r>
      <w:r w:rsidRPr="00B65D52">
        <w:br/>
        <w:t>The Phase 2 thematic coding framework is presented in Table S13. Initial coding focused on recurrent constructs across the literature, including lived experience, distress and coping, self-management, supportive care, systems thinking, process ontology, co-production, participation, contextual fit, and implementation relevance.</w:t>
      </w:r>
    </w:p>
    <w:p w14:paraId="70F54E47" w14:textId="77777777" w:rsidR="00E81111" w:rsidRDefault="00B65D52" w:rsidP="00B65D52">
      <w:r w:rsidRPr="00B65D52">
        <w:br/>
        <w:t>Study-to-theme coding outputs are summarized in Table S14. These analyses yielded four higher-order transdisciplinary themes:</w:t>
      </w:r>
      <w:r w:rsidRPr="00B65D52">
        <w:br/>
        <w:t>1. pain: mindfulness, lived experience, and supportive care;  </w:t>
      </w:r>
      <w:r w:rsidRPr="00B65D52">
        <w:br/>
        <w:t>2. ontology: process-based conceptualization;  </w:t>
      </w:r>
      <w:r w:rsidRPr="00B65D52">
        <w:br/>
        <w:t xml:space="preserve">3. </w:t>
      </w:r>
      <w:proofErr w:type="spellStart"/>
      <w:r w:rsidRPr="00B65D52">
        <w:t>transdisciplinarity</w:t>
      </w:r>
      <w:proofErr w:type="spellEnd"/>
      <w:r w:rsidRPr="00B65D52">
        <w:t>: One Health, team science, and whole-systems research; and  </w:t>
      </w:r>
      <w:r w:rsidRPr="00B65D52">
        <w:br/>
        <w:t>4. participatory research: community-based participatory research, participatory action research, co-production, and community engagement.</w:t>
      </w:r>
      <w:r w:rsidRPr="00B65D52">
        <w:br/>
        <w:t>Thematic evidence summaries for these four pathways are presented in Table S15. Across these materials, the literature converged in supporting models of care that integrate biological, psychological, social, cultural, and organizational dimensions of chronic illness.</w:t>
      </w:r>
      <w:r w:rsidRPr="00B65D52">
        <w:br/>
      </w:r>
      <w:r w:rsidRPr="00B65D52">
        <w:br/>
      </w:r>
      <w:r w:rsidRPr="00E81111">
        <w:rPr>
          <w:b/>
          <w:bCs/>
        </w:rPr>
        <w:t>Pathway-specific findings</w:t>
      </w:r>
      <w:r w:rsidRPr="00B65D52">
        <w:br/>
      </w:r>
      <w:proofErr w:type="spellStart"/>
      <w:r w:rsidRPr="00B65D52">
        <w:t>Findings</w:t>
      </w:r>
      <w:proofErr w:type="spellEnd"/>
      <w:r w:rsidRPr="00B65D52">
        <w:t xml:space="preserve"> related to pain, mindfulness, lived experience, and supportive care are summarized in Table S15 and elaborated in Table S16. Across systematic reviews, qualitative studies, participatory work, and service-development literature, the strongest and most consistent findings related to reductions in distress, improved coping, better quality of life, and greater </w:t>
      </w:r>
      <w:r w:rsidRPr="00B65D52">
        <w:lastRenderedPageBreak/>
        <w:t>engagement with care. Evidence for direct reductions in pain intensity was less consistent. Accordingly, these studies supported mindfulness-based and supportive-care approaches most strongly as components of broader whole-person models rather than as stand-alone interventions.</w:t>
      </w:r>
      <w:r w:rsidRPr="00B65D52">
        <w:br/>
      </w:r>
    </w:p>
    <w:p w14:paraId="14BEE873" w14:textId="73330ECD" w:rsidR="00B65D52" w:rsidRPr="00B65D52" w:rsidRDefault="00B65D52" w:rsidP="00B65D52">
      <w:r w:rsidRPr="00B65D52">
        <w:t xml:space="preserve">Findings related to ontology and process-based conceptualization are summarized in Table S15 and further detailed in Table S16. Applied ontology studies supported the use of formal ontologies for data integration, interoperability, workflow representation, causal modelling, and decision support. Conceptual and philosophical studies, in parallel, emphasized chronic illness as temporal, fluctuating, interactive, and multi-level in character. Together, these strands supported process-sensitive frameworks as especially </w:t>
      </w:r>
      <w:proofErr w:type="spellStart"/>
      <w:r w:rsidRPr="00B65D52">
        <w:t>well suited</w:t>
      </w:r>
      <w:proofErr w:type="spellEnd"/>
      <w:r w:rsidRPr="00B65D52">
        <w:t xml:space="preserve"> to chronic conditions marked by recurrence, instability, and complexity.</w:t>
      </w:r>
      <w:r w:rsidRPr="00B65D52">
        <w:br/>
        <w:t xml:space="preserve">Findings related to </w:t>
      </w:r>
      <w:proofErr w:type="spellStart"/>
      <w:r w:rsidRPr="00B65D52">
        <w:t>transdisciplinarity</w:t>
      </w:r>
      <w:proofErr w:type="spellEnd"/>
      <w:r w:rsidRPr="00B65D52">
        <w:t xml:space="preserve"> and whole-systems collaboration are summarized in Table S15 and Table S16. Recurrent themes included the need for shared conceptual language, enabling institutional conditions, collaborative infrastructures, flexible evaluative approaches, and integration of multiple forms of expertise. Although direct evaluative evidence was more limited than in some other areas, the literature consistently supported </w:t>
      </w:r>
      <w:proofErr w:type="spellStart"/>
      <w:r w:rsidRPr="00B65D52">
        <w:t>transdisciplinarity</w:t>
      </w:r>
      <w:proofErr w:type="spellEnd"/>
      <w:r w:rsidRPr="00B65D52">
        <w:t xml:space="preserve"> as both an organizational and epistemic requirement for complex chronic care.</w:t>
      </w:r>
      <w:r w:rsidRPr="00B65D52">
        <w:br/>
        <w:t>Findings related to participatory research and contextual fit are summarized in Table S15 and Table S16. Across CBPR, PAR, co-design, and community-engaged studies, participation was associated with improved contextual fit, trust, legitimacy, equity, and implementation relevance. These findings were especially prominent in contexts marked by stigma, fragmentation, marginalization, or mismatch between professional assumptions and lived experience.</w:t>
      </w:r>
      <w:r w:rsidRPr="00B65D52">
        <w:br/>
      </w:r>
      <w:r w:rsidRPr="00B65D52">
        <w:br/>
      </w:r>
      <w:r w:rsidRPr="00E81111">
        <w:rPr>
          <w:b/>
          <w:bCs/>
        </w:rPr>
        <w:t>Confidence and sensitivity analysis</w:t>
      </w:r>
      <w:r w:rsidRPr="00B65D52">
        <w:br/>
        <w:t xml:space="preserve">Phase 2 confidence profiles are presented in Table S16. Participatory research and applied ontology showed the greatest overall robustness, supported by strong coherence and relevance together with either substantial empirical grounding or strong conceptual precision. The </w:t>
      </w:r>
      <w:proofErr w:type="spellStart"/>
      <w:r w:rsidRPr="00B65D52">
        <w:t>transdisciplinarity</w:t>
      </w:r>
      <w:proofErr w:type="spellEnd"/>
      <w:r w:rsidRPr="00B65D52">
        <w:t xml:space="preserve"> literature also showed strong coherence and relevance, although confidence in comparative implementation effectiveness was lower because much of the literature was conceptual, strategic, or scoping in nature. The pain literature supported a whole-person and supportive-care orientation, but heterogeneity in interventions and outcomes required greater caution, especially for claims concerning pain intensity reduction.</w:t>
      </w:r>
      <w:r w:rsidRPr="00B65D52">
        <w:br/>
        <w:t xml:space="preserve">Sensitivity analyses are reported in Table S17. Across source restriction, weighting analysis, and evidence-separation procedures, all four higher-order themes remained stable, although some claims narrowed under stricter evidentiary assumptions. In the pain literature, the strongest retained claims concerned distress reduction, coping, quality of life, and engagement. In the ontology literature, applied findings remained stable, whereas broader process-ontological claims required more cautious interpretation when separated from theoretical sources. In the </w:t>
      </w:r>
      <w:proofErr w:type="spellStart"/>
      <w:r w:rsidRPr="00B65D52">
        <w:t>transdisciplinarity</w:t>
      </w:r>
      <w:proofErr w:type="spellEnd"/>
      <w:r w:rsidRPr="00B65D52">
        <w:t xml:space="preserve"> literature, the importance of cross-disciplinary collaboration remained clear, but claims about downstream implementation effectiveness became more tentative when restricted to evaluative evidence. Participatory findings were least affected by sensitivity testing, with conclusions regarding trust, equity, contextual relevance, and implementation fit remaining stable.</w:t>
      </w:r>
      <w:r w:rsidRPr="00B65D52">
        <w:br/>
      </w:r>
      <w:r w:rsidRPr="00B65D52">
        <w:br/>
      </w:r>
      <w:r w:rsidRPr="00B65D52">
        <w:br/>
      </w:r>
      <w:r w:rsidRPr="00E81111">
        <w:rPr>
          <w:b/>
          <w:bCs/>
          <w:sz w:val="28"/>
          <w:szCs w:val="28"/>
        </w:rPr>
        <w:t>Integration across Phases 1 and 2</w:t>
      </w:r>
      <w:r w:rsidRPr="00B65D52">
        <w:br/>
      </w:r>
      <w:r w:rsidRPr="00E81111">
        <w:rPr>
          <w:b/>
          <w:bCs/>
        </w:rPr>
        <w:lastRenderedPageBreak/>
        <w:br/>
        <w:t>Co-occurrence analysis and matrix outputs</w:t>
      </w:r>
      <w:r w:rsidRPr="00B65D52">
        <w:br/>
        <w:t>Integration of lived-experience domains with transdisciplinary pathways is presented in Table S18. The co-occurrence matrix mapped Phase 1 experiential domains against Phase 2 transdisciplinary pathways to identify areas of convergence and underdevelopment. The strongest intersections clustered around social and psychological experience, healthcare/system experience, chronic pain, and participatory or supportive-care pathways. Lower-density intersections were observed in ecological and environmental domains, suggesting areas that remain comparatively underdeveloped in the current literature.</w:t>
      </w:r>
      <w:r w:rsidRPr="00B65D52">
        <w:br/>
      </w:r>
      <w:r w:rsidRPr="00B65D52">
        <w:br/>
      </w:r>
      <w:r w:rsidRPr="00E81111">
        <w:rPr>
          <w:b/>
          <w:bCs/>
        </w:rPr>
        <w:t>Final framework structure</w:t>
      </w:r>
      <w:r w:rsidRPr="00E81111">
        <w:rPr>
          <w:b/>
          <w:bCs/>
        </w:rPr>
        <w:br/>
      </w:r>
      <w:r w:rsidRPr="00B65D52">
        <w:t>The integrated framework components are presented in Table S19. Bringing the two phases together, the synthesis supported a model of chronic illness care that is whole-person, process-sensitive, participatory, and structurally integrated. The lived-experience findings demonstrated that chronic illness and chronic pain unfold across intertwined bodily, emotional, social, cultural, and healthcare dimensions. The transdisciplinary findings identified conceptual and methodological pathways capable of responding to this complexity through process-based understanding, collaborative infrastructures, participatory design, and supportive care.</w:t>
      </w:r>
      <w:r w:rsidRPr="00B65D52">
        <w:br/>
        <w:t>Across the integrated framework, the most strongly supported conclusions were that chronic illness care should:</w:t>
      </w:r>
      <w:r w:rsidRPr="00B65D52">
        <w:br/>
      </w:r>
      <w:r w:rsidRPr="00B65D52">
        <w:br/>
        <w:t>1. recognize pain and illness as dynamic, relational, and temporally unfolding processes;  </w:t>
      </w:r>
      <w:r w:rsidRPr="00B65D52">
        <w:br/>
        <w:t>2. move beyond symptom reduction alone toward broader outcomes such as coping, participation, validation, and quality of life;  </w:t>
      </w:r>
      <w:r w:rsidRPr="00B65D52">
        <w:br/>
        <w:t>3. incorporate participatory and co-productive approaches to improve relevance, legitimacy, and implementation fit; and  </w:t>
      </w:r>
      <w:r w:rsidRPr="00B65D52">
        <w:br/>
        <w:t>4. support transdisciplinary collaboration across clinical, social, community, and systems domains.</w:t>
      </w:r>
      <w:r w:rsidRPr="00B65D52">
        <w:br/>
      </w:r>
      <w:r w:rsidRPr="00E81111">
        <w:rPr>
          <w:b/>
          <w:bCs/>
        </w:rPr>
        <w:br/>
        <w:t>Evidence-to-framework synthesis trail</w:t>
      </w:r>
      <w:r w:rsidRPr="00B65D52">
        <w:br/>
      </w:r>
      <w:r w:rsidRPr="00B65D52">
        <w:br/>
        <w:t>The final evidence-to-framework synthesis trail is summarized in Table S20. This table links Phase 1 domains and interpretive findings with Phase 2 pathways, confidence judgments, and final framework propositions. Taken together, these materials show how the final transdisciplinary chronic illness care framework was derived from the combined experiential and transdisciplinary evidence base.</w:t>
      </w:r>
      <w:r w:rsidRPr="00B65D52">
        <w:br/>
      </w:r>
      <w:r w:rsidRPr="00B65D52">
        <w:br/>
      </w:r>
      <w:r w:rsidRPr="00124281">
        <w:rPr>
          <w:b/>
          <w:bCs/>
        </w:rPr>
        <w:t>Summary of supplementary findings</w:t>
      </w:r>
      <w:r w:rsidRPr="00B65D52">
        <w:br/>
        <w:t>Taken together, Tables S4-S20 document a consistent analytic progression from qualitative lived-experience synthesis to transdisciplinary framework development. Phase 1 showed that chronic illness and chronic pain are lived as dynamic, multidimensional, and relational processes shaped by symptoms, identity, emotional distress, social participation, and healthcare recognition. Phase 2 showed that these realities are best addressed through process-sensitive, participatory, and transdisciplinary approaches rather than narrowly reductionist or discipline-bound models. The resulting framework therefore rests on integrated ethical, ontological, epistemological, and implementation-oriented foundations for chronic illness care.</w:t>
      </w:r>
    </w:p>
    <w:p w14:paraId="79B64718" w14:textId="77777777" w:rsidR="00B65D52" w:rsidRPr="00B65D52" w:rsidRDefault="00B65D52" w:rsidP="00B65D52"/>
    <w:p w14:paraId="347A6D48" w14:textId="11128C3C" w:rsidR="00124281" w:rsidRPr="00E81111" w:rsidRDefault="00B65D52" w:rsidP="00B65D52">
      <w:pPr>
        <w:rPr>
          <w:b/>
          <w:bCs/>
          <w:sz w:val="32"/>
          <w:szCs w:val="32"/>
        </w:rPr>
      </w:pPr>
      <w:r w:rsidRPr="00B65D52">
        <w:t xml:space="preserve">The supplementary materials are organized to reflect the sequential synthesis process described in Supplementary Table S1. Phase 1 study characteristics are presented in Table S4 and methodological appraisal in Table S5. The Phase 1 codebook for lived experience of chronic illness and chronic pain is provided in Table S6, followed by study-to-domain coding outputs in Table S7, thematic prominence summaries in Table S8, translated concepts and interpretive synthesis outputs in Table S9, and </w:t>
      </w:r>
      <w:proofErr w:type="spellStart"/>
      <w:r w:rsidRPr="00B65D52">
        <w:t>CERQual</w:t>
      </w:r>
      <w:proofErr w:type="spellEnd"/>
      <w:r w:rsidRPr="00B65D52">
        <w:t xml:space="preserve"> confidence assessments in Table S10. Phase 2 study characteristics are presented in Table S11 and methodological/conceptual appraisal in Table S12. The Phase 2 codebook for transdisciplinary pathways is provided in Table S13, followed by study-to-pathway coding outputs in Table S14, pathway-level evidence synthesis in Table S15, and confidence profiles for synthesized Phase 2 findings in Table S16. Sensitivity analyses are summarized in Table S17, co-occurrence matrices linking Phase 1 and Phase 2 outputs are presented in Table S18, integrated framework components in Table S19, and the final evidence-to-framework synthesis trail in Table S20.</w:t>
      </w:r>
      <w:r w:rsidRPr="00B65D52">
        <w:br/>
      </w:r>
      <w:r w:rsidRPr="00B65D52">
        <w:br/>
      </w:r>
      <w:r w:rsidRPr="00B65D52">
        <w:br/>
        <w:t xml:space="preserve">The supplementary tables document the full analytic progression from study extraction and appraisal through coding, translation, confidence assessment, cross-phase integration, and final framework development. In Phase 1, the lived-experience evidence base was characterized in Table S4 and appraised in Table S5. Operational definitions for experiential domains and subdomains were established in the Phase 1 codebook (Table S6), which guided study-to-domain coding (Table S7), thematic prominence analysis (Table S8), and interpretive translation into higher-order constructs (Table S9). Confidence in synthesized Phase 1 findings was assessed using </w:t>
      </w:r>
      <w:proofErr w:type="spellStart"/>
      <w:r w:rsidRPr="00B65D52">
        <w:t>CERQual</w:t>
      </w:r>
      <w:proofErr w:type="spellEnd"/>
      <w:r w:rsidRPr="00B65D52">
        <w:t xml:space="preserve"> in Table S10. In Phase 2, additional transdisciplinary and implementation-relevant studies were characterized in Table S11 and appraised in Table S12. The Phase 2 codebook (Table S13) structured coding of transdisciplinary pathways across studies (Table S14), pathway-level synthesis (Table S15), and confidence profiling of synthesized pathway findings (Table S16). Cross-phase robustness and integration were then examined through sensitivity analysis (Table S17), co-occurrence mapping (Table S18), integrated framework construction (Table S19), and the final evidence-to-framework audit trail (Table S20).</w:t>
      </w:r>
      <w:r w:rsidRPr="00B65D52">
        <w:br/>
      </w:r>
      <w:r w:rsidRPr="00E81111">
        <w:rPr>
          <w:sz w:val="32"/>
          <w:szCs w:val="32"/>
        </w:rPr>
        <w:br/>
      </w:r>
      <w:r w:rsidR="00806431" w:rsidRPr="00E81111">
        <w:rPr>
          <w:b/>
          <w:bCs/>
          <w:sz w:val="32"/>
          <w:szCs w:val="32"/>
        </w:rPr>
        <w:t>Summary of the a</w:t>
      </w:r>
      <w:r w:rsidR="00124281" w:rsidRPr="00E81111">
        <w:rPr>
          <w:b/>
          <w:bCs/>
          <w:sz w:val="32"/>
          <w:szCs w:val="32"/>
        </w:rPr>
        <w:t xml:space="preserve">rrangement of Supplementary </w:t>
      </w:r>
      <w:r w:rsidR="00806431" w:rsidRPr="00E81111">
        <w:rPr>
          <w:b/>
          <w:bCs/>
          <w:sz w:val="32"/>
          <w:szCs w:val="32"/>
        </w:rPr>
        <w:t>t</w:t>
      </w:r>
      <w:r w:rsidR="00124281" w:rsidRPr="00E81111">
        <w:rPr>
          <w:b/>
          <w:bCs/>
          <w:sz w:val="32"/>
          <w:szCs w:val="32"/>
        </w:rPr>
        <w:t>ables</w:t>
      </w:r>
    </w:p>
    <w:p w14:paraId="3FCD2D55" w14:textId="6592314E" w:rsidR="00B65D52" w:rsidRPr="00B65D52" w:rsidRDefault="00B65D52" w:rsidP="00B65D52">
      <w:r w:rsidRPr="00124281">
        <w:rPr>
          <w:b/>
          <w:bCs/>
        </w:rPr>
        <w:t>S4-S10</w:t>
      </w:r>
      <w:r w:rsidRPr="00B65D52">
        <w:t xml:space="preserve"> = Phase 1</w:t>
      </w:r>
      <w:r w:rsidRPr="00B65D52">
        <w:br/>
      </w:r>
      <w:r w:rsidRPr="00124281">
        <w:rPr>
          <w:b/>
          <w:bCs/>
        </w:rPr>
        <w:t>S11-S16</w:t>
      </w:r>
      <w:r w:rsidRPr="00B65D52">
        <w:t xml:space="preserve"> = Phase 2</w:t>
      </w:r>
      <w:r w:rsidRPr="00B65D52">
        <w:br/>
      </w:r>
      <w:r w:rsidRPr="00124281">
        <w:rPr>
          <w:b/>
          <w:bCs/>
        </w:rPr>
        <w:t>S17-S20</w:t>
      </w:r>
      <w:r w:rsidRPr="00B65D52">
        <w:t xml:space="preserve"> = cross-phase integration and final framework</w:t>
      </w:r>
    </w:p>
    <w:p w14:paraId="25F2D69F" w14:textId="77777777" w:rsidR="00381710" w:rsidRPr="00B56023" w:rsidRDefault="00381710" w:rsidP="00B56023"/>
    <w:p w14:paraId="465CB461" w14:textId="77777777" w:rsidR="00ED1BAD" w:rsidRDefault="00ED1BAD" w:rsidP="00E46AB8">
      <w:pPr>
        <w:rPr>
          <w:b/>
          <w:sz w:val="32"/>
          <w:szCs w:val="32"/>
        </w:rPr>
      </w:pPr>
    </w:p>
    <w:p w14:paraId="57DEB17A" w14:textId="77777777" w:rsidR="001F2CA8" w:rsidRDefault="001F2CA8" w:rsidP="00E46AB8">
      <w:pPr>
        <w:rPr>
          <w:b/>
          <w:sz w:val="32"/>
          <w:szCs w:val="32"/>
        </w:rPr>
        <w:sectPr w:rsidR="001F2CA8">
          <w:pgSz w:w="12240" w:h="15840"/>
          <w:pgMar w:top="1440" w:right="1440" w:bottom="1440" w:left="1440" w:header="720" w:footer="720" w:gutter="0"/>
          <w:cols w:space="720"/>
          <w:docGrid w:linePitch="360"/>
        </w:sectPr>
      </w:pPr>
    </w:p>
    <w:p w14:paraId="47003FE2" w14:textId="78FB32F4" w:rsidR="001B6075" w:rsidRDefault="001B6075" w:rsidP="00E46AB8">
      <w:pPr>
        <w:rPr>
          <w:b/>
          <w:sz w:val="32"/>
          <w:szCs w:val="32"/>
        </w:rPr>
      </w:pPr>
      <w:r w:rsidRPr="001B6075">
        <w:rPr>
          <w:b/>
          <w:sz w:val="32"/>
          <w:szCs w:val="32"/>
        </w:rPr>
        <w:lastRenderedPageBreak/>
        <w:t>Supplementary Tables</w:t>
      </w:r>
    </w:p>
    <w:p w14:paraId="3903A74E" w14:textId="77777777" w:rsidR="000F2A82" w:rsidRDefault="000F2A82" w:rsidP="00E46AB8">
      <w:pPr>
        <w:rPr>
          <w:b/>
          <w:sz w:val="32"/>
          <w:szCs w:val="32"/>
        </w:rPr>
      </w:pPr>
    </w:p>
    <w:p w14:paraId="43EF4AEE" w14:textId="0C327720" w:rsidR="000F2A82" w:rsidRPr="00732EED" w:rsidRDefault="000F2A82" w:rsidP="000F2A82">
      <w:pPr>
        <w:rPr>
          <w:b/>
          <w:bCs/>
          <w:sz w:val="18"/>
          <w:szCs w:val="18"/>
        </w:rPr>
      </w:pPr>
      <w:r w:rsidRPr="00732EED">
        <w:rPr>
          <w:b/>
          <w:bCs/>
          <w:sz w:val="18"/>
          <w:szCs w:val="18"/>
        </w:rPr>
        <w:t xml:space="preserve">Supplementary Table S1. Study protocol, sequential synthesis process, coding </w:t>
      </w:r>
      <w:r w:rsidR="00B93F1C" w:rsidRPr="00732EED">
        <w:rPr>
          <w:b/>
          <w:bCs/>
          <w:sz w:val="18"/>
          <w:szCs w:val="18"/>
        </w:rPr>
        <w:t>Phase</w:t>
      </w:r>
      <w:r w:rsidRPr="00732EED">
        <w:rPr>
          <w:b/>
          <w:bCs/>
          <w:sz w:val="18"/>
          <w:szCs w:val="18"/>
        </w:rPr>
        <w:t>s, and guiding frameworks</w:t>
      </w:r>
    </w:p>
    <w:tbl>
      <w:tblPr>
        <w:tblStyle w:val="PlainTable1"/>
        <w:tblW w:w="5000" w:type="pct"/>
        <w:tblLook w:val="04A0" w:firstRow="1" w:lastRow="0" w:firstColumn="1" w:lastColumn="0" w:noHBand="0" w:noVBand="1"/>
      </w:tblPr>
      <w:tblGrid>
        <w:gridCol w:w="716"/>
        <w:gridCol w:w="589"/>
        <w:gridCol w:w="2213"/>
        <w:gridCol w:w="1758"/>
        <w:gridCol w:w="2598"/>
        <w:gridCol w:w="1617"/>
        <w:gridCol w:w="2316"/>
        <w:gridCol w:w="1755"/>
      </w:tblGrid>
      <w:tr w:rsidR="000F2A82" w:rsidRPr="00732EED" w14:paraId="6E0587B3" w14:textId="77777777" w:rsidTr="001F2C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4E1A6480"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t>Phase</w:t>
            </w:r>
          </w:p>
        </w:tc>
        <w:tc>
          <w:tcPr>
            <w:tcW w:w="217" w:type="pct"/>
            <w:hideMark/>
          </w:tcPr>
          <w:p w14:paraId="658E6CBF" w14:textId="77777777" w:rsidR="000F2A82" w:rsidRPr="00732EED" w:rsidRDefault="000F2A82" w:rsidP="008E2192">
            <w:pPr>
              <w:spacing w:after="160"/>
              <w:cnfStyle w:val="100000000000" w:firstRow="1"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Step</w:t>
            </w:r>
          </w:p>
        </w:tc>
        <w:tc>
          <w:tcPr>
            <w:tcW w:w="816" w:type="pct"/>
            <w:hideMark/>
          </w:tcPr>
          <w:p w14:paraId="23EECAF5" w14:textId="25DA7EFA" w:rsidR="000F2A82" w:rsidRPr="00732EED" w:rsidRDefault="00B93F1C" w:rsidP="008E2192">
            <w:pPr>
              <w:spacing w:after="160"/>
              <w:cnfStyle w:val="100000000000" w:firstRow="1"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Phase</w:t>
            </w:r>
            <w:r w:rsidR="000F2A82" w:rsidRPr="00732EED">
              <w:rPr>
                <w:kern w:val="2"/>
                <w:sz w:val="18"/>
                <w:szCs w:val="18"/>
                <w14:ligatures w14:val="standardContextual"/>
              </w:rPr>
              <w:t>/focus</w:t>
            </w:r>
          </w:p>
        </w:tc>
        <w:tc>
          <w:tcPr>
            <w:tcW w:w="648" w:type="pct"/>
            <w:hideMark/>
          </w:tcPr>
          <w:p w14:paraId="1AECDE3E" w14:textId="77777777" w:rsidR="000F2A82" w:rsidRPr="00732EED" w:rsidRDefault="000F2A82" w:rsidP="008E2192">
            <w:pPr>
              <w:spacing w:after="160"/>
              <w:cnfStyle w:val="100000000000" w:firstRow="1"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Aim</w:t>
            </w:r>
          </w:p>
        </w:tc>
        <w:tc>
          <w:tcPr>
            <w:tcW w:w="958" w:type="pct"/>
            <w:hideMark/>
          </w:tcPr>
          <w:p w14:paraId="0C169DB5" w14:textId="77777777" w:rsidR="000F2A82" w:rsidRPr="00732EED" w:rsidRDefault="000F2A82" w:rsidP="008E2192">
            <w:pPr>
              <w:spacing w:after="160"/>
              <w:cnfStyle w:val="100000000000" w:firstRow="1"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Methods/tools/frameworks</w:t>
            </w:r>
          </w:p>
        </w:tc>
        <w:tc>
          <w:tcPr>
            <w:tcW w:w="596" w:type="pct"/>
            <w:hideMark/>
          </w:tcPr>
          <w:p w14:paraId="5AACF089" w14:textId="77777777" w:rsidR="000F2A82" w:rsidRPr="00732EED" w:rsidRDefault="000F2A82" w:rsidP="008E2192">
            <w:pPr>
              <w:spacing w:after="160"/>
              <w:cnfStyle w:val="100000000000" w:firstRow="1"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Coding/analytic activity</w:t>
            </w:r>
          </w:p>
        </w:tc>
        <w:tc>
          <w:tcPr>
            <w:tcW w:w="854" w:type="pct"/>
            <w:hideMark/>
          </w:tcPr>
          <w:p w14:paraId="3794920F" w14:textId="77777777" w:rsidR="000F2A82" w:rsidRPr="00732EED" w:rsidRDefault="000F2A82" w:rsidP="008E2192">
            <w:pPr>
              <w:spacing w:after="160"/>
              <w:cnfStyle w:val="100000000000" w:firstRow="1"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Key actions</w:t>
            </w:r>
          </w:p>
        </w:tc>
        <w:tc>
          <w:tcPr>
            <w:tcW w:w="648" w:type="pct"/>
            <w:hideMark/>
          </w:tcPr>
          <w:p w14:paraId="59B41E91" w14:textId="77777777" w:rsidR="000F2A82" w:rsidRPr="00732EED" w:rsidRDefault="000F2A82" w:rsidP="008E2192">
            <w:pPr>
              <w:spacing w:after="160"/>
              <w:cnfStyle w:val="100000000000" w:firstRow="1"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Outputs</w:t>
            </w:r>
          </w:p>
        </w:tc>
      </w:tr>
      <w:tr w:rsidR="000F2A82" w:rsidRPr="00732EED" w14:paraId="6F7174A5"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6533D4DD"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t>0</w:t>
            </w:r>
          </w:p>
        </w:tc>
        <w:tc>
          <w:tcPr>
            <w:tcW w:w="217" w:type="pct"/>
            <w:hideMark/>
          </w:tcPr>
          <w:p w14:paraId="1079FF6D"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0.1</w:t>
            </w:r>
          </w:p>
        </w:tc>
        <w:tc>
          <w:tcPr>
            <w:tcW w:w="816" w:type="pct"/>
            <w:hideMark/>
          </w:tcPr>
          <w:p w14:paraId="3348A39C"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Team formation and transdisciplinary orientation</w:t>
            </w:r>
          </w:p>
        </w:tc>
        <w:tc>
          <w:tcPr>
            <w:tcW w:w="648" w:type="pct"/>
            <w:hideMark/>
          </w:tcPr>
          <w:p w14:paraId="04B95531"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Establish the interdisciplinary foundation</w:t>
            </w:r>
            <w:r w:rsidRPr="00732EED">
              <w:rPr>
                <w:sz w:val="18"/>
                <w:szCs w:val="18"/>
              </w:rPr>
              <w:t xml:space="preserve"> </w:t>
            </w:r>
            <w:r w:rsidRPr="00732EED">
              <w:rPr>
                <w:kern w:val="2"/>
                <w:sz w:val="18"/>
                <w:szCs w:val="18"/>
                <w14:ligatures w14:val="standardContextual"/>
              </w:rPr>
              <w:t xml:space="preserve">and transdisciplinary </w:t>
            </w:r>
            <w:r w:rsidRPr="00732EED">
              <w:rPr>
                <w:sz w:val="18"/>
                <w:szCs w:val="18"/>
              </w:rPr>
              <w:t xml:space="preserve">integration </w:t>
            </w:r>
            <w:r w:rsidRPr="00732EED">
              <w:rPr>
                <w:kern w:val="2"/>
                <w:sz w:val="18"/>
                <w:szCs w:val="18"/>
                <w14:ligatures w14:val="standardContextual"/>
              </w:rPr>
              <w:t xml:space="preserve">of the </w:t>
            </w:r>
            <w:r w:rsidRPr="00732EED">
              <w:rPr>
                <w:sz w:val="18"/>
                <w:szCs w:val="18"/>
              </w:rPr>
              <w:t>synthesis</w:t>
            </w:r>
          </w:p>
        </w:tc>
        <w:tc>
          <w:tcPr>
            <w:tcW w:w="958" w:type="pct"/>
            <w:hideMark/>
          </w:tcPr>
          <w:p w14:paraId="5505F125"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Interdisciplinary collaboration; shared conceptual frameworks; reflexivity; participatory orientation</w:t>
            </w:r>
          </w:p>
        </w:tc>
        <w:tc>
          <w:tcPr>
            <w:tcW w:w="596" w:type="pct"/>
            <w:hideMark/>
          </w:tcPr>
          <w:p w14:paraId="6001090F"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Agreement on analytic orientation and roles; early conceptual alignment</w:t>
            </w:r>
          </w:p>
        </w:tc>
        <w:tc>
          <w:tcPr>
            <w:tcW w:w="854" w:type="pct"/>
            <w:hideMark/>
          </w:tcPr>
          <w:p w14:paraId="22C55E84"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Assemble collaborative team; clarify responsibilities, expertise, resources, and shared objectives; define broad orientation to chronic illness as complex and relational</w:t>
            </w:r>
          </w:p>
        </w:tc>
        <w:tc>
          <w:tcPr>
            <w:tcW w:w="648" w:type="pct"/>
            <w:hideMark/>
          </w:tcPr>
          <w:p w14:paraId="08C7AE2C"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Team structure; initial conceptual alignment</w:t>
            </w:r>
          </w:p>
        </w:tc>
      </w:tr>
      <w:tr w:rsidR="000F2A82" w:rsidRPr="00732EED" w14:paraId="3E4D7313"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6E94D3A7"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t>0</w:t>
            </w:r>
          </w:p>
        </w:tc>
        <w:tc>
          <w:tcPr>
            <w:tcW w:w="217" w:type="pct"/>
            <w:hideMark/>
          </w:tcPr>
          <w:p w14:paraId="5E88954B"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0.2</w:t>
            </w:r>
          </w:p>
        </w:tc>
        <w:tc>
          <w:tcPr>
            <w:tcW w:w="816" w:type="pct"/>
            <w:hideMark/>
          </w:tcPr>
          <w:p w14:paraId="38D4402E"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Review aims, scope, and research design</w:t>
            </w:r>
          </w:p>
        </w:tc>
        <w:tc>
          <w:tcPr>
            <w:tcW w:w="648" w:type="pct"/>
            <w:hideMark/>
          </w:tcPr>
          <w:p w14:paraId="41AEE7B2"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Define the overall purpose and structure of the sequential synthesis</w:t>
            </w:r>
          </w:p>
        </w:tc>
        <w:tc>
          <w:tcPr>
            <w:tcW w:w="958" w:type="pct"/>
            <w:hideMark/>
          </w:tcPr>
          <w:p w14:paraId="6DFB8056"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proofErr w:type="spellStart"/>
            <w:r w:rsidRPr="00732EED">
              <w:rPr>
                <w:kern w:val="2"/>
                <w:sz w:val="18"/>
                <w:szCs w:val="18"/>
                <w14:ligatures w14:val="standardContextual"/>
              </w:rPr>
              <w:t>PICo</w:t>
            </w:r>
            <w:proofErr w:type="spellEnd"/>
            <w:r w:rsidRPr="00732EED">
              <w:rPr>
                <w:kern w:val="2"/>
                <w:sz w:val="18"/>
                <w:szCs w:val="18"/>
                <w14:ligatures w14:val="standardContextual"/>
              </w:rPr>
              <w:t xml:space="preserve"> framework; qualitative evidence synthesis; meta-ethnography; hermeneutic interpretation; heuristic organization; transdisciplinary integration</w:t>
            </w:r>
          </w:p>
        </w:tc>
        <w:tc>
          <w:tcPr>
            <w:tcW w:w="596" w:type="pct"/>
            <w:hideMark/>
          </w:tcPr>
          <w:p w14:paraId="647759ED"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Development of review questions and analytic sequence</w:t>
            </w:r>
          </w:p>
        </w:tc>
        <w:tc>
          <w:tcPr>
            <w:tcW w:w="854" w:type="pct"/>
            <w:hideMark/>
          </w:tcPr>
          <w:p w14:paraId="51C1CE82" w14:textId="3F210FDC"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Define </w:t>
            </w:r>
            <w:r w:rsidR="00B93F1C" w:rsidRPr="00732EED">
              <w:rPr>
                <w:kern w:val="2"/>
                <w:sz w:val="18"/>
                <w:szCs w:val="18"/>
                <w14:ligatures w14:val="standardContextual"/>
              </w:rPr>
              <w:t>Phase</w:t>
            </w:r>
            <w:r w:rsidRPr="00732EED">
              <w:rPr>
                <w:kern w:val="2"/>
                <w:sz w:val="18"/>
                <w:szCs w:val="18"/>
                <w14:ligatures w14:val="standardContextual"/>
              </w:rPr>
              <w:t xml:space="preserve"> 1 and </w:t>
            </w:r>
            <w:r w:rsidR="00B93F1C" w:rsidRPr="00732EED">
              <w:rPr>
                <w:kern w:val="2"/>
                <w:sz w:val="18"/>
                <w:szCs w:val="18"/>
                <w14:ligatures w14:val="standardContextual"/>
              </w:rPr>
              <w:t>Phase</w:t>
            </w:r>
            <w:r w:rsidRPr="00732EED">
              <w:rPr>
                <w:kern w:val="2"/>
                <w:sz w:val="18"/>
                <w:szCs w:val="18"/>
                <w14:ligatures w14:val="standardContextual"/>
              </w:rPr>
              <w:t xml:space="preserve"> 2 research questions; specify review scope, rationale, and sequential design; determine that </w:t>
            </w:r>
            <w:r w:rsidR="00B93F1C" w:rsidRPr="00732EED">
              <w:rPr>
                <w:kern w:val="2"/>
                <w:sz w:val="18"/>
                <w:szCs w:val="18"/>
                <w14:ligatures w14:val="standardContextual"/>
              </w:rPr>
              <w:t>Phase</w:t>
            </w:r>
            <w:r w:rsidRPr="00732EED">
              <w:rPr>
                <w:kern w:val="2"/>
                <w:sz w:val="18"/>
                <w:szCs w:val="18"/>
                <w14:ligatures w14:val="standardContextual"/>
              </w:rPr>
              <w:t xml:space="preserve"> 1 will identify lived-experience domains/themes and </w:t>
            </w:r>
            <w:r w:rsidR="00B93F1C" w:rsidRPr="00732EED">
              <w:rPr>
                <w:kern w:val="2"/>
                <w:sz w:val="18"/>
                <w:szCs w:val="18"/>
                <w14:ligatures w14:val="standardContextual"/>
              </w:rPr>
              <w:t>Phase</w:t>
            </w:r>
            <w:r w:rsidRPr="00732EED">
              <w:rPr>
                <w:kern w:val="2"/>
                <w:sz w:val="18"/>
                <w:szCs w:val="18"/>
                <w14:ligatures w14:val="standardContextual"/>
              </w:rPr>
              <w:t xml:space="preserve"> 2 will examine transdisciplinary pathways</w:t>
            </w:r>
          </w:p>
        </w:tc>
        <w:tc>
          <w:tcPr>
            <w:tcW w:w="648" w:type="pct"/>
            <w:hideMark/>
          </w:tcPr>
          <w:p w14:paraId="131C4345"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Review aims; sequential review design</w:t>
            </w:r>
          </w:p>
        </w:tc>
      </w:tr>
      <w:tr w:rsidR="000F2A82" w:rsidRPr="00732EED" w14:paraId="25943C2A"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3C4484E8"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t>0</w:t>
            </w:r>
          </w:p>
        </w:tc>
        <w:tc>
          <w:tcPr>
            <w:tcW w:w="217" w:type="pct"/>
            <w:hideMark/>
          </w:tcPr>
          <w:p w14:paraId="2BAB8C6D"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0.3</w:t>
            </w:r>
          </w:p>
        </w:tc>
        <w:tc>
          <w:tcPr>
            <w:tcW w:w="816" w:type="pct"/>
            <w:hideMark/>
          </w:tcPr>
          <w:p w14:paraId="6F370AC3"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Protocol development and preliminary coding framework</w:t>
            </w:r>
          </w:p>
        </w:tc>
        <w:tc>
          <w:tcPr>
            <w:tcW w:w="648" w:type="pct"/>
            <w:hideMark/>
          </w:tcPr>
          <w:p w14:paraId="2DA4BA86"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Translate the aims into a usable protocol and coding structure</w:t>
            </w:r>
          </w:p>
        </w:tc>
        <w:tc>
          <w:tcPr>
            <w:tcW w:w="958" w:type="pct"/>
            <w:hideMark/>
          </w:tcPr>
          <w:p w14:paraId="23947EDF"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proofErr w:type="spellStart"/>
            <w:r w:rsidRPr="00732EED">
              <w:rPr>
                <w:kern w:val="2"/>
                <w:sz w:val="18"/>
                <w:szCs w:val="18"/>
                <w14:ligatures w14:val="standardContextual"/>
              </w:rPr>
              <w:t>PICo</w:t>
            </w:r>
            <w:proofErr w:type="spellEnd"/>
            <w:r w:rsidRPr="00732EED">
              <w:rPr>
                <w:kern w:val="2"/>
                <w:sz w:val="18"/>
                <w:szCs w:val="18"/>
                <w14:ligatures w14:val="standardContextual"/>
              </w:rPr>
              <w:t>; eligibility criteria; preliminary coding structure; ontological, epistemological, and ethical/axiological orientation</w:t>
            </w:r>
          </w:p>
        </w:tc>
        <w:tc>
          <w:tcPr>
            <w:tcW w:w="596" w:type="pct"/>
            <w:hideMark/>
          </w:tcPr>
          <w:p w14:paraId="12D402D6"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Drafting deductive scaffolding for later inductive coding</w:t>
            </w:r>
          </w:p>
        </w:tc>
        <w:tc>
          <w:tcPr>
            <w:tcW w:w="854" w:type="pct"/>
            <w:hideMark/>
          </w:tcPr>
          <w:p w14:paraId="6A7D8CB4"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Specify population, phenomena of interest, and context; define inclusion/exclusion criteria; identify study designs of interest; draft preliminary coding frame around domains, themes, and transdisciplinary principles</w:t>
            </w:r>
          </w:p>
        </w:tc>
        <w:tc>
          <w:tcPr>
            <w:tcW w:w="648" w:type="pct"/>
            <w:hideMark/>
          </w:tcPr>
          <w:p w14:paraId="6D8BC1BC"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Review protocol; eligibility criteria; initial coding framework</w:t>
            </w:r>
          </w:p>
        </w:tc>
      </w:tr>
      <w:tr w:rsidR="000F2A82" w:rsidRPr="00732EED" w14:paraId="4D993442"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42D4DC44"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t>0</w:t>
            </w:r>
          </w:p>
        </w:tc>
        <w:tc>
          <w:tcPr>
            <w:tcW w:w="217" w:type="pct"/>
            <w:hideMark/>
          </w:tcPr>
          <w:p w14:paraId="7B1301B4"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0.4</w:t>
            </w:r>
          </w:p>
        </w:tc>
        <w:tc>
          <w:tcPr>
            <w:tcW w:w="816" w:type="pct"/>
            <w:hideMark/>
          </w:tcPr>
          <w:p w14:paraId="233550E7"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Search strategy and study selection</w:t>
            </w:r>
          </w:p>
        </w:tc>
        <w:tc>
          <w:tcPr>
            <w:tcW w:w="648" w:type="pct"/>
            <w:hideMark/>
          </w:tcPr>
          <w:p w14:paraId="4F6D60CB" w14:textId="7013B312"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Identify relevant records for both synthesis </w:t>
            </w:r>
            <w:r w:rsidR="00B93F1C" w:rsidRPr="00732EED">
              <w:rPr>
                <w:kern w:val="2"/>
                <w:sz w:val="18"/>
                <w:szCs w:val="18"/>
                <w14:ligatures w14:val="standardContextual"/>
              </w:rPr>
              <w:t>Phase</w:t>
            </w:r>
            <w:r w:rsidRPr="00732EED">
              <w:rPr>
                <w:kern w:val="2"/>
                <w:sz w:val="18"/>
                <w:szCs w:val="18"/>
                <w14:ligatures w14:val="standardContextual"/>
              </w:rPr>
              <w:t>s</w:t>
            </w:r>
          </w:p>
        </w:tc>
        <w:tc>
          <w:tcPr>
            <w:tcW w:w="958" w:type="pct"/>
            <w:hideMark/>
          </w:tcPr>
          <w:p w14:paraId="32273266"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Database searching; </w:t>
            </w:r>
            <w:proofErr w:type="spellStart"/>
            <w:r w:rsidRPr="00732EED">
              <w:rPr>
                <w:kern w:val="2"/>
                <w:sz w:val="18"/>
                <w:szCs w:val="18"/>
                <w14:ligatures w14:val="standardContextual"/>
              </w:rPr>
              <w:t>MeSH</w:t>
            </w:r>
            <w:proofErr w:type="spellEnd"/>
            <w:r w:rsidRPr="00732EED">
              <w:rPr>
                <w:kern w:val="2"/>
                <w:sz w:val="18"/>
                <w:szCs w:val="18"/>
                <w14:ligatures w14:val="standardContextual"/>
              </w:rPr>
              <w:t>; controlled vocabulary; free-text terms; PRISMA</w:t>
            </w:r>
          </w:p>
        </w:tc>
        <w:tc>
          <w:tcPr>
            <w:tcW w:w="596" w:type="pct"/>
            <w:hideMark/>
          </w:tcPr>
          <w:p w14:paraId="24C5470D"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Search term structuring and screening workflow</w:t>
            </w:r>
          </w:p>
        </w:tc>
        <w:tc>
          <w:tcPr>
            <w:tcW w:w="854" w:type="pct"/>
            <w:hideMark/>
          </w:tcPr>
          <w:p w14:paraId="3F4388F3"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Search PsycINFO, PubMed, Scopus, Google Scholar, Web of Science, ProQuest, and Cochrane Library as applicable; adapt search strings by database; screen titles/abstracts and full texts in duplicate; resolve disagreements through discussion/group adjudication</w:t>
            </w:r>
          </w:p>
        </w:tc>
        <w:tc>
          <w:tcPr>
            <w:tcW w:w="648" w:type="pct"/>
            <w:hideMark/>
          </w:tcPr>
          <w:p w14:paraId="1CE9BA35" w14:textId="0464E066"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Included study set(s); search log; PRISMA flow diagram</w:t>
            </w:r>
            <w:r w:rsidR="00B56023" w:rsidRPr="00732EED">
              <w:rPr>
                <w:kern w:val="2"/>
                <w:sz w:val="18"/>
                <w:szCs w:val="18"/>
                <w14:ligatures w14:val="standardContextual"/>
              </w:rPr>
              <w:t>, supplementary tables</w:t>
            </w:r>
          </w:p>
        </w:tc>
      </w:tr>
      <w:tr w:rsidR="000F2A82" w:rsidRPr="00732EED" w14:paraId="4D52A9CA"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097699E0"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lastRenderedPageBreak/>
              <w:t>0</w:t>
            </w:r>
          </w:p>
        </w:tc>
        <w:tc>
          <w:tcPr>
            <w:tcW w:w="217" w:type="pct"/>
            <w:hideMark/>
          </w:tcPr>
          <w:p w14:paraId="25F9EE4F"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0.5</w:t>
            </w:r>
          </w:p>
        </w:tc>
        <w:tc>
          <w:tcPr>
            <w:tcW w:w="816" w:type="pct"/>
            <w:hideMark/>
          </w:tcPr>
          <w:p w14:paraId="00380E91"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Quality appraisal and confidence planning</w:t>
            </w:r>
          </w:p>
        </w:tc>
        <w:tc>
          <w:tcPr>
            <w:tcW w:w="648" w:type="pct"/>
            <w:hideMark/>
          </w:tcPr>
          <w:p w14:paraId="01937731"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Establish methodological rigor and prepare for confidence assessment</w:t>
            </w:r>
          </w:p>
        </w:tc>
        <w:tc>
          <w:tcPr>
            <w:tcW w:w="958" w:type="pct"/>
            <w:hideMark/>
          </w:tcPr>
          <w:p w14:paraId="11505438"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CASP; MMAT; GRADE-</w:t>
            </w:r>
            <w:proofErr w:type="spellStart"/>
            <w:r w:rsidRPr="00732EED">
              <w:rPr>
                <w:kern w:val="2"/>
                <w:sz w:val="18"/>
                <w:szCs w:val="18"/>
                <w14:ligatures w14:val="standardContextual"/>
              </w:rPr>
              <w:t>CERQual</w:t>
            </w:r>
            <w:proofErr w:type="spellEnd"/>
          </w:p>
        </w:tc>
        <w:tc>
          <w:tcPr>
            <w:tcW w:w="596" w:type="pct"/>
            <w:hideMark/>
          </w:tcPr>
          <w:p w14:paraId="51BB99C8"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Appraisal coding and preliminary confidence planning</w:t>
            </w:r>
          </w:p>
        </w:tc>
        <w:tc>
          <w:tcPr>
            <w:tcW w:w="854" w:type="pct"/>
            <w:hideMark/>
          </w:tcPr>
          <w:p w14:paraId="25077DFA"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Independently appraise included studies; document methodological strengths and limitations; apply threshold for inclusion; prepare </w:t>
            </w:r>
            <w:proofErr w:type="spellStart"/>
            <w:r w:rsidRPr="00732EED">
              <w:rPr>
                <w:kern w:val="2"/>
                <w:sz w:val="18"/>
                <w:szCs w:val="18"/>
                <w14:ligatures w14:val="standardContextual"/>
              </w:rPr>
              <w:t>CERQual</w:t>
            </w:r>
            <w:proofErr w:type="spellEnd"/>
            <w:r w:rsidRPr="00732EED">
              <w:rPr>
                <w:kern w:val="2"/>
                <w:sz w:val="18"/>
                <w:szCs w:val="18"/>
                <w14:ligatures w14:val="standardContextual"/>
              </w:rPr>
              <w:t>-based confidence assessment for synthesized findings</w:t>
            </w:r>
          </w:p>
        </w:tc>
        <w:tc>
          <w:tcPr>
            <w:tcW w:w="648" w:type="pct"/>
            <w:hideMark/>
          </w:tcPr>
          <w:p w14:paraId="2B789E03"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Appraisal tables; methodological summary; </w:t>
            </w:r>
            <w:proofErr w:type="spellStart"/>
            <w:r w:rsidRPr="00732EED">
              <w:rPr>
                <w:kern w:val="2"/>
                <w:sz w:val="18"/>
                <w:szCs w:val="18"/>
                <w14:ligatures w14:val="standardContextual"/>
              </w:rPr>
              <w:t>CERQual</w:t>
            </w:r>
            <w:proofErr w:type="spellEnd"/>
            <w:r w:rsidRPr="00732EED">
              <w:rPr>
                <w:kern w:val="2"/>
                <w:sz w:val="18"/>
                <w:szCs w:val="18"/>
                <w14:ligatures w14:val="standardContextual"/>
              </w:rPr>
              <w:t xml:space="preserve"> planning notes</w:t>
            </w:r>
          </w:p>
        </w:tc>
      </w:tr>
      <w:tr w:rsidR="000F2A82" w:rsidRPr="00732EED" w14:paraId="0D3D4D7A"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774875E8"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t>1</w:t>
            </w:r>
          </w:p>
        </w:tc>
        <w:tc>
          <w:tcPr>
            <w:tcW w:w="217" w:type="pct"/>
            <w:hideMark/>
          </w:tcPr>
          <w:p w14:paraId="31E04915"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1.1</w:t>
            </w:r>
          </w:p>
        </w:tc>
        <w:tc>
          <w:tcPr>
            <w:tcW w:w="816" w:type="pct"/>
            <w:hideMark/>
          </w:tcPr>
          <w:p w14:paraId="04607197"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Initial data extraction</w:t>
            </w:r>
          </w:p>
        </w:tc>
        <w:tc>
          <w:tcPr>
            <w:tcW w:w="648" w:type="pct"/>
            <w:hideMark/>
          </w:tcPr>
          <w:p w14:paraId="02F261DC" w14:textId="49B4E52D"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Systematically capture study details and findings from </w:t>
            </w:r>
            <w:r w:rsidR="00B56023" w:rsidRPr="00732EED">
              <w:rPr>
                <w:kern w:val="2"/>
                <w:sz w:val="18"/>
                <w:szCs w:val="18"/>
                <w14:ligatures w14:val="standardContextual"/>
              </w:rPr>
              <w:t xml:space="preserve">phase </w:t>
            </w:r>
            <w:r w:rsidRPr="00732EED">
              <w:rPr>
                <w:kern w:val="2"/>
                <w:sz w:val="18"/>
                <w:szCs w:val="18"/>
                <w14:ligatures w14:val="standardContextual"/>
              </w:rPr>
              <w:t>1 studies</w:t>
            </w:r>
          </w:p>
        </w:tc>
        <w:tc>
          <w:tcPr>
            <w:tcW w:w="958" w:type="pct"/>
            <w:hideMark/>
          </w:tcPr>
          <w:p w14:paraId="27A0EAA6"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Standardized extraction form</w:t>
            </w:r>
          </w:p>
        </w:tc>
        <w:tc>
          <w:tcPr>
            <w:tcW w:w="596" w:type="pct"/>
            <w:hideMark/>
          </w:tcPr>
          <w:p w14:paraId="63569ED9"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Structured extraction and tabulation</w:t>
            </w:r>
          </w:p>
        </w:tc>
        <w:tc>
          <w:tcPr>
            <w:tcW w:w="854" w:type="pct"/>
            <w:hideMark/>
          </w:tcPr>
          <w:p w14:paraId="0D18D2B0"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Extract authorship, year, country/setting, methodology, theoretical framework, participant details, and main findings; independently test extraction form and harmonize extraction approach</w:t>
            </w:r>
          </w:p>
        </w:tc>
        <w:tc>
          <w:tcPr>
            <w:tcW w:w="648" w:type="pct"/>
            <w:hideMark/>
          </w:tcPr>
          <w:p w14:paraId="0C5753FA" w14:textId="77777777" w:rsidR="000F2A82" w:rsidRPr="00732EED" w:rsidRDefault="000F2A82" w:rsidP="008E2192">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Extraction table; study characteristics tables</w:t>
            </w:r>
          </w:p>
        </w:tc>
      </w:tr>
      <w:tr w:rsidR="000F2A82" w:rsidRPr="00732EED" w14:paraId="4BCE6A8A"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03D208E1" w14:textId="77777777" w:rsidR="000F2A82" w:rsidRPr="00732EED" w:rsidRDefault="000F2A82" w:rsidP="008E2192">
            <w:pPr>
              <w:spacing w:after="160"/>
              <w:rPr>
                <w:kern w:val="2"/>
                <w:sz w:val="18"/>
                <w:szCs w:val="18"/>
                <w14:ligatures w14:val="standardContextual"/>
              </w:rPr>
            </w:pPr>
            <w:r w:rsidRPr="00732EED">
              <w:rPr>
                <w:kern w:val="2"/>
                <w:sz w:val="18"/>
                <w:szCs w:val="18"/>
                <w14:ligatures w14:val="standardContextual"/>
              </w:rPr>
              <w:t>1</w:t>
            </w:r>
          </w:p>
        </w:tc>
        <w:tc>
          <w:tcPr>
            <w:tcW w:w="217" w:type="pct"/>
            <w:hideMark/>
          </w:tcPr>
          <w:p w14:paraId="2BAB6520"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1.2</w:t>
            </w:r>
          </w:p>
        </w:tc>
        <w:tc>
          <w:tcPr>
            <w:tcW w:w="816" w:type="pct"/>
            <w:hideMark/>
          </w:tcPr>
          <w:p w14:paraId="695337BE"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Familiarization, hermeneutic reading, and </w:t>
            </w:r>
            <w:proofErr w:type="spellStart"/>
            <w:r w:rsidRPr="00732EED">
              <w:rPr>
                <w:kern w:val="2"/>
                <w:sz w:val="18"/>
                <w:szCs w:val="18"/>
                <w14:ligatures w14:val="standardContextual"/>
              </w:rPr>
              <w:t>memoing</w:t>
            </w:r>
            <w:proofErr w:type="spellEnd"/>
          </w:p>
        </w:tc>
        <w:tc>
          <w:tcPr>
            <w:tcW w:w="648" w:type="pct"/>
            <w:hideMark/>
          </w:tcPr>
          <w:p w14:paraId="388E59ED"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Build interpretive familiarity with the studies and their meanings</w:t>
            </w:r>
          </w:p>
        </w:tc>
        <w:tc>
          <w:tcPr>
            <w:tcW w:w="958" w:type="pct"/>
            <w:hideMark/>
          </w:tcPr>
          <w:p w14:paraId="481CB423"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Hermeneutic phenomenology; reflexive </w:t>
            </w:r>
            <w:proofErr w:type="spellStart"/>
            <w:r w:rsidRPr="00732EED">
              <w:rPr>
                <w:kern w:val="2"/>
                <w:sz w:val="18"/>
                <w:szCs w:val="18"/>
                <w14:ligatures w14:val="standardContextual"/>
              </w:rPr>
              <w:t>memoing</w:t>
            </w:r>
            <w:proofErr w:type="spellEnd"/>
            <w:r w:rsidRPr="00732EED">
              <w:rPr>
                <w:kern w:val="2"/>
                <w:sz w:val="18"/>
                <w:szCs w:val="18"/>
                <w14:ligatures w14:val="standardContextual"/>
              </w:rPr>
              <w:t>; repeated reading</w:t>
            </w:r>
          </w:p>
        </w:tc>
        <w:tc>
          <w:tcPr>
            <w:tcW w:w="596" w:type="pct"/>
            <w:hideMark/>
          </w:tcPr>
          <w:p w14:paraId="103770CB"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Open coding, </w:t>
            </w:r>
            <w:proofErr w:type="spellStart"/>
            <w:r w:rsidRPr="00732EED">
              <w:rPr>
                <w:kern w:val="2"/>
                <w:sz w:val="18"/>
                <w:szCs w:val="18"/>
                <w14:ligatures w14:val="standardContextual"/>
              </w:rPr>
              <w:t>memoing</w:t>
            </w:r>
            <w:proofErr w:type="spellEnd"/>
            <w:r w:rsidRPr="00732EED">
              <w:rPr>
                <w:kern w:val="2"/>
                <w:sz w:val="18"/>
                <w:szCs w:val="18"/>
                <w14:ligatures w14:val="standardContextual"/>
              </w:rPr>
              <w:t>, and interpretive noting</w:t>
            </w:r>
          </w:p>
        </w:tc>
        <w:tc>
          <w:tcPr>
            <w:tcW w:w="854" w:type="pct"/>
            <w:hideMark/>
          </w:tcPr>
          <w:p w14:paraId="39EED990"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Read and re-read included studies; move iteratively between parts and whole; record reflections, emerging interpretations, tensions, and contextual considerations</w:t>
            </w:r>
          </w:p>
        </w:tc>
        <w:tc>
          <w:tcPr>
            <w:tcW w:w="648" w:type="pct"/>
            <w:hideMark/>
          </w:tcPr>
          <w:p w14:paraId="1B1D3D89" w14:textId="77777777" w:rsidR="000F2A82" w:rsidRPr="00732EED" w:rsidRDefault="000F2A82" w:rsidP="008E2192">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Analytic memos; early theme notes</w:t>
            </w:r>
          </w:p>
        </w:tc>
      </w:tr>
      <w:tr w:rsidR="006060B0" w:rsidRPr="00732EED" w14:paraId="4BF44315" w14:textId="77777777" w:rsidTr="001F2CA8">
        <w:tc>
          <w:tcPr>
            <w:cnfStyle w:val="001000000000" w:firstRow="0" w:lastRow="0" w:firstColumn="1" w:lastColumn="0" w:oddVBand="0" w:evenVBand="0" w:oddHBand="0" w:evenHBand="0" w:firstRowFirstColumn="0" w:firstRowLastColumn="0" w:lastRowFirstColumn="0" w:lastRowLastColumn="0"/>
            <w:tcW w:w="264" w:type="pct"/>
          </w:tcPr>
          <w:p w14:paraId="58E5BF3B" w14:textId="00EEEF99"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1</w:t>
            </w:r>
          </w:p>
        </w:tc>
        <w:tc>
          <w:tcPr>
            <w:tcW w:w="217" w:type="pct"/>
          </w:tcPr>
          <w:p w14:paraId="00E61853" w14:textId="78879B34"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1.3</w:t>
            </w:r>
          </w:p>
        </w:tc>
        <w:tc>
          <w:tcPr>
            <w:tcW w:w="816" w:type="pct"/>
          </w:tcPr>
          <w:p w14:paraId="163FCC1F" w14:textId="5A12DC0B"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Certainty/confidence assessment for review findings</w:t>
            </w:r>
          </w:p>
        </w:tc>
        <w:tc>
          <w:tcPr>
            <w:tcW w:w="648" w:type="pct"/>
          </w:tcPr>
          <w:p w14:paraId="28867BEF" w14:textId="209067A4"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Assess confidence in each synthesized qualitative finding</w:t>
            </w:r>
          </w:p>
        </w:tc>
        <w:tc>
          <w:tcPr>
            <w:tcW w:w="958" w:type="pct"/>
          </w:tcPr>
          <w:p w14:paraId="4A4D476B" w14:textId="5EE4C9A8"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GRADE-</w:t>
            </w:r>
            <w:proofErr w:type="spellStart"/>
            <w:r w:rsidRPr="00732EED">
              <w:rPr>
                <w:kern w:val="2"/>
                <w:sz w:val="18"/>
                <w:szCs w:val="18"/>
                <w14:ligatures w14:val="standardContextual"/>
              </w:rPr>
              <w:t>CERQual</w:t>
            </w:r>
            <w:proofErr w:type="spellEnd"/>
          </w:p>
        </w:tc>
        <w:tc>
          <w:tcPr>
            <w:tcW w:w="596" w:type="pct"/>
          </w:tcPr>
          <w:p w14:paraId="11B9AFEC" w14:textId="0A190C06"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Review-finding assessment across methodological limitations, coherence, adequacy, and relevance</w:t>
            </w:r>
          </w:p>
        </w:tc>
        <w:tc>
          <w:tcPr>
            <w:tcW w:w="854" w:type="pct"/>
          </w:tcPr>
          <w:p w14:paraId="1B9EBD04" w14:textId="7DEEFB6C"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Evaluate confidence in each finding; discuss and resolve disagreements; compile evidence profiles and rationale for judgments</w:t>
            </w:r>
          </w:p>
        </w:tc>
        <w:tc>
          <w:tcPr>
            <w:tcW w:w="648" w:type="pct"/>
          </w:tcPr>
          <w:p w14:paraId="33C5F27C" w14:textId="543055BE"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proofErr w:type="spellStart"/>
            <w:r w:rsidRPr="00732EED">
              <w:rPr>
                <w:kern w:val="2"/>
                <w:sz w:val="18"/>
                <w:szCs w:val="18"/>
                <w14:ligatures w14:val="standardContextual"/>
              </w:rPr>
              <w:t>CERQual</w:t>
            </w:r>
            <w:proofErr w:type="spellEnd"/>
            <w:r w:rsidRPr="00732EED">
              <w:rPr>
                <w:kern w:val="2"/>
                <w:sz w:val="18"/>
                <w:szCs w:val="18"/>
                <w14:ligatures w14:val="standardContextual"/>
              </w:rPr>
              <w:t xml:space="preserve"> evidence profile; confidence-rated findings</w:t>
            </w:r>
          </w:p>
        </w:tc>
      </w:tr>
      <w:tr w:rsidR="006060B0" w:rsidRPr="00732EED" w14:paraId="08397376"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48DA0BB2"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1</w:t>
            </w:r>
          </w:p>
        </w:tc>
        <w:tc>
          <w:tcPr>
            <w:tcW w:w="217" w:type="pct"/>
          </w:tcPr>
          <w:p w14:paraId="6FFF8427" w14:textId="055A17C6"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1.4</w:t>
            </w:r>
          </w:p>
        </w:tc>
        <w:tc>
          <w:tcPr>
            <w:tcW w:w="816" w:type="pct"/>
            <w:hideMark/>
          </w:tcPr>
          <w:p w14:paraId="387DB9DD"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Phenomenological and meta-ethnographic translation</w:t>
            </w:r>
          </w:p>
        </w:tc>
        <w:tc>
          <w:tcPr>
            <w:tcW w:w="648" w:type="pct"/>
            <w:hideMark/>
          </w:tcPr>
          <w:p w14:paraId="4A502A20"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Identify and translate concepts across studies on lived experience</w:t>
            </w:r>
          </w:p>
        </w:tc>
        <w:tc>
          <w:tcPr>
            <w:tcW w:w="958" w:type="pct"/>
            <w:hideMark/>
          </w:tcPr>
          <w:p w14:paraId="006CFB79"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Meta-ethnography; hermeneutic interpretation; phenomenological analysis</w:t>
            </w:r>
          </w:p>
        </w:tc>
        <w:tc>
          <w:tcPr>
            <w:tcW w:w="596" w:type="pct"/>
            <w:hideMark/>
          </w:tcPr>
          <w:p w14:paraId="6FF80F5F"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Reciprocal translation; refutational translation; comparison of concepts across studies</w:t>
            </w:r>
          </w:p>
        </w:tc>
        <w:tc>
          <w:tcPr>
            <w:tcW w:w="854" w:type="pct"/>
            <w:hideMark/>
          </w:tcPr>
          <w:p w14:paraId="1A72951E"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Compare meanings, metaphors, and concepts across studies; identify overlap, contradiction, and conceptual distinctions; generate candidate categories and lines of argument</w:t>
            </w:r>
          </w:p>
        </w:tc>
        <w:tc>
          <w:tcPr>
            <w:tcW w:w="648" w:type="pct"/>
            <w:hideMark/>
          </w:tcPr>
          <w:p w14:paraId="38CF6A9A"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Conceptual categories; translated concepts</w:t>
            </w:r>
          </w:p>
        </w:tc>
      </w:tr>
      <w:tr w:rsidR="006060B0" w:rsidRPr="00732EED" w14:paraId="12507510"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1F0F1D5B"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1</w:t>
            </w:r>
          </w:p>
        </w:tc>
        <w:tc>
          <w:tcPr>
            <w:tcW w:w="217" w:type="pct"/>
          </w:tcPr>
          <w:p w14:paraId="21E5FB56" w14:textId="6C4EC066"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1.5</w:t>
            </w:r>
          </w:p>
        </w:tc>
        <w:tc>
          <w:tcPr>
            <w:tcW w:w="816" w:type="pct"/>
            <w:hideMark/>
          </w:tcPr>
          <w:p w14:paraId="0EE7CC77"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Thematic coding and heuristic domain organization</w:t>
            </w:r>
          </w:p>
        </w:tc>
        <w:tc>
          <w:tcPr>
            <w:tcW w:w="648" w:type="pct"/>
            <w:hideMark/>
          </w:tcPr>
          <w:p w14:paraId="6D9BA9E0"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Organize translated concepts into broader domains of chronic illness experience</w:t>
            </w:r>
          </w:p>
        </w:tc>
        <w:tc>
          <w:tcPr>
            <w:tcW w:w="958" w:type="pct"/>
            <w:hideMark/>
          </w:tcPr>
          <w:p w14:paraId="07D0DC82"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Heuristic organization; thematic synthesis; phenomenological interpretation</w:t>
            </w:r>
          </w:p>
        </w:tc>
        <w:tc>
          <w:tcPr>
            <w:tcW w:w="596" w:type="pct"/>
            <w:hideMark/>
          </w:tcPr>
          <w:p w14:paraId="72A80A84" w14:textId="099B0155"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Inductive coding into themes, subthemes, and higher-order domains</w:t>
            </w:r>
            <w:r w:rsidR="00B56023" w:rsidRPr="00732EED">
              <w:rPr>
                <w:kern w:val="2"/>
                <w:sz w:val="18"/>
                <w:szCs w:val="18"/>
                <w14:ligatures w14:val="standardContextual"/>
              </w:rPr>
              <w:t>, codebook development</w:t>
            </w:r>
          </w:p>
        </w:tc>
        <w:tc>
          <w:tcPr>
            <w:tcW w:w="854" w:type="pct"/>
            <w:hideMark/>
          </w:tcPr>
          <w:p w14:paraId="33A858FF"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Group concepts into principal domains and related subthemes; assign themes to domains such as physical, social, and psychological; refine </w:t>
            </w:r>
            <w:r w:rsidRPr="00732EED">
              <w:rPr>
                <w:kern w:val="2"/>
                <w:sz w:val="18"/>
                <w:szCs w:val="18"/>
                <w14:ligatures w14:val="standardContextual"/>
              </w:rPr>
              <w:lastRenderedPageBreak/>
              <w:t>thematic boundaries through team discussion</w:t>
            </w:r>
          </w:p>
        </w:tc>
        <w:tc>
          <w:tcPr>
            <w:tcW w:w="648" w:type="pct"/>
            <w:hideMark/>
          </w:tcPr>
          <w:p w14:paraId="5C6B0FF8" w14:textId="54997F06"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lastRenderedPageBreak/>
              <w:t>Thematic framework; domain structure</w:t>
            </w:r>
            <w:r w:rsidR="00B56023" w:rsidRPr="00732EED">
              <w:rPr>
                <w:kern w:val="2"/>
                <w:sz w:val="18"/>
                <w:szCs w:val="18"/>
                <w14:ligatures w14:val="standardContextual"/>
              </w:rPr>
              <w:t>, codebook development</w:t>
            </w:r>
          </w:p>
        </w:tc>
      </w:tr>
      <w:tr w:rsidR="006060B0" w:rsidRPr="00732EED" w14:paraId="79560639"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33A7A3BB"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1</w:t>
            </w:r>
          </w:p>
        </w:tc>
        <w:tc>
          <w:tcPr>
            <w:tcW w:w="217" w:type="pct"/>
          </w:tcPr>
          <w:p w14:paraId="41410A43" w14:textId="2437EF1C"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1.6</w:t>
            </w:r>
          </w:p>
        </w:tc>
        <w:tc>
          <w:tcPr>
            <w:tcW w:w="816" w:type="pct"/>
            <w:hideMark/>
          </w:tcPr>
          <w:p w14:paraId="77337132"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Visual/logical mapping of relationships</w:t>
            </w:r>
          </w:p>
        </w:tc>
        <w:tc>
          <w:tcPr>
            <w:tcW w:w="648" w:type="pct"/>
            <w:hideMark/>
          </w:tcPr>
          <w:p w14:paraId="0B8A8899"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Explore interconnections among domains and themes</w:t>
            </w:r>
          </w:p>
        </w:tc>
        <w:tc>
          <w:tcPr>
            <w:tcW w:w="958" w:type="pct"/>
            <w:hideMark/>
          </w:tcPr>
          <w:p w14:paraId="5CA70BC1"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Concept mapping; node mapping; relational and process-oriented thinking</w:t>
            </w:r>
          </w:p>
        </w:tc>
        <w:tc>
          <w:tcPr>
            <w:tcW w:w="596" w:type="pct"/>
            <w:hideMark/>
          </w:tcPr>
          <w:p w14:paraId="0F7AD178"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Relational coding and clustering</w:t>
            </w:r>
          </w:p>
        </w:tc>
        <w:tc>
          <w:tcPr>
            <w:tcW w:w="854" w:type="pct"/>
            <w:hideMark/>
          </w:tcPr>
          <w:p w14:paraId="75C2A0B6"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Map relationships among themes and domains; consider relative prominence and interdependence; use literature frequency and synthesis relevance to organize key themes</w:t>
            </w:r>
          </w:p>
        </w:tc>
        <w:tc>
          <w:tcPr>
            <w:tcW w:w="648" w:type="pct"/>
            <w:hideMark/>
          </w:tcPr>
          <w:p w14:paraId="469C6831"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Domain-theme relationship map; organized conceptual structure</w:t>
            </w:r>
          </w:p>
        </w:tc>
      </w:tr>
      <w:tr w:rsidR="006060B0" w:rsidRPr="00732EED" w14:paraId="1912925D"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7439C485"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1</w:t>
            </w:r>
          </w:p>
        </w:tc>
        <w:tc>
          <w:tcPr>
            <w:tcW w:w="217" w:type="pct"/>
          </w:tcPr>
          <w:p w14:paraId="6735206B" w14:textId="10DCC7F0"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1.7</w:t>
            </w:r>
          </w:p>
        </w:tc>
        <w:tc>
          <w:tcPr>
            <w:tcW w:w="816" w:type="pct"/>
            <w:hideMark/>
          </w:tcPr>
          <w:p w14:paraId="7C299DAE"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Interpretive synthesis and hermeneutic integration</w:t>
            </w:r>
          </w:p>
        </w:tc>
        <w:tc>
          <w:tcPr>
            <w:tcW w:w="648" w:type="pct"/>
            <w:hideMark/>
          </w:tcPr>
          <w:p w14:paraId="6393233B"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Move from grouped themes to synthetic interpretations of chronic illness</w:t>
            </w:r>
          </w:p>
        </w:tc>
        <w:tc>
          <w:tcPr>
            <w:tcW w:w="958" w:type="pct"/>
            <w:hideMark/>
          </w:tcPr>
          <w:p w14:paraId="1EBB7490"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Hermeneutic synthesis; conceptual modeling; line-of-argument synthesis</w:t>
            </w:r>
          </w:p>
        </w:tc>
        <w:tc>
          <w:tcPr>
            <w:tcW w:w="596" w:type="pct"/>
            <w:hideMark/>
          </w:tcPr>
          <w:p w14:paraId="187381E5"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Development of third-order constructs and interpretive explanations</w:t>
            </w:r>
          </w:p>
        </w:tc>
        <w:tc>
          <w:tcPr>
            <w:tcW w:w="854" w:type="pct"/>
            <w:hideMark/>
          </w:tcPr>
          <w:p w14:paraId="224AEFE8"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Synthesize across studies to explain lived experience as dynamic, relational, and processual; generate higher-order interpretations and preliminary conceptual models</w:t>
            </w:r>
          </w:p>
        </w:tc>
        <w:tc>
          <w:tcPr>
            <w:tcW w:w="648" w:type="pct"/>
            <w:hideMark/>
          </w:tcPr>
          <w:p w14:paraId="2FE25639" w14:textId="5C4EFB1D"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Synthetic constructs; </w:t>
            </w:r>
            <w:r w:rsidR="00B93F1C" w:rsidRPr="00732EED">
              <w:rPr>
                <w:kern w:val="2"/>
                <w:sz w:val="18"/>
                <w:szCs w:val="18"/>
                <w14:ligatures w14:val="standardContextual"/>
              </w:rPr>
              <w:t>Phase</w:t>
            </w:r>
            <w:r w:rsidRPr="00732EED">
              <w:rPr>
                <w:kern w:val="2"/>
                <w:sz w:val="18"/>
                <w:szCs w:val="18"/>
                <w14:ligatures w14:val="standardContextual"/>
              </w:rPr>
              <w:t xml:space="preserve"> 1 interpretive model</w:t>
            </w:r>
          </w:p>
        </w:tc>
      </w:tr>
      <w:tr w:rsidR="006060B0" w:rsidRPr="00732EED" w14:paraId="7D4AA077"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 w:type="pct"/>
            <w:gridSpan w:val="2"/>
            <w:hideMark/>
          </w:tcPr>
          <w:p w14:paraId="2D7110AB" w14:textId="77777777" w:rsidR="006060B0" w:rsidRPr="00732EED" w:rsidRDefault="006060B0" w:rsidP="006060B0">
            <w:pPr>
              <w:spacing w:after="160"/>
              <w:rPr>
                <w:b w:val="0"/>
                <w:bCs w:val="0"/>
                <w:kern w:val="2"/>
                <w:sz w:val="18"/>
                <w:szCs w:val="18"/>
                <w14:ligatures w14:val="standardContextual"/>
              </w:rPr>
            </w:pPr>
            <w:r w:rsidRPr="00732EED">
              <w:rPr>
                <w:kern w:val="2"/>
                <w:sz w:val="18"/>
                <w:szCs w:val="18"/>
                <w14:ligatures w14:val="standardContextual"/>
              </w:rPr>
              <w:t xml:space="preserve">Output phase 1 </w:t>
            </w:r>
          </w:p>
          <w:p w14:paraId="65228F0E" w14:textId="65992D30" w:rsidR="006060B0" w:rsidRPr="00732EED" w:rsidRDefault="006060B0" w:rsidP="006060B0">
            <w:pPr>
              <w:spacing w:after="160"/>
              <w:rPr>
                <w:kern w:val="2"/>
                <w:sz w:val="18"/>
                <w:szCs w:val="18"/>
                <w14:ligatures w14:val="standardContextual"/>
              </w:rPr>
            </w:pPr>
          </w:p>
        </w:tc>
        <w:tc>
          <w:tcPr>
            <w:tcW w:w="816" w:type="pct"/>
            <w:hideMark/>
          </w:tcPr>
          <w:p w14:paraId="79D6EFAA" w14:textId="10A2B12F"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Phase 1 coding output consolidation</w:t>
            </w:r>
          </w:p>
        </w:tc>
        <w:tc>
          <w:tcPr>
            <w:tcW w:w="648" w:type="pct"/>
            <w:hideMark/>
          </w:tcPr>
          <w:p w14:paraId="45B535F5" w14:textId="54AAB1E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Finalize </w:t>
            </w:r>
            <w:r w:rsidR="00B93F1C" w:rsidRPr="00732EED">
              <w:rPr>
                <w:kern w:val="2"/>
                <w:sz w:val="18"/>
                <w:szCs w:val="18"/>
                <w14:ligatures w14:val="standardContextual"/>
              </w:rPr>
              <w:t>Phase</w:t>
            </w:r>
            <w:r w:rsidRPr="00732EED">
              <w:rPr>
                <w:kern w:val="2"/>
                <w:sz w:val="18"/>
                <w:szCs w:val="18"/>
                <w14:ligatures w14:val="standardContextual"/>
              </w:rPr>
              <w:t xml:space="preserve"> 1 domains and prepare transition to </w:t>
            </w:r>
            <w:r w:rsidR="00B93F1C" w:rsidRPr="00732EED">
              <w:rPr>
                <w:kern w:val="2"/>
                <w:sz w:val="18"/>
                <w:szCs w:val="18"/>
                <w14:ligatures w14:val="standardContextual"/>
              </w:rPr>
              <w:t>Phase</w:t>
            </w:r>
            <w:r w:rsidRPr="00732EED">
              <w:rPr>
                <w:kern w:val="2"/>
                <w:sz w:val="18"/>
                <w:szCs w:val="18"/>
                <w14:ligatures w14:val="standardContextual"/>
              </w:rPr>
              <w:t xml:space="preserve"> 2</w:t>
            </w:r>
          </w:p>
        </w:tc>
        <w:tc>
          <w:tcPr>
            <w:tcW w:w="958" w:type="pct"/>
            <w:hideMark/>
          </w:tcPr>
          <w:p w14:paraId="53E3D2BE"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Hermeneutic circle; heuristic synthesis</w:t>
            </w:r>
          </w:p>
        </w:tc>
        <w:tc>
          <w:tcPr>
            <w:tcW w:w="596" w:type="pct"/>
            <w:hideMark/>
          </w:tcPr>
          <w:p w14:paraId="66189B96"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Consolidation of coded themes into operational domains</w:t>
            </w:r>
          </w:p>
        </w:tc>
        <w:tc>
          <w:tcPr>
            <w:tcW w:w="854" w:type="pct"/>
            <w:hideMark/>
          </w:tcPr>
          <w:p w14:paraId="5915BE28"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Summarize final domains/subdomains relevant to chronic illness and chronic pain; identify which findings warrant extension into transdisciplinary analysis</w:t>
            </w:r>
          </w:p>
        </w:tc>
        <w:tc>
          <w:tcPr>
            <w:tcW w:w="648" w:type="pct"/>
            <w:hideMark/>
          </w:tcPr>
          <w:p w14:paraId="322CD741" w14:textId="17171D61"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Final </w:t>
            </w:r>
            <w:r w:rsidR="00B93F1C" w:rsidRPr="00732EED">
              <w:rPr>
                <w:kern w:val="2"/>
                <w:sz w:val="18"/>
                <w:szCs w:val="18"/>
                <w14:ligatures w14:val="standardContextual"/>
              </w:rPr>
              <w:t>Phase</w:t>
            </w:r>
            <w:r w:rsidRPr="00732EED">
              <w:rPr>
                <w:kern w:val="2"/>
                <w:sz w:val="18"/>
                <w:szCs w:val="18"/>
                <w14:ligatures w14:val="standardContextual"/>
              </w:rPr>
              <w:t xml:space="preserve"> 1 domains and themes</w:t>
            </w:r>
            <w:r w:rsidR="00B56023" w:rsidRPr="00732EED">
              <w:rPr>
                <w:kern w:val="2"/>
                <w:sz w:val="18"/>
                <w:szCs w:val="18"/>
                <w14:ligatures w14:val="standardContextual"/>
              </w:rPr>
              <w:t>, codebook refinement</w:t>
            </w:r>
          </w:p>
        </w:tc>
      </w:tr>
      <w:tr w:rsidR="006060B0" w:rsidRPr="00732EED" w14:paraId="0397FF11"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32FAFCDA"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2</w:t>
            </w:r>
          </w:p>
        </w:tc>
        <w:tc>
          <w:tcPr>
            <w:tcW w:w="217" w:type="pct"/>
            <w:hideMark/>
          </w:tcPr>
          <w:p w14:paraId="61C30857"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2.1</w:t>
            </w:r>
          </w:p>
        </w:tc>
        <w:tc>
          <w:tcPr>
            <w:tcW w:w="816" w:type="pct"/>
            <w:hideMark/>
          </w:tcPr>
          <w:p w14:paraId="1223E6F2"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Cross-disciplinary extension and secondary question refinement</w:t>
            </w:r>
          </w:p>
        </w:tc>
        <w:tc>
          <w:tcPr>
            <w:tcW w:w="648" w:type="pct"/>
            <w:hideMark/>
          </w:tcPr>
          <w:p w14:paraId="065F96A1"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Extend the synthesis toward implementation and transdisciplinary clinical application</w:t>
            </w:r>
          </w:p>
        </w:tc>
        <w:tc>
          <w:tcPr>
            <w:tcW w:w="958" w:type="pct"/>
            <w:hideMark/>
          </w:tcPr>
          <w:p w14:paraId="1C224142"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Transdisciplinary integration; epistemological pluralism; participatory orientation</w:t>
            </w:r>
          </w:p>
        </w:tc>
        <w:tc>
          <w:tcPr>
            <w:tcW w:w="596" w:type="pct"/>
            <w:hideMark/>
          </w:tcPr>
          <w:p w14:paraId="692E3F3D"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Linking lived-experience findings to implementation-focused coding</w:t>
            </w:r>
          </w:p>
        </w:tc>
        <w:tc>
          <w:tcPr>
            <w:tcW w:w="854" w:type="pct"/>
            <w:hideMark/>
          </w:tcPr>
          <w:p w14:paraId="2E3D0531"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Define secondary questions concerning how transdisciplinary principles can improve understanding and treatment of chronic illness; identify disciplines and literatures relevant to implementation</w:t>
            </w:r>
          </w:p>
        </w:tc>
        <w:tc>
          <w:tcPr>
            <w:tcW w:w="648" w:type="pct"/>
            <w:hideMark/>
          </w:tcPr>
          <w:p w14:paraId="75FCF034" w14:textId="57D67D5C"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Refined </w:t>
            </w:r>
            <w:r w:rsidR="00B93F1C" w:rsidRPr="00732EED">
              <w:rPr>
                <w:kern w:val="2"/>
                <w:sz w:val="18"/>
                <w:szCs w:val="18"/>
                <w14:ligatures w14:val="standardContextual"/>
              </w:rPr>
              <w:t>Phase</w:t>
            </w:r>
            <w:r w:rsidRPr="00732EED">
              <w:rPr>
                <w:kern w:val="2"/>
                <w:sz w:val="18"/>
                <w:szCs w:val="18"/>
                <w14:ligatures w14:val="standardContextual"/>
              </w:rPr>
              <w:t xml:space="preserve"> 2 questions; disciplinary scope</w:t>
            </w:r>
          </w:p>
        </w:tc>
      </w:tr>
      <w:tr w:rsidR="006060B0" w:rsidRPr="00732EED" w14:paraId="4D58A82A"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7920F288"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2</w:t>
            </w:r>
          </w:p>
        </w:tc>
        <w:tc>
          <w:tcPr>
            <w:tcW w:w="217" w:type="pct"/>
            <w:hideMark/>
          </w:tcPr>
          <w:p w14:paraId="000556ED"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2.2</w:t>
            </w:r>
          </w:p>
        </w:tc>
        <w:tc>
          <w:tcPr>
            <w:tcW w:w="816" w:type="pct"/>
            <w:hideMark/>
          </w:tcPr>
          <w:p w14:paraId="67E47DF7"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Supplementary/iterative searching for transdisciplinary literature</w:t>
            </w:r>
          </w:p>
        </w:tc>
        <w:tc>
          <w:tcPr>
            <w:tcW w:w="648" w:type="pct"/>
            <w:hideMark/>
          </w:tcPr>
          <w:p w14:paraId="43C14B97" w14:textId="004A8E1D"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Build the </w:t>
            </w:r>
            <w:r w:rsidR="00B93F1C" w:rsidRPr="00732EED">
              <w:rPr>
                <w:kern w:val="2"/>
                <w:sz w:val="18"/>
                <w:szCs w:val="18"/>
                <w14:ligatures w14:val="standardContextual"/>
              </w:rPr>
              <w:t>Phase</w:t>
            </w:r>
            <w:r w:rsidRPr="00732EED">
              <w:rPr>
                <w:kern w:val="2"/>
                <w:sz w:val="18"/>
                <w:szCs w:val="18"/>
                <w14:ligatures w14:val="standardContextual"/>
              </w:rPr>
              <w:t xml:space="preserve"> 2 evidence base</w:t>
            </w:r>
          </w:p>
        </w:tc>
        <w:tc>
          <w:tcPr>
            <w:tcW w:w="958" w:type="pct"/>
            <w:hideMark/>
          </w:tcPr>
          <w:p w14:paraId="697DC5E8"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Iterative targeted searching; database searching; reference chaining where applicable</w:t>
            </w:r>
          </w:p>
        </w:tc>
        <w:tc>
          <w:tcPr>
            <w:tcW w:w="596" w:type="pct"/>
            <w:hideMark/>
          </w:tcPr>
          <w:p w14:paraId="191E3E42"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Search expansion and purposive identification of implementation literature</w:t>
            </w:r>
          </w:p>
        </w:tc>
        <w:tc>
          <w:tcPr>
            <w:tcW w:w="854" w:type="pct"/>
            <w:hideMark/>
          </w:tcPr>
          <w:p w14:paraId="38472FCF"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Identify studies on transdisciplinary science in medicine and public health, implementation pathways, and clinical application frameworks relevant to chronic illness</w:t>
            </w:r>
          </w:p>
        </w:tc>
        <w:tc>
          <w:tcPr>
            <w:tcW w:w="648" w:type="pct"/>
            <w:hideMark/>
          </w:tcPr>
          <w:p w14:paraId="1E01FD21"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Supplementary literature set</w:t>
            </w:r>
          </w:p>
        </w:tc>
      </w:tr>
      <w:tr w:rsidR="006060B0" w:rsidRPr="00732EED" w14:paraId="1A624288"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5D38308B"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2</w:t>
            </w:r>
          </w:p>
        </w:tc>
        <w:tc>
          <w:tcPr>
            <w:tcW w:w="217" w:type="pct"/>
            <w:hideMark/>
          </w:tcPr>
          <w:p w14:paraId="4FAB23CE"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2.3</w:t>
            </w:r>
          </w:p>
        </w:tc>
        <w:tc>
          <w:tcPr>
            <w:tcW w:w="816" w:type="pct"/>
            <w:hideMark/>
          </w:tcPr>
          <w:p w14:paraId="73897178" w14:textId="7C3248C6"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Appraisal of </w:t>
            </w:r>
            <w:r w:rsidR="00B56023" w:rsidRPr="00732EED">
              <w:rPr>
                <w:kern w:val="2"/>
                <w:sz w:val="18"/>
                <w:szCs w:val="18"/>
                <w14:ligatures w14:val="standardContextual"/>
              </w:rPr>
              <w:t xml:space="preserve">additional </w:t>
            </w:r>
            <w:r w:rsidRPr="00732EED">
              <w:rPr>
                <w:kern w:val="2"/>
                <w:sz w:val="18"/>
                <w:szCs w:val="18"/>
                <w14:ligatures w14:val="standardContextual"/>
              </w:rPr>
              <w:t>studies</w:t>
            </w:r>
          </w:p>
        </w:tc>
        <w:tc>
          <w:tcPr>
            <w:tcW w:w="648" w:type="pct"/>
            <w:hideMark/>
          </w:tcPr>
          <w:p w14:paraId="7AD30E6A" w14:textId="3074529C"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Assess methodological and conceptual </w:t>
            </w:r>
            <w:r w:rsidRPr="00732EED">
              <w:rPr>
                <w:kern w:val="2"/>
                <w:sz w:val="18"/>
                <w:szCs w:val="18"/>
                <w14:ligatures w14:val="standardContextual"/>
              </w:rPr>
              <w:lastRenderedPageBreak/>
              <w:t xml:space="preserve">contribution of </w:t>
            </w:r>
            <w:r w:rsidR="00B93F1C" w:rsidRPr="00732EED">
              <w:rPr>
                <w:kern w:val="2"/>
                <w:sz w:val="18"/>
                <w:szCs w:val="18"/>
                <w14:ligatures w14:val="standardContextual"/>
              </w:rPr>
              <w:t>Phase</w:t>
            </w:r>
            <w:r w:rsidRPr="00732EED">
              <w:rPr>
                <w:kern w:val="2"/>
                <w:sz w:val="18"/>
                <w:szCs w:val="18"/>
                <w14:ligatures w14:val="standardContextual"/>
              </w:rPr>
              <w:t xml:space="preserve"> 2 literature</w:t>
            </w:r>
          </w:p>
        </w:tc>
        <w:tc>
          <w:tcPr>
            <w:tcW w:w="958" w:type="pct"/>
            <w:hideMark/>
          </w:tcPr>
          <w:p w14:paraId="0DDCE23C"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lastRenderedPageBreak/>
              <w:t>CASP; MMAT; relevance appraisal; contribution to framework development</w:t>
            </w:r>
          </w:p>
        </w:tc>
        <w:tc>
          <w:tcPr>
            <w:tcW w:w="596" w:type="pct"/>
            <w:hideMark/>
          </w:tcPr>
          <w:p w14:paraId="6DDFD6A9"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Appraisal and relevance coding</w:t>
            </w:r>
          </w:p>
        </w:tc>
        <w:tc>
          <w:tcPr>
            <w:tcW w:w="854" w:type="pct"/>
            <w:hideMark/>
          </w:tcPr>
          <w:p w14:paraId="3F3AFA72"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Evaluate methodological quality and relevance to transdisciplinary pathway development; retain studies that contribute to </w:t>
            </w:r>
            <w:r w:rsidRPr="00732EED">
              <w:rPr>
                <w:kern w:val="2"/>
                <w:sz w:val="18"/>
                <w:szCs w:val="18"/>
                <w14:ligatures w14:val="standardContextual"/>
              </w:rPr>
              <w:lastRenderedPageBreak/>
              <w:t>implementation understanding</w:t>
            </w:r>
          </w:p>
        </w:tc>
        <w:tc>
          <w:tcPr>
            <w:tcW w:w="648" w:type="pct"/>
            <w:hideMark/>
          </w:tcPr>
          <w:p w14:paraId="54A6B45D" w14:textId="6D8B17E3"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lastRenderedPageBreak/>
              <w:t xml:space="preserve">Supplementary appraisal notes; included </w:t>
            </w:r>
            <w:r w:rsidR="00B93F1C" w:rsidRPr="00732EED">
              <w:rPr>
                <w:kern w:val="2"/>
                <w:sz w:val="18"/>
                <w:szCs w:val="18"/>
                <w14:ligatures w14:val="standardContextual"/>
              </w:rPr>
              <w:t>Phase</w:t>
            </w:r>
            <w:r w:rsidRPr="00732EED">
              <w:rPr>
                <w:kern w:val="2"/>
                <w:sz w:val="18"/>
                <w:szCs w:val="18"/>
                <w14:ligatures w14:val="standardContextual"/>
              </w:rPr>
              <w:t xml:space="preserve"> 2 study set</w:t>
            </w:r>
          </w:p>
        </w:tc>
      </w:tr>
      <w:tr w:rsidR="006060B0" w:rsidRPr="00732EED" w14:paraId="3D917471"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469F20B7"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2</w:t>
            </w:r>
          </w:p>
        </w:tc>
        <w:tc>
          <w:tcPr>
            <w:tcW w:w="217" w:type="pct"/>
            <w:hideMark/>
          </w:tcPr>
          <w:p w14:paraId="61B6E6FE"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2.4</w:t>
            </w:r>
          </w:p>
        </w:tc>
        <w:tc>
          <w:tcPr>
            <w:tcW w:w="816" w:type="pct"/>
            <w:hideMark/>
          </w:tcPr>
          <w:p w14:paraId="40C8884C" w14:textId="301ED3D5"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Cross-disciplinary synthesis </w:t>
            </w:r>
          </w:p>
        </w:tc>
        <w:tc>
          <w:tcPr>
            <w:tcW w:w="648" w:type="pct"/>
            <w:hideMark/>
          </w:tcPr>
          <w:p w14:paraId="6821A645"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Integrate findings across disciplinary and methodological traditions</w:t>
            </w:r>
          </w:p>
        </w:tc>
        <w:tc>
          <w:tcPr>
            <w:tcW w:w="958" w:type="pct"/>
            <w:hideMark/>
          </w:tcPr>
          <w:p w14:paraId="6DF49D06"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Meta-ethnographic translation; thematic synthesis; line-of-argument synthesis</w:t>
            </w:r>
          </w:p>
        </w:tc>
        <w:tc>
          <w:tcPr>
            <w:tcW w:w="596" w:type="pct"/>
            <w:hideMark/>
          </w:tcPr>
          <w:p w14:paraId="5C38E7F6"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Translation of concepts across clinical, social, philosophical, and methodological literatures</w:t>
            </w:r>
          </w:p>
        </w:tc>
        <w:tc>
          <w:tcPr>
            <w:tcW w:w="854" w:type="pct"/>
            <w:hideMark/>
          </w:tcPr>
          <w:p w14:paraId="0E27C114"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Compare and integrate constructs related to implementation, collaboration, hierarchy, communication, sustainability, phenomenology, and institutional barriers/facilitators</w:t>
            </w:r>
          </w:p>
        </w:tc>
        <w:tc>
          <w:tcPr>
            <w:tcW w:w="648" w:type="pct"/>
            <w:hideMark/>
          </w:tcPr>
          <w:p w14:paraId="2626E7A5"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Integrated transdisciplinary framework</w:t>
            </w:r>
          </w:p>
        </w:tc>
      </w:tr>
      <w:tr w:rsidR="006060B0" w:rsidRPr="00732EED" w14:paraId="5D8BC2B9"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102CE22E"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2</w:t>
            </w:r>
          </w:p>
        </w:tc>
        <w:tc>
          <w:tcPr>
            <w:tcW w:w="217" w:type="pct"/>
            <w:hideMark/>
          </w:tcPr>
          <w:p w14:paraId="24EDAAFF"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2.5</w:t>
            </w:r>
          </w:p>
        </w:tc>
        <w:tc>
          <w:tcPr>
            <w:tcW w:w="816" w:type="pct"/>
            <w:hideMark/>
          </w:tcPr>
          <w:p w14:paraId="4CC5B986"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Heuristic pathway organization</w:t>
            </w:r>
          </w:p>
        </w:tc>
        <w:tc>
          <w:tcPr>
            <w:tcW w:w="648" w:type="pct"/>
            <w:hideMark/>
          </w:tcPr>
          <w:p w14:paraId="586B2F0E"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Convert integrated findings into practical domains/pathways</w:t>
            </w:r>
          </w:p>
        </w:tc>
        <w:tc>
          <w:tcPr>
            <w:tcW w:w="958" w:type="pct"/>
            <w:hideMark/>
          </w:tcPr>
          <w:p w14:paraId="22F92313"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Heuristic grouping; process and relational ontological framing</w:t>
            </w:r>
          </w:p>
        </w:tc>
        <w:tc>
          <w:tcPr>
            <w:tcW w:w="596" w:type="pct"/>
            <w:hideMark/>
          </w:tcPr>
          <w:p w14:paraId="4AC35476"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Grouping of supportive and inhibitive subthemes into pathways</w:t>
            </w:r>
          </w:p>
        </w:tc>
        <w:tc>
          <w:tcPr>
            <w:tcW w:w="854" w:type="pct"/>
            <w:hideMark/>
          </w:tcPr>
          <w:p w14:paraId="428C146D"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Organize key pathways, domains, and subthemes; identify evidentiary support for each; simplify complexity into clinically usable structures</w:t>
            </w:r>
          </w:p>
        </w:tc>
        <w:tc>
          <w:tcPr>
            <w:tcW w:w="648" w:type="pct"/>
            <w:hideMark/>
          </w:tcPr>
          <w:p w14:paraId="12F8601C"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Pathway framework; subtheme structure</w:t>
            </w:r>
          </w:p>
        </w:tc>
      </w:tr>
      <w:tr w:rsidR="006060B0" w:rsidRPr="00732EED" w14:paraId="12DE4031"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hideMark/>
          </w:tcPr>
          <w:p w14:paraId="55BA2805"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2</w:t>
            </w:r>
          </w:p>
        </w:tc>
        <w:tc>
          <w:tcPr>
            <w:tcW w:w="217" w:type="pct"/>
            <w:hideMark/>
          </w:tcPr>
          <w:p w14:paraId="619E2879"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2.6</w:t>
            </w:r>
          </w:p>
        </w:tc>
        <w:tc>
          <w:tcPr>
            <w:tcW w:w="816" w:type="pct"/>
            <w:hideMark/>
          </w:tcPr>
          <w:p w14:paraId="0B838FF0"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Co-occurrence analysis and matrix-based coding</w:t>
            </w:r>
          </w:p>
        </w:tc>
        <w:tc>
          <w:tcPr>
            <w:tcW w:w="648" w:type="pct"/>
            <w:hideMark/>
          </w:tcPr>
          <w:p w14:paraId="5135A5D4"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Examine how themes and pathways emerge together across studies</w:t>
            </w:r>
          </w:p>
        </w:tc>
        <w:tc>
          <w:tcPr>
            <w:tcW w:w="958" w:type="pct"/>
            <w:hideMark/>
          </w:tcPr>
          <w:p w14:paraId="1227A656"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Matrix mapping; thematic co-occurrence analysis; heat-map logic</w:t>
            </w:r>
          </w:p>
        </w:tc>
        <w:tc>
          <w:tcPr>
            <w:tcW w:w="596" w:type="pct"/>
            <w:hideMark/>
          </w:tcPr>
          <w:p w14:paraId="1624EF70"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Co-occurrence coding between themes and methodological pathways</w:t>
            </w:r>
          </w:p>
        </w:tc>
        <w:tc>
          <w:tcPr>
            <w:tcW w:w="854" w:type="pct"/>
            <w:hideMark/>
          </w:tcPr>
          <w:p w14:paraId="22024606"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Count and compare where themes and transdisciplinary pathways co-occur within papers; identify dense intersections, gaps, convergence, and divergence</w:t>
            </w:r>
          </w:p>
        </w:tc>
        <w:tc>
          <w:tcPr>
            <w:tcW w:w="648" w:type="pct"/>
            <w:hideMark/>
          </w:tcPr>
          <w:p w14:paraId="4C451FB5" w14:textId="77777777" w:rsidR="006060B0" w:rsidRPr="00732EED" w:rsidRDefault="006060B0"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Co-occurrence matrix; analytical summary of intersections</w:t>
            </w:r>
          </w:p>
        </w:tc>
      </w:tr>
      <w:tr w:rsidR="006060B0" w:rsidRPr="00732EED" w14:paraId="716F41DE" w14:textId="77777777" w:rsidTr="001F2CA8">
        <w:tc>
          <w:tcPr>
            <w:cnfStyle w:val="001000000000" w:firstRow="0" w:lastRow="0" w:firstColumn="1" w:lastColumn="0" w:oddVBand="0" w:evenVBand="0" w:oddHBand="0" w:evenHBand="0" w:firstRowFirstColumn="0" w:firstRowLastColumn="0" w:lastRowFirstColumn="0" w:lastRowLastColumn="0"/>
            <w:tcW w:w="264" w:type="pct"/>
            <w:hideMark/>
          </w:tcPr>
          <w:p w14:paraId="73515EAE" w14:textId="77777777" w:rsidR="006060B0" w:rsidRPr="00732EED" w:rsidRDefault="006060B0" w:rsidP="006060B0">
            <w:pPr>
              <w:spacing w:after="160"/>
              <w:rPr>
                <w:kern w:val="2"/>
                <w:sz w:val="18"/>
                <w:szCs w:val="18"/>
                <w14:ligatures w14:val="standardContextual"/>
              </w:rPr>
            </w:pPr>
            <w:r w:rsidRPr="00732EED">
              <w:rPr>
                <w:kern w:val="2"/>
                <w:sz w:val="18"/>
                <w:szCs w:val="18"/>
                <w14:ligatures w14:val="standardContextual"/>
              </w:rPr>
              <w:t>2</w:t>
            </w:r>
          </w:p>
        </w:tc>
        <w:tc>
          <w:tcPr>
            <w:tcW w:w="217" w:type="pct"/>
            <w:hideMark/>
          </w:tcPr>
          <w:p w14:paraId="13AA32F9"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2.7</w:t>
            </w:r>
          </w:p>
        </w:tc>
        <w:tc>
          <w:tcPr>
            <w:tcW w:w="816" w:type="pct"/>
            <w:hideMark/>
          </w:tcPr>
          <w:p w14:paraId="03723461"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Final integration and framework development</w:t>
            </w:r>
          </w:p>
        </w:tc>
        <w:tc>
          <w:tcPr>
            <w:tcW w:w="648" w:type="pct"/>
            <w:hideMark/>
          </w:tcPr>
          <w:p w14:paraId="4F503060"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Produce the overarching model for transdisciplinary chronic illness care</w:t>
            </w:r>
          </w:p>
        </w:tc>
        <w:tc>
          <w:tcPr>
            <w:tcW w:w="958" w:type="pct"/>
            <w:hideMark/>
          </w:tcPr>
          <w:p w14:paraId="525CA31F"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Hermeneutic integration; transdisciplinary synthesis; process ontology; reflexivity</w:t>
            </w:r>
          </w:p>
        </w:tc>
        <w:tc>
          <w:tcPr>
            <w:tcW w:w="596" w:type="pct"/>
            <w:hideMark/>
          </w:tcPr>
          <w:p w14:paraId="46EACAB5" w14:textId="17911BC2"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 xml:space="preserve">Integration of </w:t>
            </w:r>
            <w:r w:rsidR="00B93F1C" w:rsidRPr="00732EED">
              <w:rPr>
                <w:kern w:val="2"/>
                <w:sz w:val="18"/>
                <w:szCs w:val="18"/>
                <w14:ligatures w14:val="standardContextual"/>
              </w:rPr>
              <w:t>Phase</w:t>
            </w:r>
            <w:r w:rsidRPr="00732EED">
              <w:rPr>
                <w:kern w:val="2"/>
                <w:sz w:val="18"/>
                <w:szCs w:val="18"/>
                <w14:ligatures w14:val="standardContextual"/>
              </w:rPr>
              <w:t xml:space="preserve"> 1 lived-experience domains with </w:t>
            </w:r>
            <w:r w:rsidR="00B93F1C" w:rsidRPr="00732EED">
              <w:rPr>
                <w:kern w:val="2"/>
                <w:sz w:val="18"/>
                <w:szCs w:val="18"/>
                <w14:ligatures w14:val="standardContextual"/>
              </w:rPr>
              <w:t>Phase</w:t>
            </w:r>
            <w:r w:rsidRPr="00732EED">
              <w:rPr>
                <w:kern w:val="2"/>
                <w:sz w:val="18"/>
                <w:szCs w:val="18"/>
                <w14:ligatures w14:val="standardContextual"/>
              </w:rPr>
              <w:t xml:space="preserve"> 2 implementation pathways</w:t>
            </w:r>
          </w:p>
        </w:tc>
        <w:tc>
          <w:tcPr>
            <w:tcW w:w="854" w:type="pct"/>
            <w:hideMark/>
          </w:tcPr>
          <w:p w14:paraId="386F518E"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Integrate evidence-based findings with conceptual pathways; develop final framework for understanding and treating chronic illness; distinguish empirical findings from conceptual extensions</w:t>
            </w:r>
          </w:p>
        </w:tc>
        <w:tc>
          <w:tcPr>
            <w:tcW w:w="648" w:type="pct"/>
            <w:hideMark/>
          </w:tcPr>
          <w:p w14:paraId="21987939" w14:textId="77777777" w:rsidR="006060B0" w:rsidRPr="00732EED" w:rsidRDefault="006060B0" w:rsidP="006060B0">
            <w:pPr>
              <w:spacing w:after="160"/>
              <w:cnfStyle w:val="000000000000" w:firstRow="0" w:lastRow="0" w:firstColumn="0" w:lastColumn="0" w:oddVBand="0" w:evenVBand="0" w:oddHBand="0"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Final model/framework; integrated tables and figures</w:t>
            </w:r>
          </w:p>
        </w:tc>
      </w:tr>
      <w:tr w:rsidR="00986DD6" w:rsidRPr="00732EED" w14:paraId="31CA0DD1" w14:textId="77777777" w:rsidTr="001F2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 w:type="pct"/>
            <w:gridSpan w:val="2"/>
            <w:hideMark/>
          </w:tcPr>
          <w:p w14:paraId="543ECA66" w14:textId="29B16E9E" w:rsidR="00986DD6" w:rsidRPr="00732EED" w:rsidRDefault="00986DD6" w:rsidP="006060B0">
            <w:pPr>
              <w:spacing w:after="160"/>
              <w:rPr>
                <w:kern w:val="2"/>
                <w:sz w:val="18"/>
                <w:szCs w:val="18"/>
                <w14:ligatures w14:val="standardContextual"/>
              </w:rPr>
            </w:pPr>
            <w:r w:rsidRPr="00732EED">
              <w:rPr>
                <w:sz w:val="18"/>
                <w:szCs w:val="18"/>
              </w:rPr>
              <w:t xml:space="preserve">Final </w:t>
            </w:r>
            <w:r w:rsidR="00E23B32" w:rsidRPr="00732EED">
              <w:rPr>
                <w:sz w:val="18"/>
                <w:szCs w:val="18"/>
              </w:rPr>
              <w:t xml:space="preserve">output </w:t>
            </w:r>
            <w:r w:rsidR="00B56023" w:rsidRPr="00732EED">
              <w:rPr>
                <w:sz w:val="18"/>
                <w:szCs w:val="18"/>
              </w:rPr>
              <w:t>/</w:t>
            </w:r>
            <w:r w:rsidRPr="00732EED">
              <w:rPr>
                <w:sz w:val="18"/>
                <w:szCs w:val="18"/>
              </w:rPr>
              <w:t xml:space="preserve">reflexivity </w:t>
            </w:r>
          </w:p>
        </w:tc>
        <w:tc>
          <w:tcPr>
            <w:tcW w:w="816" w:type="pct"/>
            <w:hideMark/>
          </w:tcPr>
          <w:p w14:paraId="07E78280" w14:textId="77777777" w:rsidR="00986DD6" w:rsidRPr="00732EED" w:rsidRDefault="00986DD6"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Reporting, transparency, and reflexive close-out</w:t>
            </w:r>
          </w:p>
        </w:tc>
        <w:tc>
          <w:tcPr>
            <w:tcW w:w="648" w:type="pct"/>
            <w:hideMark/>
          </w:tcPr>
          <w:p w14:paraId="57861B00" w14:textId="240A8FA1" w:rsidR="00986DD6" w:rsidRPr="00732EED" w:rsidRDefault="00986DD6"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Ensure transparent and rigorous reporting of the sequential synthesis; reproducibility</w:t>
            </w:r>
          </w:p>
        </w:tc>
        <w:tc>
          <w:tcPr>
            <w:tcW w:w="958" w:type="pct"/>
            <w:hideMark/>
          </w:tcPr>
          <w:p w14:paraId="4EC6B92C" w14:textId="77777777" w:rsidR="00986DD6" w:rsidRPr="00732EED" w:rsidRDefault="00986DD6"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PRISMA-aligned reporting; reflexivity; confidence assessment summaries</w:t>
            </w:r>
          </w:p>
        </w:tc>
        <w:tc>
          <w:tcPr>
            <w:tcW w:w="596" w:type="pct"/>
            <w:hideMark/>
          </w:tcPr>
          <w:p w14:paraId="38BAB596" w14:textId="629D9FF0" w:rsidR="00986DD6" w:rsidRPr="00732EED" w:rsidRDefault="00986DD6"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Final audit of coding decisions and presentation logic; sensitivity testing of coding themes</w:t>
            </w:r>
          </w:p>
        </w:tc>
        <w:tc>
          <w:tcPr>
            <w:tcW w:w="854" w:type="pct"/>
            <w:hideMark/>
          </w:tcPr>
          <w:p w14:paraId="6DD504D8" w14:textId="77777777" w:rsidR="00986DD6" w:rsidRPr="00732EED" w:rsidRDefault="00986DD6"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Finalize supplementary tables, appraisal summaries, confidence profiles, methods narrative, and reflexivity/accountability statements</w:t>
            </w:r>
          </w:p>
        </w:tc>
        <w:tc>
          <w:tcPr>
            <w:tcW w:w="648" w:type="pct"/>
            <w:hideMark/>
          </w:tcPr>
          <w:p w14:paraId="2027CC01" w14:textId="77777777" w:rsidR="00986DD6" w:rsidRPr="00732EED" w:rsidRDefault="00986DD6" w:rsidP="006060B0">
            <w:pPr>
              <w:spacing w:after="160"/>
              <w:cnfStyle w:val="000000100000" w:firstRow="0" w:lastRow="0" w:firstColumn="0" w:lastColumn="0" w:oddVBand="0" w:evenVBand="0" w:oddHBand="1" w:evenHBand="0" w:firstRowFirstColumn="0" w:firstRowLastColumn="0" w:lastRowFirstColumn="0" w:lastRowLastColumn="0"/>
              <w:rPr>
                <w:kern w:val="2"/>
                <w:sz w:val="18"/>
                <w:szCs w:val="18"/>
                <w14:ligatures w14:val="standardContextual"/>
              </w:rPr>
            </w:pPr>
            <w:r w:rsidRPr="00732EED">
              <w:rPr>
                <w:kern w:val="2"/>
                <w:sz w:val="18"/>
                <w:szCs w:val="18"/>
                <w14:ligatures w14:val="standardContextual"/>
              </w:rPr>
              <w:t>Final supplementary materials; manuscript-ready methods summary</w:t>
            </w:r>
          </w:p>
        </w:tc>
      </w:tr>
    </w:tbl>
    <w:p w14:paraId="2F80E165" w14:textId="3F0F296E" w:rsidR="000F2A82" w:rsidRPr="00732EED" w:rsidRDefault="000F2A82" w:rsidP="000F2A82">
      <w:pPr>
        <w:rPr>
          <w:sz w:val="18"/>
          <w:szCs w:val="18"/>
        </w:rPr>
      </w:pPr>
      <w:r w:rsidRPr="00732EED">
        <w:rPr>
          <w:sz w:val="18"/>
          <w:szCs w:val="18"/>
        </w:rPr>
        <w:t>*Supplementary Table S1 notes:</w:t>
      </w:r>
    </w:p>
    <w:p w14:paraId="7E53AAB1" w14:textId="77777777" w:rsidR="000F2A82" w:rsidRPr="00732EED" w:rsidRDefault="000F2A82">
      <w:pPr>
        <w:pStyle w:val="ListParagraph"/>
        <w:numPr>
          <w:ilvl w:val="0"/>
          <w:numId w:val="33"/>
        </w:numPr>
        <w:spacing w:after="160" w:line="278" w:lineRule="auto"/>
        <w:rPr>
          <w:sz w:val="18"/>
          <w:szCs w:val="18"/>
        </w:rPr>
      </w:pPr>
      <w:r w:rsidRPr="00732EED">
        <w:rPr>
          <w:sz w:val="18"/>
          <w:szCs w:val="18"/>
        </w:rPr>
        <w:t>Phase 0 corresponds to protocol development and pre-synthesis preparation.</w:t>
      </w:r>
    </w:p>
    <w:p w14:paraId="6AC841AF" w14:textId="77777777" w:rsidR="000F2A82" w:rsidRPr="00732EED" w:rsidRDefault="000F2A82">
      <w:pPr>
        <w:pStyle w:val="ListParagraph"/>
        <w:numPr>
          <w:ilvl w:val="0"/>
          <w:numId w:val="33"/>
        </w:numPr>
        <w:spacing w:after="160" w:line="278" w:lineRule="auto"/>
        <w:rPr>
          <w:sz w:val="18"/>
          <w:szCs w:val="18"/>
        </w:rPr>
      </w:pPr>
      <w:r w:rsidRPr="00732EED">
        <w:rPr>
          <w:sz w:val="18"/>
          <w:szCs w:val="18"/>
        </w:rPr>
        <w:t>Phase 1 corresponds to the first synthesis sequence focused on lived experience of chronic illness and chronic pain using hermeneutic phenomenology, thematic synthesis, and meta-ethnographic translation.</w:t>
      </w:r>
    </w:p>
    <w:p w14:paraId="1F8CBA4E" w14:textId="77777777" w:rsidR="000F2A82" w:rsidRPr="00732EED" w:rsidRDefault="000F2A82">
      <w:pPr>
        <w:pStyle w:val="ListParagraph"/>
        <w:numPr>
          <w:ilvl w:val="0"/>
          <w:numId w:val="33"/>
        </w:numPr>
        <w:spacing w:after="160" w:line="278" w:lineRule="auto"/>
        <w:rPr>
          <w:sz w:val="18"/>
          <w:szCs w:val="18"/>
        </w:rPr>
      </w:pPr>
      <w:r w:rsidRPr="00732EED">
        <w:rPr>
          <w:sz w:val="18"/>
          <w:szCs w:val="18"/>
        </w:rPr>
        <w:t>Phase 2 corresponds to the second synthesis sequence focused on transdisciplinary principles, implementation pathways, and clinical integration.</w:t>
      </w:r>
    </w:p>
    <w:p w14:paraId="74D4132E" w14:textId="77777777" w:rsidR="000F2A82" w:rsidRPr="00732EED" w:rsidRDefault="000F2A82">
      <w:pPr>
        <w:pStyle w:val="ListParagraph"/>
        <w:numPr>
          <w:ilvl w:val="0"/>
          <w:numId w:val="33"/>
        </w:numPr>
        <w:spacing w:after="160" w:line="278" w:lineRule="auto"/>
        <w:rPr>
          <w:sz w:val="18"/>
          <w:szCs w:val="18"/>
        </w:rPr>
      </w:pPr>
      <w:r w:rsidRPr="00732EED">
        <w:rPr>
          <w:sz w:val="18"/>
          <w:szCs w:val="18"/>
        </w:rPr>
        <w:lastRenderedPageBreak/>
        <w:t>Across all phases, the synthesis was guided by:</w:t>
      </w:r>
    </w:p>
    <w:p w14:paraId="06F0CB8B" w14:textId="77777777" w:rsidR="000F2A82" w:rsidRPr="00732EED" w:rsidRDefault="000F2A82">
      <w:pPr>
        <w:pStyle w:val="ListParagraph"/>
        <w:numPr>
          <w:ilvl w:val="1"/>
          <w:numId w:val="33"/>
        </w:numPr>
        <w:spacing w:after="160" w:line="278" w:lineRule="auto"/>
        <w:rPr>
          <w:sz w:val="18"/>
          <w:szCs w:val="18"/>
        </w:rPr>
      </w:pPr>
      <w:r w:rsidRPr="00732EED">
        <w:rPr>
          <w:sz w:val="18"/>
          <w:szCs w:val="18"/>
        </w:rPr>
        <w:t>ethical/axiological orientation: equity, stigma, access, power, justice, and participation</w:t>
      </w:r>
    </w:p>
    <w:p w14:paraId="5EBD4279" w14:textId="77777777" w:rsidR="000F2A82" w:rsidRPr="00732EED" w:rsidRDefault="000F2A82">
      <w:pPr>
        <w:pStyle w:val="ListParagraph"/>
        <w:numPr>
          <w:ilvl w:val="1"/>
          <w:numId w:val="33"/>
        </w:numPr>
        <w:spacing w:after="160" w:line="278" w:lineRule="auto"/>
        <w:rPr>
          <w:sz w:val="18"/>
          <w:szCs w:val="18"/>
        </w:rPr>
      </w:pPr>
      <w:r w:rsidRPr="00732EED">
        <w:rPr>
          <w:sz w:val="18"/>
          <w:szCs w:val="18"/>
        </w:rPr>
        <w:t>ontological orientation: chronic illness as dynamic, relational, temporal, and processual</w:t>
      </w:r>
    </w:p>
    <w:p w14:paraId="1DAC17E4" w14:textId="77777777" w:rsidR="000F2A82" w:rsidRPr="00732EED" w:rsidRDefault="000F2A82">
      <w:pPr>
        <w:pStyle w:val="ListParagraph"/>
        <w:numPr>
          <w:ilvl w:val="1"/>
          <w:numId w:val="33"/>
        </w:numPr>
        <w:spacing w:after="160" w:line="278" w:lineRule="auto"/>
        <w:rPr>
          <w:sz w:val="18"/>
          <w:szCs w:val="18"/>
        </w:rPr>
      </w:pPr>
      <w:r w:rsidRPr="00732EED">
        <w:rPr>
          <w:sz w:val="18"/>
          <w:szCs w:val="18"/>
        </w:rPr>
        <w:t>epistemological orientation: knowledge as situated, interpretive, plural, and practice-relevant</w:t>
      </w:r>
    </w:p>
    <w:p w14:paraId="6E1D49EF" w14:textId="77777777" w:rsidR="000F2A82" w:rsidRPr="00732EED" w:rsidRDefault="000F2A82">
      <w:pPr>
        <w:pStyle w:val="ListParagraph"/>
        <w:numPr>
          <w:ilvl w:val="1"/>
          <w:numId w:val="33"/>
        </w:numPr>
        <w:spacing w:after="160" w:line="278" w:lineRule="auto"/>
        <w:rPr>
          <w:sz w:val="18"/>
          <w:szCs w:val="18"/>
        </w:rPr>
      </w:pPr>
      <w:r w:rsidRPr="00732EED">
        <w:rPr>
          <w:sz w:val="18"/>
          <w:szCs w:val="18"/>
        </w:rPr>
        <w:t xml:space="preserve">reflexivity: iterative </w:t>
      </w:r>
      <w:proofErr w:type="spellStart"/>
      <w:r w:rsidRPr="00732EED">
        <w:rPr>
          <w:sz w:val="18"/>
          <w:szCs w:val="18"/>
        </w:rPr>
        <w:t>memoing</w:t>
      </w:r>
      <w:proofErr w:type="spellEnd"/>
      <w:r w:rsidRPr="00732EED">
        <w:rPr>
          <w:sz w:val="18"/>
          <w:szCs w:val="18"/>
        </w:rPr>
        <w:t>, team discussion, and attention to interpretive assumptions</w:t>
      </w:r>
    </w:p>
    <w:p w14:paraId="74AA5A4B" w14:textId="77777777" w:rsidR="000F2A82" w:rsidRPr="00732EED" w:rsidRDefault="000F2A82">
      <w:pPr>
        <w:pStyle w:val="ListParagraph"/>
        <w:numPr>
          <w:ilvl w:val="1"/>
          <w:numId w:val="33"/>
        </w:numPr>
        <w:spacing w:after="160" w:line="278" w:lineRule="auto"/>
        <w:rPr>
          <w:sz w:val="18"/>
          <w:szCs w:val="18"/>
        </w:rPr>
      </w:pPr>
      <w:r w:rsidRPr="00732EED">
        <w:rPr>
          <w:sz w:val="18"/>
          <w:szCs w:val="18"/>
        </w:rPr>
        <w:t>participatory orientation: prioritization of patient, stakeholder, and community perspectives</w:t>
      </w:r>
    </w:p>
    <w:p w14:paraId="4656F4D8" w14:textId="5883FB41" w:rsidR="000F2A82" w:rsidRPr="00732EED" w:rsidRDefault="000F2A82">
      <w:pPr>
        <w:pStyle w:val="ListParagraph"/>
        <w:numPr>
          <w:ilvl w:val="1"/>
          <w:numId w:val="33"/>
        </w:numPr>
        <w:spacing w:after="160" w:line="278" w:lineRule="auto"/>
        <w:rPr>
          <w:sz w:val="18"/>
          <w:szCs w:val="18"/>
        </w:rPr>
      </w:pPr>
      <w:r w:rsidRPr="00732EED">
        <w:rPr>
          <w:sz w:val="18"/>
          <w:szCs w:val="18"/>
        </w:rPr>
        <w:t>confidence assessment: GRADE-</w:t>
      </w:r>
      <w:proofErr w:type="spellStart"/>
      <w:r w:rsidRPr="00732EED">
        <w:rPr>
          <w:sz w:val="18"/>
          <w:szCs w:val="18"/>
        </w:rPr>
        <w:t>CERQual</w:t>
      </w:r>
      <w:proofErr w:type="spellEnd"/>
      <w:r w:rsidRPr="00732EED">
        <w:rPr>
          <w:sz w:val="18"/>
          <w:szCs w:val="18"/>
        </w:rPr>
        <w:t xml:space="preserve"> applied to synthesized review findings (see supplementary Tables S4 and S12)</w:t>
      </w:r>
    </w:p>
    <w:p w14:paraId="10FBD737" w14:textId="77777777" w:rsidR="000F2A82" w:rsidRPr="00732EED" w:rsidRDefault="000F2A82">
      <w:pPr>
        <w:pStyle w:val="ListParagraph"/>
        <w:numPr>
          <w:ilvl w:val="0"/>
          <w:numId w:val="33"/>
        </w:numPr>
        <w:spacing w:after="160" w:line="278" w:lineRule="auto"/>
        <w:rPr>
          <w:sz w:val="18"/>
          <w:szCs w:val="18"/>
        </w:rPr>
      </w:pPr>
      <w:r w:rsidRPr="00732EED">
        <w:rPr>
          <w:sz w:val="18"/>
          <w:szCs w:val="18"/>
        </w:rPr>
        <w:t>Coding proceeded iteratively rather than strictly linearly, with repeated movement between individual studies, developing domains, conceptual translations, and whole-review interpretation.</w:t>
      </w:r>
    </w:p>
    <w:p w14:paraId="0DE25C4E" w14:textId="77777777" w:rsidR="001F2CA8" w:rsidRPr="00732EED" w:rsidRDefault="001F2CA8" w:rsidP="00E46AB8">
      <w:pPr>
        <w:rPr>
          <w:b/>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5F1FE928" w14:textId="1A306110" w:rsidR="00D33B40" w:rsidRPr="00732EED" w:rsidRDefault="00D33B40" w:rsidP="00E46AB8">
      <w:pPr>
        <w:rPr>
          <w:b/>
          <w:sz w:val="18"/>
          <w:szCs w:val="18"/>
        </w:rPr>
      </w:pPr>
      <w:r w:rsidRPr="00732EED">
        <w:rPr>
          <w:b/>
          <w:sz w:val="18"/>
          <w:szCs w:val="18"/>
        </w:rPr>
        <w:lastRenderedPageBreak/>
        <w:t xml:space="preserve">Table </w:t>
      </w:r>
      <w:r w:rsidR="00781B02" w:rsidRPr="00732EED">
        <w:rPr>
          <w:b/>
          <w:sz w:val="18"/>
          <w:szCs w:val="18"/>
        </w:rPr>
        <w:t>S</w:t>
      </w:r>
      <w:r w:rsidR="000F2A82" w:rsidRPr="00732EED">
        <w:rPr>
          <w:b/>
          <w:sz w:val="18"/>
          <w:szCs w:val="18"/>
        </w:rPr>
        <w:t>2</w:t>
      </w:r>
      <w:r w:rsidR="00874F4E" w:rsidRPr="00732EED">
        <w:rPr>
          <w:b/>
          <w:sz w:val="18"/>
          <w:szCs w:val="18"/>
        </w:rPr>
        <w:t>.</w:t>
      </w:r>
      <w:r w:rsidRPr="00732EED">
        <w:rPr>
          <w:b/>
          <w:sz w:val="18"/>
          <w:szCs w:val="18"/>
        </w:rPr>
        <w:t xml:space="preserve"> PICO(S) </w:t>
      </w:r>
      <w:r w:rsidR="00781B02" w:rsidRPr="00732EED">
        <w:rPr>
          <w:b/>
          <w:sz w:val="18"/>
          <w:szCs w:val="18"/>
        </w:rPr>
        <w:t>b</w:t>
      </w:r>
      <w:r w:rsidRPr="00732EED">
        <w:rPr>
          <w:b/>
          <w:sz w:val="18"/>
          <w:szCs w:val="18"/>
        </w:rPr>
        <w:t xml:space="preserve">reakdown and </w:t>
      </w:r>
      <w:r w:rsidR="00781B02" w:rsidRPr="00732EED">
        <w:rPr>
          <w:b/>
          <w:sz w:val="18"/>
          <w:szCs w:val="18"/>
        </w:rPr>
        <w:t>s</w:t>
      </w:r>
      <w:r w:rsidRPr="00732EED">
        <w:rPr>
          <w:b/>
          <w:sz w:val="18"/>
          <w:szCs w:val="18"/>
        </w:rPr>
        <w:t xml:space="preserve">earch </w:t>
      </w:r>
      <w:proofErr w:type="gramStart"/>
      <w:r w:rsidR="00781B02" w:rsidRPr="00732EED">
        <w:rPr>
          <w:b/>
          <w:sz w:val="18"/>
          <w:szCs w:val="18"/>
        </w:rPr>
        <w:t>t</w:t>
      </w:r>
      <w:r w:rsidRPr="00732EED">
        <w:rPr>
          <w:b/>
          <w:sz w:val="18"/>
          <w:szCs w:val="18"/>
        </w:rPr>
        <w:t>erms</w:t>
      </w:r>
      <w:r w:rsidR="00F47F4F" w:rsidRPr="00732EED">
        <w:rPr>
          <w:b/>
          <w:sz w:val="18"/>
          <w:szCs w:val="18"/>
        </w:rPr>
        <w:t>.</w:t>
      </w:r>
      <w:r w:rsidR="00E46AB8" w:rsidRPr="00732EED">
        <w:rPr>
          <w:b/>
          <w:sz w:val="18"/>
          <w:szCs w:val="18"/>
        </w:rPr>
        <w:t>*</w:t>
      </w:r>
      <w:proofErr w:type="gramEnd"/>
    </w:p>
    <w:tbl>
      <w:tblPr>
        <w:tblStyle w:val="PlainTable1"/>
        <w:tblW w:w="4911" w:type="pct"/>
        <w:tblLook w:val="0420" w:firstRow="1" w:lastRow="0" w:firstColumn="0" w:lastColumn="0" w:noHBand="0" w:noVBand="1"/>
      </w:tblPr>
      <w:tblGrid>
        <w:gridCol w:w="3258"/>
        <w:gridCol w:w="5102"/>
        <w:gridCol w:w="4961"/>
      </w:tblGrid>
      <w:tr w:rsidR="00F0458C" w:rsidRPr="00732EED" w14:paraId="052F5EBC" w14:textId="77777777" w:rsidTr="00535921">
        <w:trPr>
          <w:cnfStyle w:val="100000000000" w:firstRow="1" w:lastRow="0" w:firstColumn="0" w:lastColumn="0" w:oddVBand="0" w:evenVBand="0" w:oddHBand="0" w:evenHBand="0" w:firstRowFirstColumn="0" w:firstRowLastColumn="0" w:lastRowFirstColumn="0" w:lastRowLastColumn="0"/>
        </w:trPr>
        <w:tc>
          <w:tcPr>
            <w:tcW w:w="1223" w:type="pct"/>
          </w:tcPr>
          <w:p w14:paraId="10D3E37B" w14:textId="0552180F" w:rsidR="00F0458C" w:rsidRPr="00732EED" w:rsidRDefault="00F0458C" w:rsidP="00E46AB8">
            <w:pPr>
              <w:rPr>
                <w:sz w:val="18"/>
                <w:szCs w:val="18"/>
              </w:rPr>
            </w:pPr>
            <w:r w:rsidRPr="00732EED">
              <w:rPr>
                <w:sz w:val="18"/>
                <w:szCs w:val="18"/>
              </w:rPr>
              <w:t>Concept</w:t>
            </w:r>
          </w:p>
        </w:tc>
        <w:tc>
          <w:tcPr>
            <w:tcW w:w="1915" w:type="pct"/>
          </w:tcPr>
          <w:p w14:paraId="2BCA8FCB" w14:textId="3971AF0C" w:rsidR="00F0458C" w:rsidRPr="00732EED" w:rsidRDefault="00F0458C" w:rsidP="00E46AB8">
            <w:pPr>
              <w:rPr>
                <w:sz w:val="18"/>
                <w:szCs w:val="18"/>
              </w:rPr>
            </w:pPr>
            <w:r w:rsidRPr="00732EED">
              <w:rPr>
                <w:sz w:val="18"/>
                <w:szCs w:val="18"/>
              </w:rPr>
              <w:t>Free-text keywords</w:t>
            </w:r>
          </w:p>
        </w:tc>
        <w:tc>
          <w:tcPr>
            <w:tcW w:w="1862" w:type="pct"/>
          </w:tcPr>
          <w:p w14:paraId="14FB3BBC" w14:textId="595530A8" w:rsidR="00F0458C" w:rsidRPr="00732EED" w:rsidRDefault="00F0458C" w:rsidP="00E46AB8">
            <w:pPr>
              <w:rPr>
                <w:sz w:val="18"/>
                <w:szCs w:val="18"/>
              </w:rPr>
            </w:pPr>
            <w:r w:rsidRPr="00732EED">
              <w:rPr>
                <w:sz w:val="18"/>
                <w:szCs w:val="18"/>
              </w:rPr>
              <w:t>Controlled vocabulary (</w:t>
            </w:r>
            <w:proofErr w:type="spellStart"/>
            <w:r w:rsidRPr="00732EED">
              <w:rPr>
                <w:sz w:val="18"/>
                <w:szCs w:val="18"/>
              </w:rPr>
              <w:t>MeSH</w:t>
            </w:r>
            <w:proofErr w:type="spellEnd"/>
            <w:r w:rsidRPr="00732EED">
              <w:rPr>
                <w:sz w:val="18"/>
                <w:szCs w:val="18"/>
              </w:rPr>
              <w:t xml:space="preserve"> / EMTREE / CINAHL / PsycINFO)</w:t>
            </w:r>
          </w:p>
        </w:tc>
      </w:tr>
      <w:tr w:rsidR="00F0458C" w:rsidRPr="00732EED" w14:paraId="6F45F9B4" w14:textId="77777777" w:rsidTr="00535921">
        <w:trPr>
          <w:cnfStyle w:val="000000100000" w:firstRow="0" w:lastRow="0" w:firstColumn="0" w:lastColumn="0" w:oddVBand="0" w:evenVBand="0" w:oddHBand="1" w:evenHBand="0" w:firstRowFirstColumn="0" w:firstRowLastColumn="0" w:lastRowFirstColumn="0" w:lastRowLastColumn="0"/>
        </w:trPr>
        <w:tc>
          <w:tcPr>
            <w:tcW w:w="1223" w:type="pct"/>
          </w:tcPr>
          <w:p w14:paraId="36A2A858" w14:textId="6A896347" w:rsidR="00F0458C" w:rsidRPr="00732EED" w:rsidRDefault="00F0458C" w:rsidP="00F0458C">
            <w:pPr>
              <w:rPr>
                <w:sz w:val="18"/>
                <w:szCs w:val="18"/>
              </w:rPr>
            </w:pPr>
            <w:r w:rsidRPr="00732EED">
              <w:rPr>
                <w:sz w:val="18"/>
                <w:szCs w:val="18"/>
              </w:rPr>
              <w:t>Population (P)</w:t>
            </w:r>
          </w:p>
        </w:tc>
        <w:tc>
          <w:tcPr>
            <w:tcW w:w="1915" w:type="pct"/>
          </w:tcPr>
          <w:p w14:paraId="19210286" w14:textId="624224BA" w:rsidR="00F0458C" w:rsidRPr="00732EED" w:rsidRDefault="00F0458C" w:rsidP="00F0458C">
            <w:pPr>
              <w:rPr>
                <w:sz w:val="18"/>
                <w:szCs w:val="18"/>
              </w:rPr>
            </w:pPr>
            <w:r w:rsidRPr="00732EED">
              <w:rPr>
                <w:sz w:val="18"/>
                <w:szCs w:val="18"/>
              </w:rPr>
              <w:t>adults with chronic / long-term conditions; chronic pain populations; chronic illness OR chronic disease OR "long-term condition" OR "chronic pain" OR "persistent pain" OR fibromyalgia OR "neuropathic pain" OR "musculoskeletal pain" OR "back pain" OR migraine OR arthritis</w:t>
            </w:r>
          </w:p>
        </w:tc>
        <w:tc>
          <w:tcPr>
            <w:tcW w:w="1862" w:type="pct"/>
          </w:tcPr>
          <w:p w14:paraId="226A9E41" w14:textId="5C27B812" w:rsidR="00F0458C" w:rsidRPr="00732EED" w:rsidRDefault="00F0458C" w:rsidP="00F0458C">
            <w:pPr>
              <w:rPr>
                <w:sz w:val="18"/>
                <w:szCs w:val="18"/>
              </w:rPr>
            </w:pPr>
            <w:proofErr w:type="spellStart"/>
            <w:r w:rsidRPr="00732EED">
              <w:rPr>
                <w:sz w:val="18"/>
                <w:szCs w:val="18"/>
              </w:rPr>
              <w:t>MeSH</w:t>
            </w:r>
            <w:proofErr w:type="spellEnd"/>
            <w:r w:rsidRPr="00732EED">
              <w:rPr>
                <w:sz w:val="18"/>
                <w:szCs w:val="18"/>
              </w:rPr>
              <w:t>: Chronic Disease; Chronic Pain; Pain, Neuropathic; Musculoskeletal Diseases; Headache Disorders; Fibromyalgia / EMTREE: chronic disease; chronic pain; neuropathic pain; musculoskeletal disease; headache disorder; fibromyalgia / CINAHL: Chronic Disease; Chronic Pain; Neuropathic Pain; Musculoskeletal Pain; Headaches; Fibromyalgia / PsycINFO: Chronic Illness / Pain (use free-text for specific pain types)</w:t>
            </w:r>
          </w:p>
        </w:tc>
      </w:tr>
      <w:tr w:rsidR="00F0458C" w:rsidRPr="00732EED" w14:paraId="4140C5ED" w14:textId="77777777" w:rsidTr="00535921">
        <w:tc>
          <w:tcPr>
            <w:tcW w:w="1223" w:type="pct"/>
          </w:tcPr>
          <w:p w14:paraId="5173700C" w14:textId="6CF5F681" w:rsidR="00F0458C" w:rsidRPr="00732EED" w:rsidRDefault="00F0458C" w:rsidP="00F0458C">
            <w:pPr>
              <w:rPr>
                <w:sz w:val="18"/>
                <w:szCs w:val="18"/>
              </w:rPr>
            </w:pPr>
            <w:r w:rsidRPr="00732EED">
              <w:rPr>
                <w:sz w:val="18"/>
                <w:szCs w:val="18"/>
              </w:rPr>
              <w:t>Interest (I) / Phenomenon of Interest</w:t>
            </w:r>
          </w:p>
        </w:tc>
        <w:tc>
          <w:tcPr>
            <w:tcW w:w="1915" w:type="pct"/>
          </w:tcPr>
          <w:p w14:paraId="549E6961" w14:textId="6B2C1E57" w:rsidR="00F0458C" w:rsidRPr="00732EED" w:rsidRDefault="00F0458C" w:rsidP="00F0458C">
            <w:pPr>
              <w:rPr>
                <w:sz w:val="18"/>
                <w:szCs w:val="18"/>
              </w:rPr>
            </w:pPr>
            <w:r w:rsidRPr="00732EED">
              <w:rPr>
                <w:sz w:val="18"/>
                <w:szCs w:val="18"/>
              </w:rPr>
              <w:t xml:space="preserve">experiences, meanings, stigma, identity, self-blame, invalidation, coping, sense-making, embodiment, healthcare interactions; "lived experience" OR "patient experience" OR experience* OR meaning* OR stigma OR </w:t>
            </w:r>
            <w:proofErr w:type="spellStart"/>
            <w:r w:rsidRPr="00732EED">
              <w:rPr>
                <w:sz w:val="18"/>
                <w:szCs w:val="18"/>
              </w:rPr>
              <w:t>stigmat</w:t>
            </w:r>
            <w:proofErr w:type="spellEnd"/>
            <w:r w:rsidRPr="00732EED">
              <w:rPr>
                <w:sz w:val="18"/>
                <w:szCs w:val="18"/>
              </w:rPr>
              <w:t>* OR "self-blame" OR "pain invalidation" OR coping OR identity OR embodiment OR "sense-making" OR "help-seeking"</w:t>
            </w:r>
          </w:p>
        </w:tc>
        <w:tc>
          <w:tcPr>
            <w:tcW w:w="1862" w:type="pct"/>
          </w:tcPr>
          <w:p w14:paraId="5C3D9317" w14:textId="69FA52F1" w:rsidR="00F0458C" w:rsidRPr="00732EED" w:rsidRDefault="00F0458C" w:rsidP="00F0458C">
            <w:pPr>
              <w:rPr>
                <w:sz w:val="18"/>
                <w:szCs w:val="18"/>
              </w:rPr>
            </w:pPr>
            <w:proofErr w:type="spellStart"/>
            <w:r w:rsidRPr="00732EED">
              <w:rPr>
                <w:sz w:val="18"/>
                <w:szCs w:val="18"/>
              </w:rPr>
              <w:t>MeSH</w:t>
            </w:r>
            <w:proofErr w:type="spellEnd"/>
            <w:r w:rsidRPr="00732EED">
              <w:rPr>
                <w:sz w:val="18"/>
                <w:szCs w:val="18"/>
              </w:rPr>
              <w:t xml:space="preserve">: Patient Experience; Stigma; Self Concept; Phenomenology; Coping Behavior / EMTREE: patient experience; stigma; </w:t>
            </w:r>
            <w:proofErr w:type="spellStart"/>
            <w:r w:rsidRPr="00732EED">
              <w:rPr>
                <w:sz w:val="18"/>
                <w:szCs w:val="18"/>
              </w:rPr>
              <w:t>self blame</w:t>
            </w:r>
            <w:proofErr w:type="spellEnd"/>
            <w:r w:rsidRPr="00732EED">
              <w:rPr>
                <w:sz w:val="18"/>
                <w:szCs w:val="18"/>
              </w:rPr>
              <w:t>; phenomenology; coping / CINAHL: Patient Experience; Stigma; Self Concept; Phenomenology / PsycINFO: Stigma; Self-Concept; Coping (use free-text for lived experience)</w:t>
            </w:r>
          </w:p>
        </w:tc>
      </w:tr>
      <w:tr w:rsidR="00F0458C" w:rsidRPr="00732EED" w14:paraId="11814FB2" w14:textId="77777777" w:rsidTr="00535921">
        <w:trPr>
          <w:cnfStyle w:val="000000100000" w:firstRow="0" w:lastRow="0" w:firstColumn="0" w:lastColumn="0" w:oddVBand="0" w:evenVBand="0" w:oddHBand="1" w:evenHBand="0" w:firstRowFirstColumn="0" w:firstRowLastColumn="0" w:lastRowFirstColumn="0" w:lastRowLastColumn="0"/>
        </w:trPr>
        <w:tc>
          <w:tcPr>
            <w:tcW w:w="1223" w:type="pct"/>
          </w:tcPr>
          <w:p w14:paraId="6C6DCC9F" w14:textId="28DB0CB3" w:rsidR="00F0458C" w:rsidRPr="00732EED" w:rsidRDefault="00F0458C" w:rsidP="00F0458C">
            <w:pPr>
              <w:rPr>
                <w:sz w:val="18"/>
                <w:szCs w:val="18"/>
              </w:rPr>
            </w:pPr>
            <w:r w:rsidRPr="00732EED">
              <w:rPr>
                <w:sz w:val="18"/>
                <w:szCs w:val="18"/>
              </w:rPr>
              <w:t>Context (Co)</w:t>
            </w:r>
          </w:p>
        </w:tc>
        <w:tc>
          <w:tcPr>
            <w:tcW w:w="1915" w:type="pct"/>
          </w:tcPr>
          <w:p w14:paraId="4B4FE1A7" w14:textId="172C958C" w:rsidR="00F0458C" w:rsidRPr="00732EED" w:rsidRDefault="00F0458C" w:rsidP="00F0458C">
            <w:pPr>
              <w:rPr>
                <w:sz w:val="18"/>
                <w:szCs w:val="18"/>
              </w:rPr>
            </w:pPr>
            <w:r w:rsidRPr="00732EED">
              <w:rPr>
                <w:sz w:val="18"/>
                <w:szCs w:val="18"/>
              </w:rPr>
              <w:t xml:space="preserve">social, cultural, health-care, community settings; transdisciplinary/system approaches; policy and service settings; healthcare OR community OR primary care OR tertiary care OR "integrated care" OR </w:t>
            </w:r>
            <w:proofErr w:type="spellStart"/>
            <w:r w:rsidRPr="00732EED">
              <w:rPr>
                <w:sz w:val="18"/>
                <w:szCs w:val="18"/>
              </w:rPr>
              <w:t>transdisciplin</w:t>
            </w:r>
            <w:proofErr w:type="spellEnd"/>
            <w:r w:rsidRPr="00732EED">
              <w:rPr>
                <w:sz w:val="18"/>
                <w:szCs w:val="18"/>
              </w:rPr>
              <w:t>* OR "systems thinking" OR "social determinants" OR workplace OR home OR online</w:t>
            </w:r>
          </w:p>
        </w:tc>
        <w:tc>
          <w:tcPr>
            <w:tcW w:w="1862" w:type="pct"/>
          </w:tcPr>
          <w:p w14:paraId="5290A11A" w14:textId="3C5CF13A" w:rsidR="00F0458C" w:rsidRPr="00732EED" w:rsidRDefault="00F0458C" w:rsidP="00F0458C">
            <w:pPr>
              <w:rPr>
                <w:sz w:val="18"/>
                <w:szCs w:val="18"/>
              </w:rPr>
            </w:pPr>
            <w:proofErr w:type="spellStart"/>
            <w:r w:rsidRPr="00732EED">
              <w:rPr>
                <w:sz w:val="18"/>
                <w:szCs w:val="18"/>
              </w:rPr>
              <w:t>MeSH</w:t>
            </w:r>
            <w:proofErr w:type="spellEnd"/>
            <w:r w:rsidRPr="00732EED">
              <w:rPr>
                <w:sz w:val="18"/>
                <w:szCs w:val="18"/>
              </w:rPr>
              <w:t xml:space="preserve">: Delivery of Health Care, </w:t>
            </w:r>
            <w:proofErr w:type="gramStart"/>
            <w:r w:rsidRPr="00732EED">
              <w:rPr>
                <w:sz w:val="18"/>
                <w:szCs w:val="18"/>
              </w:rPr>
              <w:t>Integrated</w:t>
            </w:r>
            <w:proofErr w:type="gramEnd"/>
            <w:r w:rsidRPr="00732EED">
              <w:rPr>
                <w:sz w:val="18"/>
                <w:szCs w:val="18"/>
              </w:rPr>
              <w:t>; Community Health Services; Social Determinants of Health; Health Services Research / EMTREE: integrated care; community health; social determinants; health services / CINAHL: Integrated Health Care; Community Health Services; Social Determinants / PsycINFO: Community Health; Health Services (use free-text for systems/transdisciplinary)</w:t>
            </w:r>
          </w:p>
        </w:tc>
      </w:tr>
      <w:tr w:rsidR="00F0458C" w:rsidRPr="00732EED" w14:paraId="775BBF16" w14:textId="77777777" w:rsidTr="00535921">
        <w:tc>
          <w:tcPr>
            <w:tcW w:w="1223" w:type="pct"/>
          </w:tcPr>
          <w:p w14:paraId="1B63ED29" w14:textId="25BB796F" w:rsidR="00F0458C" w:rsidRPr="00732EED" w:rsidRDefault="00F0458C" w:rsidP="00F0458C">
            <w:pPr>
              <w:rPr>
                <w:sz w:val="18"/>
                <w:szCs w:val="18"/>
              </w:rPr>
            </w:pPr>
            <w:r w:rsidRPr="00732EED">
              <w:rPr>
                <w:sz w:val="18"/>
                <w:szCs w:val="18"/>
              </w:rPr>
              <w:t xml:space="preserve">Study design / Approach </w:t>
            </w:r>
          </w:p>
        </w:tc>
        <w:tc>
          <w:tcPr>
            <w:tcW w:w="1915" w:type="pct"/>
          </w:tcPr>
          <w:p w14:paraId="638DF45E" w14:textId="3CBA8E45" w:rsidR="00F0458C" w:rsidRPr="00732EED" w:rsidRDefault="00F0458C" w:rsidP="00F0458C">
            <w:pPr>
              <w:rPr>
                <w:sz w:val="18"/>
                <w:szCs w:val="18"/>
              </w:rPr>
            </w:pPr>
            <w:r w:rsidRPr="00732EED">
              <w:rPr>
                <w:sz w:val="18"/>
                <w:szCs w:val="18"/>
              </w:rPr>
              <w:t xml:space="preserve">qualitative methods and syntheses: phenomenology, IPA, grounded theory, ethnography, narrative, thematic analysis, qualitative synthesis; qualitative OR interview* OR "focus group*" OR </w:t>
            </w:r>
            <w:proofErr w:type="spellStart"/>
            <w:r w:rsidRPr="00732EED">
              <w:rPr>
                <w:sz w:val="18"/>
                <w:szCs w:val="18"/>
              </w:rPr>
              <w:t>ethnograph</w:t>
            </w:r>
            <w:proofErr w:type="spellEnd"/>
            <w:r w:rsidRPr="00732EED">
              <w:rPr>
                <w:sz w:val="18"/>
                <w:szCs w:val="18"/>
              </w:rPr>
              <w:t xml:space="preserve">* OR </w:t>
            </w:r>
            <w:proofErr w:type="spellStart"/>
            <w:r w:rsidRPr="00732EED">
              <w:rPr>
                <w:sz w:val="18"/>
                <w:szCs w:val="18"/>
              </w:rPr>
              <w:t>phenomenolog</w:t>
            </w:r>
            <w:proofErr w:type="spellEnd"/>
            <w:r w:rsidRPr="00732EED">
              <w:rPr>
                <w:sz w:val="18"/>
                <w:szCs w:val="18"/>
              </w:rPr>
              <w:t xml:space="preserve">* OR IPA OR "grounded theory" OR "thematic </w:t>
            </w:r>
            <w:proofErr w:type="spellStart"/>
            <w:r w:rsidRPr="00732EED">
              <w:rPr>
                <w:sz w:val="18"/>
                <w:szCs w:val="18"/>
              </w:rPr>
              <w:t>analys</w:t>
            </w:r>
            <w:proofErr w:type="spellEnd"/>
            <w:r w:rsidRPr="00732EED">
              <w:rPr>
                <w:sz w:val="18"/>
                <w:szCs w:val="18"/>
              </w:rPr>
              <w:t>*" OR narrative OR "meta-</w:t>
            </w:r>
            <w:proofErr w:type="spellStart"/>
            <w:r w:rsidRPr="00732EED">
              <w:rPr>
                <w:sz w:val="18"/>
                <w:szCs w:val="18"/>
              </w:rPr>
              <w:t>ethnograph</w:t>
            </w:r>
            <w:proofErr w:type="spellEnd"/>
            <w:r w:rsidRPr="00732EED">
              <w:rPr>
                <w:sz w:val="18"/>
                <w:szCs w:val="18"/>
              </w:rPr>
              <w:t xml:space="preserve">*" OR "meta-synth*" OR "mixed method*" OR " multimethod OR "mixed methods research" OR MMR OR </w:t>
            </w:r>
            <w:proofErr w:type="spellStart"/>
            <w:r w:rsidRPr="00732EED">
              <w:rPr>
                <w:sz w:val="18"/>
                <w:szCs w:val="18"/>
              </w:rPr>
              <w:t>triangulat</w:t>
            </w:r>
            <w:proofErr w:type="spellEnd"/>
            <w:r w:rsidRPr="00732EED">
              <w:rPr>
                <w:sz w:val="18"/>
                <w:szCs w:val="18"/>
              </w:rPr>
              <w:t>* OR "mixed design" OR "embedded design"</w:t>
            </w:r>
          </w:p>
        </w:tc>
        <w:tc>
          <w:tcPr>
            <w:tcW w:w="1862" w:type="pct"/>
          </w:tcPr>
          <w:p w14:paraId="57E49602" w14:textId="6247C7D6" w:rsidR="00F0458C" w:rsidRPr="00732EED" w:rsidRDefault="00F0458C" w:rsidP="00F0458C">
            <w:pPr>
              <w:rPr>
                <w:sz w:val="18"/>
                <w:szCs w:val="18"/>
              </w:rPr>
            </w:pPr>
            <w:proofErr w:type="spellStart"/>
            <w:r w:rsidRPr="00732EED">
              <w:rPr>
                <w:sz w:val="18"/>
                <w:szCs w:val="18"/>
              </w:rPr>
              <w:t>MeSH</w:t>
            </w:r>
            <w:proofErr w:type="spellEnd"/>
            <w:r w:rsidRPr="00732EED">
              <w:rPr>
                <w:sz w:val="18"/>
                <w:szCs w:val="18"/>
              </w:rPr>
              <w:t>: Qualitative Research; Interviews as Topic; Focus Groups; Phenomenology; Ethnography / EMTREE: qualitative research; interview; focus group; phenomenology; ethnography / CINAHL: Qualitative Studies; Interviews; Focus Groups; Phenomenology / PsycINFO: Qualitative Methods; Mixed Methods; Interviews; Focus Groups; Phenomenology</w:t>
            </w:r>
          </w:p>
        </w:tc>
      </w:tr>
      <w:tr w:rsidR="00F0458C" w:rsidRPr="00732EED" w14:paraId="5683C28D" w14:textId="77777777" w:rsidTr="00535921">
        <w:trPr>
          <w:cnfStyle w:val="000000100000" w:firstRow="0" w:lastRow="0" w:firstColumn="0" w:lastColumn="0" w:oddVBand="0" w:evenVBand="0" w:oddHBand="1" w:evenHBand="0" w:firstRowFirstColumn="0" w:firstRowLastColumn="0" w:lastRowFirstColumn="0" w:lastRowLastColumn="0"/>
        </w:trPr>
        <w:tc>
          <w:tcPr>
            <w:tcW w:w="1223" w:type="pct"/>
          </w:tcPr>
          <w:p w14:paraId="76FDAA43" w14:textId="17CB89F8" w:rsidR="00F0458C" w:rsidRPr="00732EED" w:rsidRDefault="00F0458C" w:rsidP="00F0458C">
            <w:pPr>
              <w:rPr>
                <w:sz w:val="18"/>
                <w:szCs w:val="18"/>
              </w:rPr>
            </w:pPr>
            <w:r w:rsidRPr="00732EED">
              <w:rPr>
                <w:sz w:val="18"/>
                <w:szCs w:val="18"/>
              </w:rPr>
              <w:t>Population modifiers / equity (optional)</w:t>
            </w:r>
          </w:p>
        </w:tc>
        <w:tc>
          <w:tcPr>
            <w:tcW w:w="1915" w:type="pct"/>
          </w:tcPr>
          <w:p w14:paraId="7C79BC48" w14:textId="0FADADEF" w:rsidR="00F0458C" w:rsidRPr="00732EED" w:rsidRDefault="00F0458C" w:rsidP="00F0458C">
            <w:pPr>
              <w:rPr>
                <w:sz w:val="18"/>
                <w:szCs w:val="18"/>
              </w:rPr>
            </w:pPr>
            <w:r w:rsidRPr="00732EED">
              <w:rPr>
                <w:sz w:val="18"/>
                <w:szCs w:val="18"/>
              </w:rPr>
              <w:t>demographics and social determinants: age, gender, ethnicity, SES, rural/urban, employment status; age OR gender OR sex OR ethnicity OR ethnic* OR socioeconomic OR "socio-economic" OR "deprived" OR rural OR urban OR employ* OR occupation OR "household income"</w:t>
            </w:r>
          </w:p>
        </w:tc>
        <w:tc>
          <w:tcPr>
            <w:tcW w:w="1862" w:type="pct"/>
          </w:tcPr>
          <w:p w14:paraId="6538FE61" w14:textId="4CD308B6" w:rsidR="00F0458C" w:rsidRPr="00732EED" w:rsidRDefault="00F0458C" w:rsidP="00F0458C">
            <w:pPr>
              <w:rPr>
                <w:sz w:val="18"/>
                <w:szCs w:val="18"/>
              </w:rPr>
            </w:pPr>
            <w:proofErr w:type="spellStart"/>
            <w:r w:rsidRPr="00732EED">
              <w:rPr>
                <w:sz w:val="18"/>
                <w:szCs w:val="18"/>
              </w:rPr>
              <w:t>MeSH</w:t>
            </w:r>
            <w:proofErr w:type="spellEnd"/>
            <w:r w:rsidRPr="00732EED">
              <w:rPr>
                <w:sz w:val="18"/>
                <w:szCs w:val="18"/>
              </w:rPr>
              <w:t>: Age Groups; Sex Factors; Ethnic Groups; Socioeconomic Factors; Rural Health / EMTREE: age group; sex factor; ethnic group; socioeconomic factor / CINAHL: Age Groups; Sex Factors; Ethnic Groups; Socioeconomic Status / PsycINFO: Demographics; Socioeconomic Status</w:t>
            </w:r>
          </w:p>
        </w:tc>
      </w:tr>
      <w:tr w:rsidR="00F0458C" w:rsidRPr="00732EED" w14:paraId="48D5E991" w14:textId="77777777" w:rsidTr="00535921">
        <w:tc>
          <w:tcPr>
            <w:tcW w:w="1223" w:type="pct"/>
          </w:tcPr>
          <w:p w14:paraId="551868B3" w14:textId="516E30AC" w:rsidR="00F0458C" w:rsidRPr="00732EED" w:rsidRDefault="00F0458C" w:rsidP="00F0458C">
            <w:pPr>
              <w:rPr>
                <w:sz w:val="18"/>
                <w:szCs w:val="18"/>
              </w:rPr>
            </w:pPr>
            <w:r w:rsidRPr="00732EED">
              <w:rPr>
                <w:sz w:val="18"/>
                <w:szCs w:val="18"/>
              </w:rPr>
              <w:t>Limits / inclusion guidance</w:t>
            </w:r>
          </w:p>
        </w:tc>
        <w:tc>
          <w:tcPr>
            <w:tcW w:w="1915" w:type="pct"/>
          </w:tcPr>
          <w:p w14:paraId="24756DC0" w14:textId="535A9D44" w:rsidR="00F0458C" w:rsidRPr="00732EED" w:rsidRDefault="00F0458C" w:rsidP="00F0458C">
            <w:pPr>
              <w:rPr>
                <w:sz w:val="18"/>
                <w:szCs w:val="18"/>
              </w:rPr>
            </w:pPr>
            <w:r w:rsidRPr="00732EED">
              <w:rPr>
                <w:sz w:val="18"/>
                <w:szCs w:val="18"/>
              </w:rPr>
              <w:t xml:space="preserve">Date range: </w:t>
            </w:r>
            <w:r w:rsidR="00C3584B" w:rsidRPr="00732EED">
              <w:rPr>
                <w:sz w:val="18"/>
                <w:szCs w:val="18"/>
              </w:rPr>
              <w:t>2010</w:t>
            </w:r>
            <w:r w:rsidRPr="00732EED">
              <w:rPr>
                <w:sz w:val="18"/>
                <w:szCs w:val="18"/>
              </w:rPr>
              <w:t>-0</w:t>
            </w:r>
            <w:r w:rsidR="00C3584B" w:rsidRPr="00732EED">
              <w:rPr>
                <w:sz w:val="18"/>
                <w:szCs w:val="18"/>
              </w:rPr>
              <w:t>7</w:t>
            </w:r>
            <w:r w:rsidRPr="00732EED">
              <w:rPr>
                <w:sz w:val="18"/>
                <w:szCs w:val="18"/>
              </w:rPr>
              <w:t>-0</w:t>
            </w:r>
            <w:r w:rsidR="00C3584B" w:rsidRPr="00732EED">
              <w:rPr>
                <w:sz w:val="18"/>
                <w:szCs w:val="18"/>
              </w:rPr>
              <w:t xml:space="preserve">1 </w:t>
            </w:r>
            <w:r w:rsidRPr="00732EED">
              <w:rPr>
                <w:sz w:val="18"/>
                <w:szCs w:val="18"/>
              </w:rPr>
              <w:t>to 2025-</w:t>
            </w:r>
            <w:r w:rsidR="00C3584B" w:rsidRPr="00732EED">
              <w:rPr>
                <w:sz w:val="18"/>
                <w:szCs w:val="18"/>
              </w:rPr>
              <w:t>07</w:t>
            </w:r>
            <w:r w:rsidRPr="00732EED">
              <w:rPr>
                <w:sz w:val="18"/>
                <w:szCs w:val="18"/>
              </w:rPr>
              <w:t>-31; Languages: none; Population: adults (≥18); Study types: primary qualitative and qualitative syntheses; Mixed Methods studies; Exclusions: dissertations; books chapters; expert opinion; purely quantitative studies</w:t>
            </w:r>
          </w:p>
        </w:tc>
        <w:tc>
          <w:tcPr>
            <w:tcW w:w="1862" w:type="pct"/>
          </w:tcPr>
          <w:p w14:paraId="4800269B" w14:textId="77777777" w:rsidR="00F0458C" w:rsidRPr="00732EED" w:rsidRDefault="00F0458C" w:rsidP="00F0458C">
            <w:pPr>
              <w:rPr>
                <w:sz w:val="18"/>
                <w:szCs w:val="18"/>
              </w:rPr>
            </w:pPr>
          </w:p>
        </w:tc>
      </w:tr>
    </w:tbl>
    <w:p w14:paraId="5FBB0402" w14:textId="37DF8585" w:rsidR="00E46AB8" w:rsidRPr="00732EED" w:rsidRDefault="00E46AB8" w:rsidP="00E46AB8">
      <w:pPr>
        <w:rPr>
          <w:sz w:val="18"/>
          <w:szCs w:val="18"/>
        </w:rPr>
      </w:pPr>
      <w:r w:rsidRPr="00732EED">
        <w:rPr>
          <w:sz w:val="18"/>
          <w:szCs w:val="18"/>
        </w:rPr>
        <w:t xml:space="preserve">*Abbreviations: </w:t>
      </w:r>
      <w:proofErr w:type="spellStart"/>
      <w:r w:rsidRPr="00732EED">
        <w:rPr>
          <w:sz w:val="18"/>
          <w:szCs w:val="18"/>
        </w:rPr>
        <w:t>MeSH</w:t>
      </w:r>
      <w:proofErr w:type="spellEnd"/>
      <w:r w:rsidRPr="00732EED">
        <w:rPr>
          <w:sz w:val="18"/>
          <w:szCs w:val="18"/>
        </w:rPr>
        <w:t xml:space="preserve"> = Medical Subject Headings; EMTREE = Embase Thesaurus; CINAHL = Cumulative Index to Nursing and Allied Health Literature; PsycINFO = APA database. Date/search note: Date range = </w:t>
      </w:r>
      <w:r w:rsidR="00C3584B" w:rsidRPr="00732EED">
        <w:rPr>
          <w:sz w:val="18"/>
          <w:szCs w:val="18"/>
        </w:rPr>
        <w:t>2010-07-01 to 2025-07-31</w:t>
      </w:r>
      <w:r w:rsidRPr="00732EED">
        <w:rPr>
          <w:sz w:val="18"/>
          <w:szCs w:val="18"/>
        </w:rPr>
        <w:t>; Language and population: Languages = none (no language restriction); adults = ≥18 years. Study count/IDs: “Study IDs in main text map to full citations in Supplementary Table S4.” Search strings &amp; filters: “Database</w:t>
      </w:r>
      <w:r w:rsidRPr="00732EED">
        <w:rPr>
          <w:sz w:val="18"/>
          <w:szCs w:val="18"/>
        </w:rPr>
        <w:noBreakHyphen/>
        <w:t>specific search strings and any filters (e.g., human, adult) are provided in Supplementary Table S2.”Controlled</w:t>
      </w:r>
      <w:r w:rsidRPr="00732EED">
        <w:rPr>
          <w:sz w:val="18"/>
          <w:szCs w:val="18"/>
        </w:rPr>
        <w:noBreakHyphen/>
        <w:t>vocabulary mapping: “Controlled</w:t>
      </w:r>
      <w:r w:rsidRPr="00732EED">
        <w:rPr>
          <w:sz w:val="18"/>
          <w:szCs w:val="18"/>
        </w:rPr>
        <w:noBreakHyphen/>
        <w:t>vocabulary mappings are database</w:t>
      </w:r>
      <w:r w:rsidRPr="00732EED">
        <w:rPr>
          <w:sz w:val="18"/>
          <w:szCs w:val="18"/>
        </w:rPr>
        <w:noBreakHyphen/>
        <w:t>specific; free</w:t>
      </w:r>
      <w:r w:rsidRPr="00732EED">
        <w:rPr>
          <w:sz w:val="18"/>
          <w:szCs w:val="18"/>
        </w:rPr>
        <w:noBreakHyphen/>
        <w:t xml:space="preserve">text terms used </w:t>
      </w:r>
      <w:proofErr w:type="gramStart"/>
      <w:r w:rsidRPr="00732EED">
        <w:rPr>
          <w:sz w:val="18"/>
          <w:szCs w:val="18"/>
        </w:rPr>
        <w:t>where</w:t>
      </w:r>
      <w:proofErr w:type="gramEnd"/>
      <w:r w:rsidRPr="00732EED">
        <w:rPr>
          <w:sz w:val="18"/>
          <w:szCs w:val="18"/>
        </w:rPr>
        <w:t xml:space="preserve"> controlled terms unavailable.”</w:t>
      </w:r>
    </w:p>
    <w:p w14:paraId="21733268" w14:textId="4F478289" w:rsidR="00535921" w:rsidRDefault="00535921" w:rsidP="009A3F8D">
      <w:pPr>
        <w:spacing w:line="480" w:lineRule="auto"/>
        <w:rPr>
          <w:b/>
          <w:sz w:val="18"/>
          <w:szCs w:val="18"/>
        </w:rPr>
      </w:pPr>
      <w:r>
        <w:rPr>
          <w:b/>
          <w:sz w:val="18"/>
          <w:szCs w:val="18"/>
        </w:rPr>
        <w:br w:type="page"/>
      </w:r>
    </w:p>
    <w:p w14:paraId="07B2E29D" w14:textId="05E21152" w:rsidR="00D33B40" w:rsidRPr="00732EED" w:rsidRDefault="00D33B40" w:rsidP="001B6075">
      <w:pPr>
        <w:rPr>
          <w:b/>
          <w:sz w:val="18"/>
          <w:szCs w:val="18"/>
        </w:rPr>
      </w:pPr>
      <w:r w:rsidRPr="00732EED">
        <w:rPr>
          <w:b/>
          <w:sz w:val="18"/>
          <w:szCs w:val="18"/>
        </w:rPr>
        <w:lastRenderedPageBreak/>
        <w:t xml:space="preserve">Table </w:t>
      </w:r>
      <w:r w:rsidR="00781B02" w:rsidRPr="00732EED">
        <w:rPr>
          <w:b/>
          <w:sz w:val="18"/>
          <w:szCs w:val="18"/>
        </w:rPr>
        <w:t>S</w:t>
      </w:r>
      <w:r w:rsidR="000F2A82" w:rsidRPr="00732EED">
        <w:rPr>
          <w:b/>
          <w:sz w:val="18"/>
          <w:szCs w:val="18"/>
        </w:rPr>
        <w:t>3</w:t>
      </w:r>
      <w:r w:rsidR="00874F4E" w:rsidRPr="00732EED">
        <w:rPr>
          <w:b/>
          <w:sz w:val="18"/>
          <w:szCs w:val="18"/>
        </w:rPr>
        <w:t>.</w:t>
      </w:r>
      <w:r w:rsidRPr="00732EED">
        <w:rPr>
          <w:b/>
          <w:sz w:val="18"/>
          <w:szCs w:val="18"/>
        </w:rPr>
        <w:t xml:space="preserve"> Database-</w:t>
      </w:r>
      <w:r w:rsidR="00781B02" w:rsidRPr="00732EED">
        <w:rPr>
          <w:b/>
          <w:sz w:val="18"/>
          <w:szCs w:val="18"/>
        </w:rPr>
        <w:t>s</w:t>
      </w:r>
      <w:r w:rsidRPr="00732EED">
        <w:rPr>
          <w:b/>
          <w:sz w:val="18"/>
          <w:szCs w:val="18"/>
        </w:rPr>
        <w:t xml:space="preserve">pecific </w:t>
      </w:r>
      <w:r w:rsidR="00781B02" w:rsidRPr="00732EED">
        <w:rPr>
          <w:b/>
          <w:sz w:val="18"/>
          <w:szCs w:val="18"/>
        </w:rPr>
        <w:t>s</w:t>
      </w:r>
      <w:r w:rsidRPr="00732EED">
        <w:rPr>
          <w:b/>
          <w:sz w:val="18"/>
          <w:szCs w:val="18"/>
        </w:rPr>
        <w:t xml:space="preserve">earch </w:t>
      </w:r>
      <w:proofErr w:type="gramStart"/>
      <w:r w:rsidR="00781B02" w:rsidRPr="00732EED">
        <w:rPr>
          <w:b/>
          <w:sz w:val="18"/>
          <w:szCs w:val="18"/>
        </w:rPr>
        <w:t>s</w:t>
      </w:r>
      <w:r w:rsidRPr="00732EED">
        <w:rPr>
          <w:b/>
          <w:sz w:val="18"/>
          <w:szCs w:val="18"/>
        </w:rPr>
        <w:t>trings</w:t>
      </w:r>
      <w:r w:rsidR="00F47F4F" w:rsidRPr="00732EED">
        <w:rPr>
          <w:b/>
          <w:sz w:val="18"/>
          <w:szCs w:val="18"/>
        </w:rPr>
        <w:t>.</w:t>
      </w:r>
      <w:r w:rsidR="001B6075" w:rsidRPr="00732EED">
        <w:rPr>
          <w:b/>
          <w:sz w:val="18"/>
          <w:szCs w:val="18"/>
        </w:rPr>
        <w:t>*</w:t>
      </w:r>
      <w:proofErr w:type="gramEnd"/>
    </w:p>
    <w:tbl>
      <w:tblPr>
        <w:tblStyle w:val="PlainTable1"/>
        <w:tblW w:w="12895" w:type="dxa"/>
        <w:tblLook w:val="0420" w:firstRow="1" w:lastRow="0" w:firstColumn="0" w:lastColumn="0" w:noHBand="0" w:noVBand="1"/>
      </w:tblPr>
      <w:tblGrid>
        <w:gridCol w:w="1260"/>
        <w:gridCol w:w="3555"/>
        <w:gridCol w:w="8080"/>
      </w:tblGrid>
      <w:tr w:rsidR="00F0458C" w:rsidRPr="00732EED" w14:paraId="0F98EFA5" w14:textId="77777777" w:rsidTr="00535921">
        <w:trPr>
          <w:cnfStyle w:val="100000000000" w:firstRow="1" w:lastRow="0" w:firstColumn="0" w:lastColumn="0" w:oddVBand="0" w:evenVBand="0" w:oddHBand="0" w:evenHBand="0" w:firstRowFirstColumn="0" w:firstRowLastColumn="0" w:lastRowFirstColumn="0" w:lastRowLastColumn="0"/>
        </w:trPr>
        <w:tc>
          <w:tcPr>
            <w:tcW w:w="1260" w:type="dxa"/>
          </w:tcPr>
          <w:p w14:paraId="6AE4FAB2" w14:textId="792E5698" w:rsidR="00F0458C" w:rsidRPr="00732EED" w:rsidRDefault="00F0458C" w:rsidP="00F0458C">
            <w:pPr>
              <w:rPr>
                <w:sz w:val="18"/>
                <w:szCs w:val="18"/>
              </w:rPr>
            </w:pPr>
            <w:r w:rsidRPr="00732EED">
              <w:rPr>
                <w:sz w:val="18"/>
                <w:szCs w:val="18"/>
              </w:rPr>
              <w:t>Database</w:t>
            </w:r>
          </w:p>
        </w:tc>
        <w:tc>
          <w:tcPr>
            <w:tcW w:w="3555" w:type="dxa"/>
          </w:tcPr>
          <w:p w14:paraId="6D727739" w14:textId="01BCF444" w:rsidR="00F0458C" w:rsidRPr="00732EED" w:rsidRDefault="00F0458C" w:rsidP="00F0458C">
            <w:pPr>
              <w:rPr>
                <w:sz w:val="18"/>
                <w:szCs w:val="18"/>
              </w:rPr>
            </w:pPr>
            <w:r w:rsidRPr="00732EED">
              <w:rPr>
                <w:sz w:val="18"/>
                <w:szCs w:val="18"/>
              </w:rPr>
              <w:t>Section</w:t>
            </w:r>
          </w:p>
        </w:tc>
        <w:tc>
          <w:tcPr>
            <w:tcW w:w="8080" w:type="dxa"/>
          </w:tcPr>
          <w:p w14:paraId="5B54A996" w14:textId="48F38FAC" w:rsidR="00F0458C" w:rsidRPr="00732EED" w:rsidRDefault="00F0458C" w:rsidP="00F0458C">
            <w:pPr>
              <w:rPr>
                <w:sz w:val="18"/>
                <w:szCs w:val="18"/>
              </w:rPr>
            </w:pPr>
            <w:r w:rsidRPr="00732EED">
              <w:rPr>
                <w:sz w:val="18"/>
                <w:szCs w:val="18"/>
              </w:rPr>
              <w:t>Search Terms</w:t>
            </w:r>
          </w:p>
        </w:tc>
      </w:tr>
      <w:tr w:rsidR="00F0458C" w:rsidRPr="00732EED" w14:paraId="234572DD"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4C0F9E11" w14:textId="3A544B7F" w:rsidR="00F0458C" w:rsidRPr="00732EED" w:rsidRDefault="00F0458C" w:rsidP="00F0458C">
            <w:pPr>
              <w:rPr>
                <w:sz w:val="18"/>
                <w:szCs w:val="18"/>
              </w:rPr>
            </w:pPr>
            <w:r w:rsidRPr="00732EED">
              <w:rPr>
                <w:sz w:val="18"/>
                <w:szCs w:val="18"/>
              </w:rPr>
              <w:t>PubMed</w:t>
            </w:r>
          </w:p>
        </w:tc>
        <w:tc>
          <w:tcPr>
            <w:tcW w:w="3555" w:type="dxa"/>
          </w:tcPr>
          <w:p w14:paraId="0E2FD71C" w14:textId="4EE11E5A" w:rsidR="00F0458C" w:rsidRPr="00732EED" w:rsidRDefault="00F0458C" w:rsidP="00F0458C">
            <w:pPr>
              <w:rPr>
                <w:sz w:val="18"/>
                <w:szCs w:val="18"/>
              </w:rPr>
            </w:pPr>
            <w:r w:rsidRPr="00732EED">
              <w:rPr>
                <w:sz w:val="18"/>
                <w:szCs w:val="18"/>
              </w:rPr>
              <w:t>CORE (primary qualitative)</w:t>
            </w:r>
          </w:p>
        </w:tc>
        <w:tc>
          <w:tcPr>
            <w:tcW w:w="8080" w:type="dxa"/>
          </w:tcPr>
          <w:p w14:paraId="5C5BF3FC" w14:textId="3EA75EE3" w:rsidR="00F0458C" w:rsidRPr="00732EED" w:rsidRDefault="00F0458C" w:rsidP="00F0458C">
            <w:pPr>
              <w:rPr>
                <w:sz w:val="18"/>
                <w:szCs w:val="18"/>
              </w:rPr>
            </w:pPr>
            <w:r w:rsidRPr="00732EED">
              <w:rPr>
                <w:sz w:val="18"/>
                <w:szCs w:val="18"/>
              </w:rPr>
              <w:t>("Chronic Pain"[</w:t>
            </w:r>
            <w:proofErr w:type="spellStart"/>
            <w:r w:rsidRPr="00732EED">
              <w:rPr>
                <w:sz w:val="18"/>
                <w:szCs w:val="18"/>
              </w:rPr>
              <w:t>MeSH</w:t>
            </w:r>
            <w:proofErr w:type="spellEnd"/>
            <w:r w:rsidRPr="00732EED">
              <w:rPr>
                <w:sz w:val="18"/>
                <w:szCs w:val="18"/>
              </w:rPr>
              <w:t>] OR "Musculoskeletal Diseases"[</w:t>
            </w:r>
            <w:proofErr w:type="spellStart"/>
            <w:r w:rsidRPr="00732EED">
              <w:rPr>
                <w:sz w:val="18"/>
                <w:szCs w:val="18"/>
              </w:rPr>
              <w:t>MeSH</w:t>
            </w:r>
            <w:proofErr w:type="spellEnd"/>
            <w:r w:rsidRPr="00732EED">
              <w:rPr>
                <w:sz w:val="18"/>
                <w:szCs w:val="18"/>
              </w:rPr>
              <w:t>] OR "Neuropathic Pain"[</w:t>
            </w:r>
            <w:proofErr w:type="spellStart"/>
            <w:r w:rsidRPr="00732EED">
              <w:rPr>
                <w:sz w:val="18"/>
                <w:szCs w:val="18"/>
              </w:rPr>
              <w:t>MeSH</w:t>
            </w:r>
            <w:proofErr w:type="spellEnd"/>
            <w:r w:rsidRPr="00732EED">
              <w:rPr>
                <w:sz w:val="18"/>
                <w:szCs w:val="18"/>
              </w:rPr>
              <w:t>] OR "Headache Disorders"[</w:t>
            </w:r>
            <w:proofErr w:type="spellStart"/>
            <w:r w:rsidRPr="00732EED">
              <w:rPr>
                <w:sz w:val="18"/>
                <w:szCs w:val="18"/>
              </w:rPr>
              <w:t>MeSH</w:t>
            </w:r>
            <w:proofErr w:type="spellEnd"/>
            <w:r w:rsidRPr="00732EED">
              <w:rPr>
                <w:sz w:val="18"/>
                <w:szCs w:val="18"/>
              </w:rPr>
              <w:t>]) OR (chronic*[</w:t>
            </w:r>
            <w:proofErr w:type="spellStart"/>
            <w:r w:rsidRPr="00732EED">
              <w:rPr>
                <w:sz w:val="18"/>
                <w:szCs w:val="18"/>
              </w:rPr>
              <w:t>tiab</w:t>
            </w:r>
            <w:proofErr w:type="spellEnd"/>
            <w:r w:rsidRPr="00732EED">
              <w:rPr>
                <w:sz w:val="18"/>
                <w:szCs w:val="18"/>
              </w:rPr>
              <w:t>] OR "persistent pain"[</w:t>
            </w:r>
            <w:proofErr w:type="spellStart"/>
            <w:r w:rsidRPr="00732EED">
              <w:rPr>
                <w:sz w:val="18"/>
                <w:szCs w:val="18"/>
              </w:rPr>
              <w:t>tiab</w:t>
            </w:r>
            <w:proofErr w:type="spellEnd"/>
            <w:r w:rsidRPr="00732EED">
              <w:rPr>
                <w:sz w:val="18"/>
                <w:szCs w:val="18"/>
              </w:rPr>
              <w:t>] OR "musculoskeletal pain"[</w:t>
            </w:r>
            <w:proofErr w:type="spellStart"/>
            <w:r w:rsidRPr="00732EED">
              <w:rPr>
                <w:sz w:val="18"/>
                <w:szCs w:val="18"/>
              </w:rPr>
              <w:t>tiab</w:t>
            </w:r>
            <w:proofErr w:type="spellEnd"/>
            <w:r w:rsidRPr="00732EED">
              <w:rPr>
                <w:sz w:val="18"/>
                <w:szCs w:val="18"/>
              </w:rPr>
              <w:t>] OR neuropath*[</w:t>
            </w:r>
            <w:proofErr w:type="spellStart"/>
            <w:r w:rsidRPr="00732EED">
              <w:rPr>
                <w:sz w:val="18"/>
                <w:szCs w:val="18"/>
              </w:rPr>
              <w:t>tiab</w:t>
            </w:r>
            <w:proofErr w:type="spellEnd"/>
            <w:r w:rsidRPr="00732EED">
              <w:rPr>
                <w:sz w:val="18"/>
                <w:szCs w:val="18"/>
              </w:rPr>
              <w:t>] OR neuralgia*[</w:t>
            </w:r>
            <w:proofErr w:type="spellStart"/>
            <w:r w:rsidRPr="00732EED">
              <w:rPr>
                <w:sz w:val="18"/>
                <w:szCs w:val="18"/>
              </w:rPr>
              <w:t>tiab</w:t>
            </w:r>
            <w:proofErr w:type="spellEnd"/>
            <w:r w:rsidRPr="00732EED">
              <w:rPr>
                <w:sz w:val="18"/>
                <w:szCs w:val="18"/>
              </w:rPr>
              <w:t>] OR headache*[</w:t>
            </w:r>
            <w:proofErr w:type="spellStart"/>
            <w:r w:rsidRPr="00732EED">
              <w:rPr>
                <w:sz w:val="18"/>
                <w:szCs w:val="18"/>
              </w:rPr>
              <w:t>tiab</w:t>
            </w:r>
            <w:proofErr w:type="spellEnd"/>
            <w:r w:rsidRPr="00732EED">
              <w:rPr>
                <w:sz w:val="18"/>
                <w:szCs w:val="18"/>
              </w:rPr>
              <w:t>] OR fibromyalgia[</w:t>
            </w:r>
            <w:proofErr w:type="spellStart"/>
            <w:r w:rsidRPr="00732EED">
              <w:rPr>
                <w:sz w:val="18"/>
                <w:szCs w:val="18"/>
              </w:rPr>
              <w:t>tiab</w:t>
            </w:r>
            <w:proofErr w:type="spellEnd"/>
            <w:r w:rsidRPr="00732EED">
              <w:rPr>
                <w:sz w:val="18"/>
                <w:szCs w:val="18"/>
              </w:rPr>
              <w:t>] OR migraine*[</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arthriti</w:t>
            </w:r>
            <w:proofErr w:type="spellEnd"/>
            <w:r w:rsidRPr="00732EED">
              <w:rPr>
                <w:sz w:val="18"/>
                <w:szCs w:val="18"/>
              </w:rPr>
              <w:t>*[</w:t>
            </w:r>
            <w:proofErr w:type="spellStart"/>
            <w:r w:rsidRPr="00732EED">
              <w:rPr>
                <w:sz w:val="18"/>
                <w:szCs w:val="18"/>
              </w:rPr>
              <w:t>tiab</w:t>
            </w:r>
            <w:proofErr w:type="spellEnd"/>
            <w:r w:rsidRPr="00732EED">
              <w:rPr>
                <w:sz w:val="18"/>
                <w:szCs w:val="18"/>
              </w:rPr>
              <w:t>] OR "back pain"[</w:t>
            </w:r>
            <w:proofErr w:type="spellStart"/>
            <w:r w:rsidRPr="00732EED">
              <w:rPr>
                <w:sz w:val="18"/>
                <w:szCs w:val="18"/>
              </w:rPr>
              <w:t>tiab</w:t>
            </w:r>
            <w:proofErr w:type="spellEnd"/>
            <w:r w:rsidRPr="00732EED">
              <w:rPr>
                <w:sz w:val="18"/>
                <w:szCs w:val="18"/>
              </w:rPr>
              <w:t>] OR "chronic pain syndrome"[</w:t>
            </w:r>
            <w:proofErr w:type="spellStart"/>
            <w:r w:rsidRPr="00732EED">
              <w:rPr>
                <w:sz w:val="18"/>
                <w:szCs w:val="18"/>
              </w:rPr>
              <w:t>tiab</w:t>
            </w:r>
            <w:proofErr w:type="spellEnd"/>
            <w:r w:rsidRPr="00732EED">
              <w:rPr>
                <w:sz w:val="18"/>
                <w:szCs w:val="18"/>
              </w:rPr>
              <w:t>]) AND (chronic illness[</w:t>
            </w:r>
            <w:proofErr w:type="spellStart"/>
            <w:r w:rsidRPr="00732EED">
              <w:rPr>
                <w:sz w:val="18"/>
                <w:szCs w:val="18"/>
              </w:rPr>
              <w:t>tiab</w:t>
            </w:r>
            <w:proofErr w:type="spellEnd"/>
            <w:r w:rsidRPr="00732EED">
              <w:rPr>
                <w:sz w:val="18"/>
                <w:szCs w:val="18"/>
              </w:rPr>
              <w:t>] OR ill*[</w:t>
            </w:r>
            <w:proofErr w:type="spellStart"/>
            <w:r w:rsidRPr="00732EED">
              <w:rPr>
                <w:sz w:val="18"/>
                <w:szCs w:val="18"/>
              </w:rPr>
              <w:t>tiab</w:t>
            </w:r>
            <w:proofErr w:type="spellEnd"/>
            <w:r w:rsidRPr="00732EED">
              <w:rPr>
                <w:sz w:val="18"/>
                <w:szCs w:val="18"/>
              </w:rPr>
              <w:t>] OR disease*[</w:t>
            </w:r>
            <w:proofErr w:type="spellStart"/>
            <w:r w:rsidRPr="00732EED">
              <w:rPr>
                <w:sz w:val="18"/>
                <w:szCs w:val="18"/>
              </w:rPr>
              <w:t>tiab</w:t>
            </w:r>
            <w:proofErr w:type="spellEnd"/>
            <w:r w:rsidRPr="00732EED">
              <w:rPr>
                <w:sz w:val="18"/>
                <w:szCs w:val="18"/>
              </w:rPr>
              <w:t>] OR "long-term"[</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longterm</w:t>
            </w:r>
            <w:proofErr w:type="spellEnd"/>
            <w:r w:rsidRPr="00732EED">
              <w:rPr>
                <w:sz w:val="18"/>
                <w:szCs w:val="18"/>
              </w:rPr>
              <w:t>[</w:t>
            </w:r>
            <w:proofErr w:type="spellStart"/>
            <w:r w:rsidRPr="00732EED">
              <w:rPr>
                <w:sz w:val="18"/>
                <w:szCs w:val="18"/>
              </w:rPr>
              <w:t>tiab</w:t>
            </w:r>
            <w:proofErr w:type="spellEnd"/>
            <w:r w:rsidRPr="00732EED">
              <w:rPr>
                <w:sz w:val="18"/>
                <w:szCs w:val="18"/>
              </w:rPr>
              <w:t>] OR recurrent*[</w:t>
            </w:r>
            <w:proofErr w:type="spellStart"/>
            <w:r w:rsidRPr="00732EED">
              <w:rPr>
                <w:sz w:val="18"/>
                <w:szCs w:val="18"/>
              </w:rPr>
              <w:t>tiab</w:t>
            </w:r>
            <w:proofErr w:type="spellEnd"/>
            <w:r w:rsidRPr="00732EED">
              <w:rPr>
                <w:sz w:val="18"/>
                <w:szCs w:val="18"/>
              </w:rPr>
              <w:t>] OR recur*[</w:t>
            </w:r>
            <w:proofErr w:type="spellStart"/>
            <w:r w:rsidRPr="00732EED">
              <w:rPr>
                <w:sz w:val="18"/>
                <w:szCs w:val="18"/>
              </w:rPr>
              <w:t>tiab</w:t>
            </w:r>
            <w:proofErr w:type="spellEnd"/>
            <w:r w:rsidRPr="00732EED">
              <w:rPr>
                <w:sz w:val="18"/>
                <w:szCs w:val="18"/>
              </w:rPr>
              <w:t>]) AND (qualitative[</w:t>
            </w:r>
            <w:proofErr w:type="spellStart"/>
            <w:r w:rsidRPr="00732EED">
              <w:rPr>
                <w:sz w:val="18"/>
                <w:szCs w:val="18"/>
              </w:rPr>
              <w:t>tiab</w:t>
            </w:r>
            <w:proofErr w:type="spellEnd"/>
            <w:r w:rsidRPr="00732EED">
              <w:rPr>
                <w:sz w:val="18"/>
                <w:szCs w:val="18"/>
              </w:rPr>
              <w:t>] OR interview*[</w:t>
            </w:r>
            <w:proofErr w:type="spellStart"/>
            <w:r w:rsidRPr="00732EED">
              <w:rPr>
                <w:sz w:val="18"/>
                <w:szCs w:val="18"/>
              </w:rPr>
              <w:t>tiab</w:t>
            </w:r>
            <w:proofErr w:type="spellEnd"/>
            <w:r w:rsidRPr="00732EED">
              <w:rPr>
                <w:sz w:val="18"/>
                <w:szCs w:val="18"/>
              </w:rPr>
              <w:t>] OR "focus group"[</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ethnograph</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"thematic </w:t>
            </w:r>
            <w:proofErr w:type="spellStart"/>
            <w:r w:rsidRPr="00732EED">
              <w:rPr>
                <w:sz w:val="18"/>
                <w:szCs w:val="18"/>
              </w:rPr>
              <w:t>analys</w:t>
            </w:r>
            <w:proofErr w:type="spellEnd"/>
            <w:r w:rsidRPr="00732EED">
              <w:rPr>
                <w:sz w:val="18"/>
                <w:szCs w:val="18"/>
              </w:rPr>
              <w:t>*"[</w:t>
            </w:r>
            <w:proofErr w:type="spellStart"/>
            <w:r w:rsidRPr="00732EED">
              <w:rPr>
                <w:sz w:val="18"/>
                <w:szCs w:val="18"/>
              </w:rPr>
              <w:t>tiab</w:t>
            </w:r>
            <w:proofErr w:type="spellEnd"/>
            <w:r w:rsidRPr="00732EED">
              <w:rPr>
                <w:sz w:val="18"/>
                <w:szCs w:val="18"/>
              </w:rPr>
              <w:t>] OR "grounded theory"[</w:t>
            </w:r>
            <w:proofErr w:type="spellStart"/>
            <w:r w:rsidRPr="00732EED">
              <w:rPr>
                <w:sz w:val="18"/>
                <w:szCs w:val="18"/>
              </w:rPr>
              <w:t>tiab</w:t>
            </w:r>
            <w:proofErr w:type="spellEnd"/>
            <w:r w:rsidRPr="00732EED">
              <w:rPr>
                <w:sz w:val="18"/>
                <w:szCs w:val="18"/>
              </w:rPr>
              <w:t>] OR IPA[</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phenomenolog</w:t>
            </w:r>
            <w:proofErr w:type="spellEnd"/>
            <w:r w:rsidRPr="00732EED">
              <w:rPr>
                <w:sz w:val="18"/>
                <w:szCs w:val="18"/>
              </w:rPr>
              <w:t>*[</w:t>
            </w:r>
            <w:proofErr w:type="spellStart"/>
            <w:r w:rsidRPr="00732EED">
              <w:rPr>
                <w:sz w:val="18"/>
                <w:szCs w:val="18"/>
              </w:rPr>
              <w:t>tiab</w:t>
            </w:r>
            <w:proofErr w:type="spellEnd"/>
            <w:r w:rsidRPr="00732EED">
              <w:rPr>
                <w:sz w:val="18"/>
                <w:szCs w:val="18"/>
              </w:rPr>
              <w:t>]) AND (stigma[</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stigmat</w:t>
            </w:r>
            <w:proofErr w:type="spellEnd"/>
            <w:r w:rsidRPr="00732EED">
              <w:rPr>
                <w:sz w:val="18"/>
                <w:szCs w:val="18"/>
              </w:rPr>
              <w:t>*[</w:t>
            </w:r>
            <w:proofErr w:type="spellStart"/>
            <w:r w:rsidRPr="00732EED">
              <w:rPr>
                <w:sz w:val="18"/>
                <w:szCs w:val="18"/>
              </w:rPr>
              <w:t>tiab</w:t>
            </w:r>
            <w:proofErr w:type="spellEnd"/>
            <w:r w:rsidRPr="00732EED">
              <w:rPr>
                <w:sz w:val="18"/>
                <w:szCs w:val="18"/>
              </w:rPr>
              <w:t>] OR "self-blame"[</w:t>
            </w:r>
            <w:proofErr w:type="spellStart"/>
            <w:r w:rsidRPr="00732EED">
              <w:rPr>
                <w:sz w:val="18"/>
                <w:szCs w:val="18"/>
              </w:rPr>
              <w:t>tiab</w:t>
            </w:r>
            <w:proofErr w:type="spellEnd"/>
            <w:r w:rsidRPr="00732EED">
              <w:rPr>
                <w:sz w:val="18"/>
                <w:szCs w:val="18"/>
              </w:rPr>
              <w:t>] OR blame[</w:t>
            </w:r>
            <w:proofErr w:type="spellStart"/>
            <w:r w:rsidRPr="00732EED">
              <w:rPr>
                <w:sz w:val="18"/>
                <w:szCs w:val="18"/>
              </w:rPr>
              <w:t>tiab</w:t>
            </w:r>
            <w:proofErr w:type="spellEnd"/>
            <w:r w:rsidRPr="00732EED">
              <w:rPr>
                <w:sz w:val="18"/>
                <w:szCs w:val="18"/>
              </w:rPr>
              <w:t>] OR guilt[</w:t>
            </w:r>
            <w:proofErr w:type="spellStart"/>
            <w:r w:rsidRPr="00732EED">
              <w:rPr>
                <w:sz w:val="18"/>
                <w:szCs w:val="18"/>
              </w:rPr>
              <w:t>tiab</w:t>
            </w:r>
            <w:proofErr w:type="spellEnd"/>
            <w:r w:rsidRPr="00732EED">
              <w:rPr>
                <w:sz w:val="18"/>
                <w:szCs w:val="18"/>
              </w:rPr>
              <w:t>] OR "body image"[</w:t>
            </w:r>
            <w:proofErr w:type="spellStart"/>
            <w:r w:rsidRPr="00732EED">
              <w:rPr>
                <w:sz w:val="18"/>
                <w:szCs w:val="18"/>
              </w:rPr>
              <w:t>tiab</w:t>
            </w:r>
            <w:proofErr w:type="spellEnd"/>
            <w:r w:rsidRPr="00732EED">
              <w:rPr>
                <w:sz w:val="18"/>
                <w:szCs w:val="18"/>
              </w:rPr>
              <w:t xml:space="preserve">] OR "social </w:t>
            </w:r>
            <w:proofErr w:type="spellStart"/>
            <w:r w:rsidRPr="00732EED">
              <w:rPr>
                <w:sz w:val="18"/>
                <w:szCs w:val="18"/>
              </w:rPr>
              <w:t>isolat</w:t>
            </w:r>
            <w:proofErr w:type="spellEnd"/>
            <w:r w:rsidRPr="00732EED">
              <w:rPr>
                <w:sz w:val="18"/>
                <w:szCs w:val="18"/>
              </w:rPr>
              <w:t>*"[</w:t>
            </w:r>
            <w:proofErr w:type="spellStart"/>
            <w:r w:rsidRPr="00732EED">
              <w:rPr>
                <w:sz w:val="18"/>
                <w:szCs w:val="18"/>
              </w:rPr>
              <w:t>tiab</w:t>
            </w:r>
            <w:proofErr w:type="spellEnd"/>
            <w:r w:rsidRPr="00732EED">
              <w:rPr>
                <w:sz w:val="18"/>
                <w:szCs w:val="18"/>
              </w:rPr>
              <w:t>] OR "lived experience"[</w:t>
            </w:r>
            <w:proofErr w:type="spellStart"/>
            <w:r w:rsidRPr="00732EED">
              <w:rPr>
                <w:sz w:val="18"/>
                <w:szCs w:val="18"/>
              </w:rPr>
              <w:t>tiab</w:t>
            </w:r>
            <w:proofErr w:type="spellEnd"/>
            <w:r w:rsidRPr="00732EED">
              <w:rPr>
                <w:sz w:val="18"/>
                <w:szCs w:val="18"/>
              </w:rPr>
              <w:t>] OR "patient experience"[</w:t>
            </w:r>
            <w:proofErr w:type="spellStart"/>
            <w:r w:rsidRPr="00732EED">
              <w:rPr>
                <w:sz w:val="18"/>
                <w:szCs w:val="18"/>
              </w:rPr>
              <w:t>tiab</w:t>
            </w:r>
            <w:proofErr w:type="spellEnd"/>
            <w:r w:rsidRPr="00732EED">
              <w:rPr>
                <w:sz w:val="18"/>
                <w:szCs w:val="18"/>
              </w:rPr>
              <w:t xml:space="preserve">] OR "pain </w:t>
            </w:r>
            <w:proofErr w:type="spellStart"/>
            <w:r w:rsidRPr="00732EED">
              <w:rPr>
                <w:sz w:val="18"/>
                <w:szCs w:val="18"/>
              </w:rPr>
              <w:t>invalidat</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discriminat</w:t>
            </w:r>
            <w:proofErr w:type="spellEnd"/>
            <w:r w:rsidRPr="00732EED">
              <w:rPr>
                <w:sz w:val="18"/>
                <w:szCs w:val="18"/>
              </w:rPr>
              <w:t>*[</w:t>
            </w:r>
            <w:proofErr w:type="spellStart"/>
            <w:r w:rsidRPr="00732EED">
              <w:rPr>
                <w:sz w:val="18"/>
                <w:szCs w:val="18"/>
              </w:rPr>
              <w:t>tiab</w:t>
            </w:r>
            <w:proofErr w:type="spellEnd"/>
            <w:r w:rsidRPr="00732EED">
              <w:rPr>
                <w:sz w:val="18"/>
                <w:szCs w:val="18"/>
              </w:rPr>
              <w:t>] OR prejudice[</w:t>
            </w:r>
            <w:proofErr w:type="spellStart"/>
            <w:r w:rsidRPr="00732EED">
              <w:rPr>
                <w:sz w:val="18"/>
                <w:szCs w:val="18"/>
              </w:rPr>
              <w:t>tiab</w:t>
            </w:r>
            <w:proofErr w:type="spellEnd"/>
            <w:r w:rsidRPr="00732EED">
              <w:rPr>
                <w:sz w:val="18"/>
                <w:szCs w:val="18"/>
              </w:rPr>
              <w:t>])</w:t>
            </w:r>
          </w:p>
        </w:tc>
      </w:tr>
      <w:tr w:rsidR="00F0458C" w:rsidRPr="00732EED" w14:paraId="383B645E" w14:textId="77777777" w:rsidTr="00535921">
        <w:tc>
          <w:tcPr>
            <w:tcW w:w="1260" w:type="dxa"/>
          </w:tcPr>
          <w:p w14:paraId="05AA9B23" w14:textId="59862DBC" w:rsidR="00F0458C" w:rsidRPr="00732EED" w:rsidRDefault="00F0458C" w:rsidP="00F0458C">
            <w:pPr>
              <w:rPr>
                <w:sz w:val="18"/>
                <w:szCs w:val="18"/>
              </w:rPr>
            </w:pPr>
            <w:r w:rsidRPr="00732EED">
              <w:rPr>
                <w:sz w:val="18"/>
                <w:szCs w:val="18"/>
              </w:rPr>
              <w:t>PubMed</w:t>
            </w:r>
          </w:p>
        </w:tc>
        <w:tc>
          <w:tcPr>
            <w:tcW w:w="3555" w:type="dxa"/>
          </w:tcPr>
          <w:p w14:paraId="7D0E4169" w14:textId="0B9558FF" w:rsidR="00F0458C" w:rsidRPr="00732EED" w:rsidRDefault="00F0458C" w:rsidP="00F0458C">
            <w:pPr>
              <w:rPr>
                <w:sz w:val="18"/>
                <w:szCs w:val="18"/>
              </w:rPr>
            </w:pPr>
            <w:r w:rsidRPr="00732EED">
              <w:rPr>
                <w:sz w:val="18"/>
                <w:szCs w:val="18"/>
              </w:rPr>
              <w:t>THEORY/SYSTEMS</w:t>
            </w:r>
          </w:p>
        </w:tc>
        <w:tc>
          <w:tcPr>
            <w:tcW w:w="8080" w:type="dxa"/>
          </w:tcPr>
          <w:p w14:paraId="26F06616" w14:textId="0CE82B53" w:rsidR="00F0458C" w:rsidRPr="00732EED" w:rsidRDefault="00F0458C" w:rsidP="00F0458C">
            <w:pPr>
              <w:rPr>
                <w:sz w:val="18"/>
                <w:szCs w:val="18"/>
              </w:rPr>
            </w:pPr>
            <w:r w:rsidRPr="00732EED">
              <w:rPr>
                <w:sz w:val="18"/>
                <w:szCs w:val="18"/>
              </w:rPr>
              <w:t>("affordance theory"[</w:t>
            </w:r>
            <w:proofErr w:type="spellStart"/>
            <w:r w:rsidRPr="00732EED">
              <w:rPr>
                <w:sz w:val="18"/>
                <w:szCs w:val="18"/>
              </w:rPr>
              <w:t>tiab</w:t>
            </w:r>
            <w:proofErr w:type="spellEnd"/>
            <w:r w:rsidRPr="00732EED">
              <w:rPr>
                <w:sz w:val="18"/>
                <w:szCs w:val="18"/>
              </w:rPr>
              <w:t xml:space="preserve">] OR "cultural </w:t>
            </w:r>
            <w:proofErr w:type="spellStart"/>
            <w:r w:rsidRPr="00732EED">
              <w:rPr>
                <w:sz w:val="18"/>
                <w:szCs w:val="18"/>
              </w:rPr>
              <w:t>affordanc</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phenomenolog</w:t>
            </w:r>
            <w:proofErr w:type="spellEnd"/>
            <w:r w:rsidRPr="00732EED">
              <w:rPr>
                <w:sz w:val="18"/>
                <w:szCs w:val="18"/>
              </w:rPr>
              <w:t>*[</w:t>
            </w:r>
            <w:proofErr w:type="spellStart"/>
            <w:r w:rsidRPr="00732EED">
              <w:rPr>
                <w:sz w:val="18"/>
                <w:szCs w:val="18"/>
              </w:rPr>
              <w:t>tiab</w:t>
            </w:r>
            <w:proofErr w:type="spellEnd"/>
            <w:r w:rsidRPr="00732EED">
              <w:rPr>
                <w:sz w:val="18"/>
                <w:szCs w:val="18"/>
              </w:rPr>
              <w:t>] OR ontology[</w:t>
            </w:r>
            <w:proofErr w:type="spellStart"/>
            <w:r w:rsidRPr="00732EED">
              <w:rPr>
                <w:sz w:val="18"/>
                <w:szCs w:val="18"/>
              </w:rPr>
              <w:t>tiab</w:t>
            </w:r>
            <w:proofErr w:type="spellEnd"/>
            <w:r w:rsidRPr="00732EED">
              <w:rPr>
                <w:sz w:val="18"/>
                <w:szCs w:val="18"/>
              </w:rPr>
              <w:t xml:space="preserve">] OR "illness </w:t>
            </w:r>
            <w:proofErr w:type="spellStart"/>
            <w:r w:rsidRPr="00732EED">
              <w:rPr>
                <w:sz w:val="18"/>
                <w:szCs w:val="18"/>
              </w:rPr>
              <w:t>ontolog</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"process </w:t>
            </w:r>
            <w:proofErr w:type="spellStart"/>
            <w:r w:rsidRPr="00732EED">
              <w:rPr>
                <w:sz w:val="18"/>
                <w:szCs w:val="18"/>
              </w:rPr>
              <w:t>ontolog</w:t>
            </w:r>
            <w:proofErr w:type="spellEnd"/>
            <w:r w:rsidRPr="00732EED">
              <w:rPr>
                <w:sz w:val="18"/>
                <w:szCs w:val="18"/>
              </w:rPr>
              <w:t>*"[</w:t>
            </w:r>
            <w:proofErr w:type="spellStart"/>
            <w:r w:rsidRPr="00732EED">
              <w:rPr>
                <w:sz w:val="18"/>
                <w:szCs w:val="18"/>
              </w:rPr>
              <w:t>tiab</w:t>
            </w:r>
            <w:proofErr w:type="spellEnd"/>
            <w:r w:rsidRPr="00732EED">
              <w:rPr>
                <w:sz w:val="18"/>
                <w:szCs w:val="18"/>
              </w:rPr>
              <w:t>] OR "systems thinking"[</w:t>
            </w:r>
            <w:proofErr w:type="spellStart"/>
            <w:r w:rsidRPr="00732EED">
              <w:rPr>
                <w:sz w:val="18"/>
                <w:szCs w:val="18"/>
              </w:rPr>
              <w:t>tiab</w:t>
            </w:r>
            <w:proofErr w:type="spellEnd"/>
            <w:r w:rsidRPr="00732EED">
              <w:rPr>
                <w:sz w:val="18"/>
                <w:szCs w:val="18"/>
              </w:rPr>
              <w:t>] OR "systems science"[</w:t>
            </w:r>
            <w:proofErr w:type="spellStart"/>
            <w:r w:rsidRPr="00732EED">
              <w:rPr>
                <w:sz w:val="18"/>
                <w:szCs w:val="18"/>
              </w:rPr>
              <w:t>tiab</w:t>
            </w:r>
            <w:proofErr w:type="spellEnd"/>
            <w:r w:rsidRPr="00732EED">
              <w:rPr>
                <w:sz w:val="18"/>
                <w:szCs w:val="18"/>
              </w:rPr>
              <w:t>] OR "complexity science"[</w:t>
            </w:r>
            <w:proofErr w:type="spellStart"/>
            <w:r w:rsidRPr="00732EED">
              <w:rPr>
                <w:sz w:val="18"/>
                <w:szCs w:val="18"/>
              </w:rPr>
              <w:t>tiab</w:t>
            </w:r>
            <w:proofErr w:type="spellEnd"/>
            <w:r w:rsidRPr="00732EED">
              <w:rPr>
                <w:sz w:val="18"/>
                <w:szCs w:val="18"/>
              </w:rPr>
              <w:t>] OR "complex systems"[</w:t>
            </w:r>
            <w:proofErr w:type="spellStart"/>
            <w:r w:rsidRPr="00732EED">
              <w:rPr>
                <w:sz w:val="18"/>
                <w:szCs w:val="18"/>
              </w:rPr>
              <w:t>tiab</w:t>
            </w:r>
            <w:proofErr w:type="spellEnd"/>
            <w:r w:rsidRPr="00732EED">
              <w:rPr>
                <w:sz w:val="18"/>
                <w:szCs w:val="18"/>
              </w:rPr>
              <w:t>] OR "system dynamics"[</w:t>
            </w:r>
            <w:proofErr w:type="spellStart"/>
            <w:r w:rsidRPr="00732EED">
              <w:rPr>
                <w:sz w:val="18"/>
                <w:szCs w:val="18"/>
              </w:rPr>
              <w:t>tiab</w:t>
            </w:r>
            <w:proofErr w:type="spellEnd"/>
            <w:r w:rsidRPr="00732EED">
              <w:rPr>
                <w:sz w:val="18"/>
                <w:szCs w:val="18"/>
              </w:rPr>
              <w:t xml:space="preserve">] OR "systems </w:t>
            </w:r>
            <w:proofErr w:type="spellStart"/>
            <w:r w:rsidRPr="00732EED">
              <w:rPr>
                <w:sz w:val="18"/>
                <w:szCs w:val="18"/>
              </w:rPr>
              <w:t>modell</w:t>
            </w:r>
            <w:proofErr w:type="spellEnd"/>
            <w:r w:rsidRPr="00732EED">
              <w:rPr>
                <w:sz w:val="18"/>
                <w:szCs w:val="18"/>
              </w:rPr>
              <w:t>*"[</w:t>
            </w:r>
            <w:proofErr w:type="spellStart"/>
            <w:r w:rsidRPr="00732EED">
              <w:rPr>
                <w:sz w:val="18"/>
                <w:szCs w:val="18"/>
              </w:rPr>
              <w:t>tiab</w:t>
            </w:r>
            <w:proofErr w:type="spellEnd"/>
            <w:r w:rsidRPr="00732EED">
              <w:rPr>
                <w:sz w:val="18"/>
                <w:szCs w:val="18"/>
              </w:rPr>
              <w:t>] OR "social determinants"[</w:t>
            </w:r>
            <w:proofErr w:type="spellStart"/>
            <w:r w:rsidRPr="00732EED">
              <w:rPr>
                <w:sz w:val="18"/>
                <w:szCs w:val="18"/>
              </w:rPr>
              <w:t>tiab</w:t>
            </w:r>
            <w:proofErr w:type="spellEnd"/>
            <w:r w:rsidRPr="00732EED">
              <w:rPr>
                <w:sz w:val="18"/>
                <w:szCs w:val="18"/>
              </w:rPr>
              <w:t>] OR "social determinants of health"[</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transdisciplin</w:t>
            </w:r>
            <w:proofErr w:type="spellEnd"/>
            <w:r w:rsidRPr="00732EED">
              <w:rPr>
                <w:sz w:val="18"/>
                <w:szCs w:val="18"/>
              </w:rPr>
              <w:t>*[</w:t>
            </w:r>
            <w:proofErr w:type="spellStart"/>
            <w:r w:rsidRPr="00732EED">
              <w:rPr>
                <w:sz w:val="18"/>
                <w:szCs w:val="18"/>
              </w:rPr>
              <w:t>tiab</w:t>
            </w:r>
            <w:proofErr w:type="spellEnd"/>
            <w:r w:rsidRPr="00732EED">
              <w:rPr>
                <w:sz w:val="18"/>
                <w:szCs w:val="18"/>
              </w:rPr>
              <w:t>] OR "participatory action research"[</w:t>
            </w:r>
            <w:proofErr w:type="spellStart"/>
            <w:r w:rsidRPr="00732EED">
              <w:rPr>
                <w:sz w:val="18"/>
                <w:szCs w:val="18"/>
              </w:rPr>
              <w:t>tiab</w:t>
            </w:r>
            <w:proofErr w:type="spellEnd"/>
            <w:r w:rsidRPr="00732EED">
              <w:rPr>
                <w:sz w:val="18"/>
                <w:szCs w:val="18"/>
              </w:rPr>
              <w:t>] OR "knowledge integration"[</w:t>
            </w:r>
            <w:proofErr w:type="spellStart"/>
            <w:r w:rsidRPr="00732EED">
              <w:rPr>
                <w:sz w:val="18"/>
                <w:szCs w:val="18"/>
              </w:rPr>
              <w:t>tiab</w:t>
            </w:r>
            <w:proofErr w:type="spellEnd"/>
            <w:r w:rsidRPr="00732EED">
              <w:rPr>
                <w:sz w:val="18"/>
                <w:szCs w:val="18"/>
              </w:rPr>
              <w:t>])</w:t>
            </w:r>
          </w:p>
        </w:tc>
      </w:tr>
      <w:tr w:rsidR="00F0458C" w:rsidRPr="00732EED" w14:paraId="663F30B6"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3871FB5D" w14:textId="213CAAA2" w:rsidR="00F0458C" w:rsidRPr="00732EED" w:rsidRDefault="00F0458C" w:rsidP="00F0458C">
            <w:pPr>
              <w:rPr>
                <w:sz w:val="18"/>
                <w:szCs w:val="18"/>
              </w:rPr>
            </w:pPr>
            <w:r w:rsidRPr="00732EED">
              <w:rPr>
                <w:sz w:val="18"/>
                <w:szCs w:val="18"/>
              </w:rPr>
              <w:t>PubMed</w:t>
            </w:r>
          </w:p>
        </w:tc>
        <w:tc>
          <w:tcPr>
            <w:tcW w:w="3555" w:type="dxa"/>
          </w:tcPr>
          <w:p w14:paraId="07C4E85F" w14:textId="2F6ACDA3" w:rsidR="00F0458C" w:rsidRPr="00732EED" w:rsidRDefault="00F0458C" w:rsidP="00F0458C">
            <w:pPr>
              <w:rPr>
                <w:sz w:val="18"/>
                <w:szCs w:val="18"/>
              </w:rPr>
            </w:pPr>
            <w:r w:rsidRPr="00732EED">
              <w:rPr>
                <w:sz w:val="18"/>
                <w:szCs w:val="18"/>
              </w:rPr>
              <w:t>REVIEW / META SYNTHESIS</w:t>
            </w:r>
          </w:p>
        </w:tc>
        <w:tc>
          <w:tcPr>
            <w:tcW w:w="8080" w:type="dxa"/>
          </w:tcPr>
          <w:p w14:paraId="281336DE" w14:textId="2F5FB651" w:rsidR="00F0458C" w:rsidRPr="00732EED" w:rsidRDefault="00F0458C" w:rsidP="00F0458C">
            <w:pPr>
              <w:rPr>
                <w:sz w:val="18"/>
                <w:szCs w:val="18"/>
              </w:rPr>
            </w:pPr>
            <w:r w:rsidRPr="00732EED">
              <w:rPr>
                <w:sz w:val="18"/>
                <w:szCs w:val="18"/>
              </w:rPr>
              <w:t>("meta-</w:t>
            </w:r>
            <w:proofErr w:type="spellStart"/>
            <w:r w:rsidRPr="00732EED">
              <w:rPr>
                <w:sz w:val="18"/>
                <w:szCs w:val="18"/>
              </w:rPr>
              <w:t>ethnograph</w:t>
            </w:r>
            <w:proofErr w:type="spellEnd"/>
            <w:r w:rsidRPr="00732EED">
              <w:rPr>
                <w:sz w:val="18"/>
                <w:szCs w:val="18"/>
              </w:rPr>
              <w:t>*"[</w:t>
            </w:r>
            <w:proofErr w:type="spellStart"/>
            <w:r w:rsidRPr="00732EED">
              <w:rPr>
                <w:sz w:val="18"/>
                <w:szCs w:val="18"/>
              </w:rPr>
              <w:t>tiab</w:t>
            </w:r>
            <w:proofErr w:type="spellEnd"/>
            <w:r w:rsidRPr="00732EED">
              <w:rPr>
                <w:sz w:val="18"/>
                <w:szCs w:val="18"/>
              </w:rPr>
              <w:t>] OR "meta-ethnography"[</w:t>
            </w:r>
            <w:proofErr w:type="spellStart"/>
            <w:r w:rsidRPr="00732EED">
              <w:rPr>
                <w:sz w:val="18"/>
                <w:szCs w:val="18"/>
              </w:rPr>
              <w:t>tiab</w:t>
            </w:r>
            <w:proofErr w:type="spellEnd"/>
            <w:r w:rsidRPr="00732EED">
              <w:rPr>
                <w:sz w:val="18"/>
                <w:szCs w:val="18"/>
              </w:rPr>
              <w:t>] OR "meta-synth*"[</w:t>
            </w:r>
            <w:proofErr w:type="spellStart"/>
            <w:r w:rsidRPr="00732EED">
              <w:rPr>
                <w:sz w:val="18"/>
                <w:szCs w:val="18"/>
              </w:rPr>
              <w:t>tiab</w:t>
            </w:r>
            <w:proofErr w:type="spellEnd"/>
            <w:r w:rsidRPr="00732EED">
              <w:rPr>
                <w:sz w:val="18"/>
                <w:szCs w:val="18"/>
              </w:rPr>
              <w:t>] OR "meta-synthesis"[</w:t>
            </w:r>
            <w:proofErr w:type="spellStart"/>
            <w:r w:rsidRPr="00732EED">
              <w:rPr>
                <w:sz w:val="18"/>
                <w:szCs w:val="18"/>
              </w:rPr>
              <w:t>tiab</w:t>
            </w:r>
            <w:proofErr w:type="spellEnd"/>
            <w:r w:rsidRPr="00732EED">
              <w:rPr>
                <w:sz w:val="18"/>
                <w:szCs w:val="18"/>
              </w:rPr>
              <w:t>] OR "thematic synthesis"[</w:t>
            </w:r>
            <w:proofErr w:type="spellStart"/>
            <w:r w:rsidRPr="00732EED">
              <w:rPr>
                <w:sz w:val="18"/>
                <w:szCs w:val="18"/>
              </w:rPr>
              <w:t>tiab</w:t>
            </w:r>
            <w:proofErr w:type="spellEnd"/>
            <w:r w:rsidRPr="00732EED">
              <w:rPr>
                <w:sz w:val="18"/>
                <w:szCs w:val="18"/>
              </w:rPr>
              <w:t>] OR "meta-study"[</w:t>
            </w:r>
            <w:proofErr w:type="spellStart"/>
            <w:r w:rsidRPr="00732EED">
              <w:rPr>
                <w:sz w:val="18"/>
                <w:szCs w:val="18"/>
              </w:rPr>
              <w:t>tiab</w:t>
            </w:r>
            <w:proofErr w:type="spellEnd"/>
            <w:r w:rsidRPr="00732EED">
              <w:rPr>
                <w:sz w:val="18"/>
                <w:szCs w:val="18"/>
              </w:rPr>
              <w:t>] OR "critical interpretive synthesis"[</w:t>
            </w:r>
            <w:proofErr w:type="spellStart"/>
            <w:r w:rsidRPr="00732EED">
              <w:rPr>
                <w:sz w:val="18"/>
                <w:szCs w:val="18"/>
              </w:rPr>
              <w:t>tiab</w:t>
            </w:r>
            <w:proofErr w:type="spellEnd"/>
            <w:r w:rsidRPr="00732EED">
              <w:rPr>
                <w:sz w:val="18"/>
                <w:szCs w:val="18"/>
              </w:rPr>
              <w:t>] OR "meta-summary"[</w:t>
            </w:r>
            <w:proofErr w:type="spellStart"/>
            <w:r w:rsidRPr="00732EED">
              <w:rPr>
                <w:sz w:val="18"/>
                <w:szCs w:val="18"/>
              </w:rPr>
              <w:t>tiab</w:t>
            </w:r>
            <w:proofErr w:type="spellEnd"/>
            <w:r w:rsidRPr="00732EED">
              <w:rPr>
                <w:sz w:val="18"/>
                <w:szCs w:val="18"/>
              </w:rPr>
              <w:t>])</w:t>
            </w:r>
          </w:p>
        </w:tc>
      </w:tr>
      <w:tr w:rsidR="00F0458C" w:rsidRPr="00732EED" w14:paraId="1DBDE60A" w14:textId="77777777" w:rsidTr="00535921">
        <w:tc>
          <w:tcPr>
            <w:tcW w:w="1260" w:type="dxa"/>
          </w:tcPr>
          <w:p w14:paraId="7712A1BA" w14:textId="192ECDED" w:rsidR="00F0458C" w:rsidRPr="00732EED" w:rsidRDefault="00F0458C" w:rsidP="00F0458C">
            <w:pPr>
              <w:rPr>
                <w:sz w:val="18"/>
                <w:szCs w:val="18"/>
              </w:rPr>
            </w:pPr>
            <w:r w:rsidRPr="00732EED">
              <w:rPr>
                <w:sz w:val="18"/>
                <w:szCs w:val="18"/>
              </w:rPr>
              <w:t>Embase</w:t>
            </w:r>
          </w:p>
        </w:tc>
        <w:tc>
          <w:tcPr>
            <w:tcW w:w="3555" w:type="dxa"/>
          </w:tcPr>
          <w:p w14:paraId="20D364CB" w14:textId="339EAABB" w:rsidR="00F0458C" w:rsidRPr="00732EED" w:rsidRDefault="00F0458C" w:rsidP="00F0458C">
            <w:pPr>
              <w:rPr>
                <w:sz w:val="18"/>
                <w:szCs w:val="18"/>
              </w:rPr>
            </w:pPr>
            <w:r w:rsidRPr="00732EED">
              <w:rPr>
                <w:sz w:val="18"/>
                <w:szCs w:val="18"/>
              </w:rPr>
              <w:t>CORE (primary qualitative)</w:t>
            </w:r>
          </w:p>
        </w:tc>
        <w:tc>
          <w:tcPr>
            <w:tcW w:w="8080" w:type="dxa"/>
          </w:tcPr>
          <w:p w14:paraId="68CE7BE9" w14:textId="3CCBFCEE" w:rsidR="00F0458C" w:rsidRPr="00732EED" w:rsidRDefault="00F0458C" w:rsidP="00F0458C">
            <w:pPr>
              <w:rPr>
                <w:sz w:val="18"/>
                <w:szCs w:val="18"/>
              </w:rPr>
            </w:pPr>
            <w:r w:rsidRPr="00732EED">
              <w:rPr>
                <w:sz w:val="18"/>
                <w:szCs w:val="18"/>
              </w:rPr>
              <w:t>('chronic pain'/exp OR 'musculoskeletal disease'/exp OR 'neuropathic pain'/exp OR 'headache disorder'/exp) OR (chronic*:</w:t>
            </w:r>
            <w:proofErr w:type="spellStart"/>
            <w:r w:rsidRPr="00732EED">
              <w:rPr>
                <w:sz w:val="18"/>
                <w:szCs w:val="18"/>
              </w:rPr>
              <w:t>ti,ab</w:t>
            </w:r>
            <w:proofErr w:type="spellEnd"/>
            <w:r w:rsidRPr="00732EED">
              <w:rPr>
                <w:sz w:val="18"/>
                <w:szCs w:val="18"/>
              </w:rPr>
              <w:t xml:space="preserve"> OR "persistent pain":</w:t>
            </w:r>
            <w:proofErr w:type="spellStart"/>
            <w:r w:rsidRPr="00732EED">
              <w:rPr>
                <w:sz w:val="18"/>
                <w:szCs w:val="18"/>
              </w:rPr>
              <w:t>ti,ab</w:t>
            </w:r>
            <w:proofErr w:type="spellEnd"/>
            <w:r w:rsidRPr="00732EED">
              <w:rPr>
                <w:sz w:val="18"/>
                <w:szCs w:val="18"/>
              </w:rPr>
              <w:t xml:space="preserve"> OR "musculoskeletal pain":</w:t>
            </w:r>
            <w:proofErr w:type="spellStart"/>
            <w:r w:rsidRPr="00732EED">
              <w:rPr>
                <w:sz w:val="18"/>
                <w:szCs w:val="18"/>
              </w:rPr>
              <w:t>ti,ab</w:t>
            </w:r>
            <w:proofErr w:type="spellEnd"/>
            <w:r w:rsidRPr="00732EED">
              <w:rPr>
                <w:sz w:val="18"/>
                <w:szCs w:val="18"/>
              </w:rPr>
              <w:t xml:space="preserve"> OR neuropath*:</w:t>
            </w:r>
            <w:proofErr w:type="spellStart"/>
            <w:r w:rsidRPr="00732EED">
              <w:rPr>
                <w:sz w:val="18"/>
                <w:szCs w:val="18"/>
              </w:rPr>
              <w:t>ti,ab</w:t>
            </w:r>
            <w:proofErr w:type="spellEnd"/>
            <w:r w:rsidRPr="00732EED">
              <w:rPr>
                <w:sz w:val="18"/>
                <w:szCs w:val="18"/>
              </w:rPr>
              <w:t xml:space="preserve"> OR neuralgia*:</w:t>
            </w:r>
            <w:proofErr w:type="spellStart"/>
            <w:r w:rsidRPr="00732EED">
              <w:rPr>
                <w:sz w:val="18"/>
                <w:szCs w:val="18"/>
              </w:rPr>
              <w:t>ti,ab</w:t>
            </w:r>
            <w:proofErr w:type="spellEnd"/>
            <w:r w:rsidRPr="00732EED">
              <w:rPr>
                <w:sz w:val="18"/>
                <w:szCs w:val="18"/>
              </w:rPr>
              <w:t xml:space="preserve"> OR headache*:</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fibromyalgia:ti,ab</w:t>
            </w:r>
            <w:proofErr w:type="spellEnd"/>
            <w:r w:rsidRPr="00732EED">
              <w:rPr>
                <w:sz w:val="18"/>
                <w:szCs w:val="18"/>
              </w:rPr>
              <w:t xml:space="preserve"> OR migraine*:</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arthriti</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"back pain":</w:t>
            </w:r>
            <w:proofErr w:type="spellStart"/>
            <w:r w:rsidRPr="00732EED">
              <w:rPr>
                <w:sz w:val="18"/>
                <w:szCs w:val="18"/>
              </w:rPr>
              <w:t>ti,ab</w:t>
            </w:r>
            <w:proofErr w:type="spellEnd"/>
            <w:r w:rsidRPr="00732EED">
              <w:rPr>
                <w:sz w:val="18"/>
                <w:szCs w:val="18"/>
              </w:rPr>
              <w:t xml:space="preserve"> OR "chronic pain syndrome":</w:t>
            </w:r>
            <w:proofErr w:type="spellStart"/>
            <w:r w:rsidRPr="00732EED">
              <w:rPr>
                <w:sz w:val="18"/>
                <w:szCs w:val="18"/>
              </w:rPr>
              <w:t>ti,ab</w:t>
            </w:r>
            <w:proofErr w:type="spellEnd"/>
            <w:r w:rsidRPr="00732EED">
              <w:rPr>
                <w:sz w:val="18"/>
                <w:szCs w:val="18"/>
              </w:rPr>
              <w:t xml:space="preserve">) AND (chronic </w:t>
            </w:r>
            <w:proofErr w:type="spellStart"/>
            <w:r w:rsidRPr="00732EED">
              <w:rPr>
                <w:sz w:val="18"/>
                <w:szCs w:val="18"/>
              </w:rPr>
              <w:t>illness:ti,ab</w:t>
            </w:r>
            <w:proofErr w:type="spellEnd"/>
            <w:r w:rsidRPr="00732EED">
              <w:rPr>
                <w:sz w:val="18"/>
                <w:szCs w:val="18"/>
              </w:rPr>
              <w:t xml:space="preserve"> OR ill*:</w:t>
            </w:r>
            <w:proofErr w:type="spellStart"/>
            <w:r w:rsidRPr="00732EED">
              <w:rPr>
                <w:sz w:val="18"/>
                <w:szCs w:val="18"/>
              </w:rPr>
              <w:t>ti,ab</w:t>
            </w:r>
            <w:proofErr w:type="spellEnd"/>
            <w:r w:rsidRPr="00732EED">
              <w:rPr>
                <w:sz w:val="18"/>
                <w:szCs w:val="18"/>
              </w:rPr>
              <w:t xml:space="preserve"> OR disease*:</w:t>
            </w:r>
            <w:proofErr w:type="spellStart"/>
            <w:r w:rsidRPr="00732EED">
              <w:rPr>
                <w:sz w:val="18"/>
                <w:szCs w:val="18"/>
              </w:rPr>
              <w:t>ti,ab</w:t>
            </w:r>
            <w:proofErr w:type="spellEnd"/>
            <w:r w:rsidRPr="00732EED">
              <w:rPr>
                <w:sz w:val="18"/>
                <w:szCs w:val="18"/>
              </w:rPr>
              <w:t xml:space="preserve"> OR "long-term":</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longterm:ti,ab</w:t>
            </w:r>
            <w:proofErr w:type="spellEnd"/>
            <w:r w:rsidRPr="00732EED">
              <w:rPr>
                <w:sz w:val="18"/>
                <w:szCs w:val="18"/>
              </w:rPr>
              <w:t xml:space="preserve"> OR recurrent*:</w:t>
            </w:r>
            <w:proofErr w:type="spellStart"/>
            <w:r w:rsidRPr="00732EED">
              <w:rPr>
                <w:sz w:val="18"/>
                <w:szCs w:val="18"/>
              </w:rPr>
              <w:t>ti,ab</w:t>
            </w:r>
            <w:proofErr w:type="spellEnd"/>
            <w:r w:rsidRPr="00732EED">
              <w:rPr>
                <w:sz w:val="18"/>
                <w:szCs w:val="18"/>
              </w:rPr>
              <w:t xml:space="preserve"> OR recur*:</w:t>
            </w:r>
            <w:proofErr w:type="spellStart"/>
            <w:r w:rsidRPr="00732EED">
              <w:rPr>
                <w:sz w:val="18"/>
                <w:szCs w:val="18"/>
              </w:rPr>
              <w:t>ti,ab</w:t>
            </w:r>
            <w:proofErr w:type="spellEnd"/>
            <w:r w:rsidRPr="00732EED">
              <w:rPr>
                <w:sz w:val="18"/>
                <w:szCs w:val="18"/>
              </w:rPr>
              <w:t>) AND (</w:t>
            </w:r>
            <w:proofErr w:type="spellStart"/>
            <w:r w:rsidRPr="00732EED">
              <w:rPr>
                <w:sz w:val="18"/>
                <w:szCs w:val="18"/>
              </w:rPr>
              <w:t>qualitative:ti,ab</w:t>
            </w:r>
            <w:proofErr w:type="spellEnd"/>
            <w:r w:rsidRPr="00732EED">
              <w:rPr>
                <w:sz w:val="18"/>
                <w:szCs w:val="18"/>
              </w:rPr>
              <w:t xml:space="preserve"> OR interview*:</w:t>
            </w:r>
            <w:proofErr w:type="spellStart"/>
            <w:r w:rsidRPr="00732EED">
              <w:rPr>
                <w:sz w:val="18"/>
                <w:szCs w:val="18"/>
              </w:rPr>
              <w:t>ti,ab</w:t>
            </w:r>
            <w:proofErr w:type="spellEnd"/>
            <w:r w:rsidRPr="00732EED">
              <w:rPr>
                <w:sz w:val="18"/>
                <w:szCs w:val="18"/>
              </w:rPr>
              <w:t xml:space="preserve"> OR "focus group*":</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ethnograph</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"thematic </w:t>
            </w:r>
            <w:proofErr w:type="spellStart"/>
            <w:r w:rsidRPr="00732EED">
              <w:rPr>
                <w:sz w:val="18"/>
                <w:szCs w:val="18"/>
              </w:rPr>
              <w:t>analys</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"grounded theory":</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IPA:ti,ab</w:t>
            </w:r>
            <w:proofErr w:type="spellEnd"/>
            <w:r w:rsidRPr="00732EED">
              <w:rPr>
                <w:sz w:val="18"/>
                <w:szCs w:val="18"/>
              </w:rPr>
              <w:t xml:space="preserve"> OR </w:t>
            </w:r>
            <w:proofErr w:type="spellStart"/>
            <w:r w:rsidRPr="00732EED">
              <w:rPr>
                <w:sz w:val="18"/>
                <w:szCs w:val="18"/>
              </w:rPr>
              <w:t>phenomenolog</w:t>
            </w:r>
            <w:proofErr w:type="spellEnd"/>
            <w:r w:rsidRPr="00732EED">
              <w:rPr>
                <w:sz w:val="18"/>
                <w:szCs w:val="18"/>
              </w:rPr>
              <w:t>*:</w:t>
            </w:r>
            <w:proofErr w:type="spellStart"/>
            <w:r w:rsidRPr="00732EED">
              <w:rPr>
                <w:sz w:val="18"/>
                <w:szCs w:val="18"/>
              </w:rPr>
              <w:t>ti,ab</w:t>
            </w:r>
            <w:proofErr w:type="spellEnd"/>
            <w:r w:rsidRPr="00732EED">
              <w:rPr>
                <w:sz w:val="18"/>
                <w:szCs w:val="18"/>
              </w:rPr>
              <w:t>) AND (</w:t>
            </w:r>
            <w:proofErr w:type="spellStart"/>
            <w:r w:rsidRPr="00732EED">
              <w:rPr>
                <w:sz w:val="18"/>
                <w:szCs w:val="18"/>
              </w:rPr>
              <w:t>stigma:ti,ab</w:t>
            </w:r>
            <w:proofErr w:type="spellEnd"/>
            <w:r w:rsidRPr="00732EED">
              <w:rPr>
                <w:sz w:val="18"/>
                <w:szCs w:val="18"/>
              </w:rPr>
              <w:t xml:space="preserve"> OR </w:t>
            </w:r>
            <w:proofErr w:type="spellStart"/>
            <w:r w:rsidRPr="00732EED">
              <w:rPr>
                <w:sz w:val="18"/>
                <w:szCs w:val="18"/>
              </w:rPr>
              <w:t>stigmat</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"self-blame":</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blame:ti,ab</w:t>
            </w:r>
            <w:proofErr w:type="spellEnd"/>
            <w:r w:rsidRPr="00732EED">
              <w:rPr>
                <w:sz w:val="18"/>
                <w:szCs w:val="18"/>
              </w:rPr>
              <w:t xml:space="preserve"> OR </w:t>
            </w:r>
            <w:proofErr w:type="spellStart"/>
            <w:r w:rsidRPr="00732EED">
              <w:rPr>
                <w:sz w:val="18"/>
                <w:szCs w:val="18"/>
              </w:rPr>
              <w:t>guilt:ti,ab</w:t>
            </w:r>
            <w:proofErr w:type="spellEnd"/>
            <w:r w:rsidRPr="00732EED">
              <w:rPr>
                <w:sz w:val="18"/>
                <w:szCs w:val="18"/>
              </w:rPr>
              <w:t xml:space="preserve"> OR "body image":</w:t>
            </w:r>
            <w:proofErr w:type="spellStart"/>
            <w:r w:rsidRPr="00732EED">
              <w:rPr>
                <w:sz w:val="18"/>
                <w:szCs w:val="18"/>
              </w:rPr>
              <w:t>ti,ab</w:t>
            </w:r>
            <w:proofErr w:type="spellEnd"/>
            <w:r w:rsidRPr="00732EED">
              <w:rPr>
                <w:sz w:val="18"/>
                <w:szCs w:val="18"/>
              </w:rPr>
              <w:t xml:space="preserve"> OR "social </w:t>
            </w:r>
            <w:proofErr w:type="spellStart"/>
            <w:r w:rsidRPr="00732EED">
              <w:rPr>
                <w:sz w:val="18"/>
                <w:szCs w:val="18"/>
              </w:rPr>
              <w:t>isolat</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"lived experience":</w:t>
            </w:r>
            <w:proofErr w:type="spellStart"/>
            <w:r w:rsidRPr="00732EED">
              <w:rPr>
                <w:sz w:val="18"/>
                <w:szCs w:val="18"/>
              </w:rPr>
              <w:t>ti,ab</w:t>
            </w:r>
            <w:proofErr w:type="spellEnd"/>
            <w:r w:rsidRPr="00732EED">
              <w:rPr>
                <w:sz w:val="18"/>
                <w:szCs w:val="18"/>
              </w:rPr>
              <w:t xml:space="preserve"> OR "patient experience":</w:t>
            </w:r>
            <w:proofErr w:type="spellStart"/>
            <w:r w:rsidRPr="00732EED">
              <w:rPr>
                <w:sz w:val="18"/>
                <w:szCs w:val="18"/>
              </w:rPr>
              <w:t>ti,ab</w:t>
            </w:r>
            <w:proofErr w:type="spellEnd"/>
            <w:r w:rsidRPr="00732EED">
              <w:rPr>
                <w:sz w:val="18"/>
                <w:szCs w:val="18"/>
              </w:rPr>
              <w:t xml:space="preserve"> OR "pain </w:t>
            </w:r>
            <w:proofErr w:type="spellStart"/>
            <w:r w:rsidRPr="00732EED">
              <w:rPr>
                <w:sz w:val="18"/>
                <w:szCs w:val="18"/>
              </w:rPr>
              <w:t>invalidat</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discriminat</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prejudice:ti,ab</w:t>
            </w:r>
            <w:proofErr w:type="spellEnd"/>
            <w:r w:rsidRPr="00732EED">
              <w:rPr>
                <w:sz w:val="18"/>
                <w:szCs w:val="18"/>
              </w:rPr>
              <w:t>)</w:t>
            </w:r>
          </w:p>
        </w:tc>
      </w:tr>
      <w:tr w:rsidR="00F0458C" w:rsidRPr="00732EED" w14:paraId="297E9956"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36D998D5" w14:textId="78CD365B" w:rsidR="00F0458C" w:rsidRPr="00732EED" w:rsidRDefault="00F0458C" w:rsidP="00F0458C">
            <w:pPr>
              <w:rPr>
                <w:sz w:val="18"/>
                <w:szCs w:val="18"/>
              </w:rPr>
            </w:pPr>
            <w:r w:rsidRPr="00732EED">
              <w:rPr>
                <w:sz w:val="18"/>
                <w:szCs w:val="18"/>
              </w:rPr>
              <w:t>Embase</w:t>
            </w:r>
          </w:p>
        </w:tc>
        <w:tc>
          <w:tcPr>
            <w:tcW w:w="3555" w:type="dxa"/>
          </w:tcPr>
          <w:p w14:paraId="54C8F739" w14:textId="73AB3126" w:rsidR="00F0458C" w:rsidRPr="00732EED" w:rsidRDefault="00F0458C" w:rsidP="00F0458C">
            <w:pPr>
              <w:rPr>
                <w:sz w:val="18"/>
                <w:szCs w:val="18"/>
              </w:rPr>
            </w:pPr>
            <w:r w:rsidRPr="00732EED">
              <w:rPr>
                <w:sz w:val="18"/>
                <w:szCs w:val="18"/>
              </w:rPr>
              <w:t>THEORY/SYSTEMS</w:t>
            </w:r>
          </w:p>
        </w:tc>
        <w:tc>
          <w:tcPr>
            <w:tcW w:w="8080" w:type="dxa"/>
          </w:tcPr>
          <w:p w14:paraId="3CC1295D" w14:textId="7953530F" w:rsidR="00F0458C" w:rsidRPr="00732EED" w:rsidRDefault="00F0458C" w:rsidP="00F0458C">
            <w:pPr>
              <w:rPr>
                <w:sz w:val="18"/>
                <w:szCs w:val="18"/>
              </w:rPr>
            </w:pPr>
            <w:r w:rsidRPr="00732EED">
              <w:rPr>
                <w:sz w:val="18"/>
                <w:szCs w:val="18"/>
              </w:rPr>
              <w:t>("affordance theory":</w:t>
            </w:r>
            <w:proofErr w:type="spellStart"/>
            <w:r w:rsidRPr="00732EED">
              <w:rPr>
                <w:sz w:val="18"/>
                <w:szCs w:val="18"/>
              </w:rPr>
              <w:t>ti,ab</w:t>
            </w:r>
            <w:proofErr w:type="spellEnd"/>
            <w:r w:rsidRPr="00732EED">
              <w:rPr>
                <w:sz w:val="18"/>
                <w:szCs w:val="18"/>
              </w:rPr>
              <w:t xml:space="preserve"> OR "cultural </w:t>
            </w:r>
            <w:proofErr w:type="spellStart"/>
            <w:r w:rsidRPr="00732EED">
              <w:rPr>
                <w:sz w:val="18"/>
                <w:szCs w:val="18"/>
              </w:rPr>
              <w:t>affordanc</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phenomenolog</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ontology:ti,ab</w:t>
            </w:r>
            <w:proofErr w:type="spellEnd"/>
            <w:r w:rsidRPr="00732EED">
              <w:rPr>
                <w:sz w:val="18"/>
                <w:szCs w:val="18"/>
              </w:rPr>
              <w:t xml:space="preserve"> OR "illness </w:t>
            </w:r>
            <w:proofErr w:type="spellStart"/>
            <w:r w:rsidRPr="00732EED">
              <w:rPr>
                <w:sz w:val="18"/>
                <w:szCs w:val="18"/>
              </w:rPr>
              <w:t>ontolog</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"process </w:t>
            </w:r>
            <w:proofErr w:type="spellStart"/>
            <w:r w:rsidRPr="00732EED">
              <w:rPr>
                <w:sz w:val="18"/>
                <w:szCs w:val="18"/>
              </w:rPr>
              <w:t>ontolog</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"systems thinking":</w:t>
            </w:r>
            <w:proofErr w:type="spellStart"/>
            <w:r w:rsidRPr="00732EED">
              <w:rPr>
                <w:sz w:val="18"/>
                <w:szCs w:val="18"/>
              </w:rPr>
              <w:t>ti,ab</w:t>
            </w:r>
            <w:proofErr w:type="spellEnd"/>
            <w:r w:rsidRPr="00732EED">
              <w:rPr>
                <w:sz w:val="18"/>
                <w:szCs w:val="18"/>
              </w:rPr>
              <w:t xml:space="preserve"> OR "systems science":</w:t>
            </w:r>
            <w:proofErr w:type="spellStart"/>
            <w:r w:rsidRPr="00732EED">
              <w:rPr>
                <w:sz w:val="18"/>
                <w:szCs w:val="18"/>
              </w:rPr>
              <w:t>ti,ab</w:t>
            </w:r>
            <w:proofErr w:type="spellEnd"/>
            <w:r w:rsidRPr="00732EED">
              <w:rPr>
                <w:sz w:val="18"/>
                <w:szCs w:val="18"/>
              </w:rPr>
              <w:t xml:space="preserve"> OR "complexity science":</w:t>
            </w:r>
            <w:proofErr w:type="spellStart"/>
            <w:r w:rsidRPr="00732EED">
              <w:rPr>
                <w:sz w:val="18"/>
                <w:szCs w:val="18"/>
              </w:rPr>
              <w:t>ti,ab</w:t>
            </w:r>
            <w:proofErr w:type="spellEnd"/>
            <w:r w:rsidRPr="00732EED">
              <w:rPr>
                <w:sz w:val="18"/>
                <w:szCs w:val="18"/>
              </w:rPr>
              <w:t xml:space="preserve"> OR "complex systems":</w:t>
            </w:r>
            <w:proofErr w:type="spellStart"/>
            <w:r w:rsidRPr="00732EED">
              <w:rPr>
                <w:sz w:val="18"/>
                <w:szCs w:val="18"/>
              </w:rPr>
              <w:t>ti,ab</w:t>
            </w:r>
            <w:proofErr w:type="spellEnd"/>
            <w:r w:rsidRPr="00732EED">
              <w:rPr>
                <w:sz w:val="18"/>
                <w:szCs w:val="18"/>
              </w:rPr>
              <w:t xml:space="preserve"> OR "system dynamics":</w:t>
            </w:r>
            <w:proofErr w:type="spellStart"/>
            <w:r w:rsidRPr="00732EED">
              <w:rPr>
                <w:sz w:val="18"/>
                <w:szCs w:val="18"/>
              </w:rPr>
              <w:t>ti,ab</w:t>
            </w:r>
            <w:proofErr w:type="spellEnd"/>
            <w:r w:rsidRPr="00732EED">
              <w:rPr>
                <w:sz w:val="18"/>
                <w:szCs w:val="18"/>
              </w:rPr>
              <w:t xml:space="preserve"> OR "systems </w:t>
            </w:r>
            <w:proofErr w:type="spellStart"/>
            <w:r w:rsidRPr="00732EED">
              <w:rPr>
                <w:sz w:val="18"/>
                <w:szCs w:val="18"/>
              </w:rPr>
              <w:t>modell</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"social determinants":</w:t>
            </w:r>
            <w:proofErr w:type="spellStart"/>
            <w:r w:rsidRPr="00732EED">
              <w:rPr>
                <w:sz w:val="18"/>
                <w:szCs w:val="18"/>
              </w:rPr>
              <w:t>ti,ab</w:t>
            </w:r>
            <w:proofErr w:type="spellEnd"/>
            <w:r w:rsidRPr="00732EED">
              <w:rPr>
                <w:sz w:val="18"/>
                <w:szCs w:val="18"/>
              </w:rPr>
              <w:t xml:space="preserve"> OR "social determinants of health":</w:t>
            </w:r>
            <w:proofErr w:type="spellStart"/>
            <w:r w:rsidRPr="00732EED">
              <w:rPr>
                <w:sz w:val="18"/>
                <w:szCs w:val="18"/>
              </w:rPr>
              <w:t>ti,ab</w:t>
            </w:r>
            <w:proofErr w:type="spellEnd"/>
            <w:r w:rsidRPr="00732EED">
              <w:rPr>
                <w:sz w:val="18"/>
                <w:szCs w:val="18"/>
              </w:rPr>
              <w:t xml:space="preserve"> OR </w:t>
            </w:r>
            <w:proofErr w:type="spellStart"/>
            <w:r w:rsidRPr="00732EED">
              <w:rPr>
                <w:sz w:val="18"/>
                <w:szCs w:val="18"/>
              </w:rPr>
              <w:t>transdisciplin</w:t>
            </w:r>
            <w:proofErr w:type="spellEnd"/>
            <w:r w:rsidRPr="00732EED">
              <w:rPr>
                <w:sz w:val="18"/>
                <w:szCs w:val="18"/>
              </w:rPr>
              <w:t>*:</w:t>
            </w:r>
            <w:proofErr w:type="spellStart"/>
            <w:r w:rsidRPr="00732EED">
              <w:rPr>
                <w:sz w:val="18"/>
                <w:szCs w:val="18"/>
              </w:rPr>
              <w:t>ti,ab</w:t>
            </w:r>
            <w:proofErr w:type="spellEnd"/>
            <w:r w:rsidRPr="00732EED">
              <w:rPr>
                <w:sz w:val="18"/>
                <w:szCs w:val="18"/>
              </w:rPr>
              <w:t xml:space="preserve"> OR "participatory action research":</w:t>
            </w:r>
            <w:proofErr w:type="spellStart"/>
            <w:r w:rsidRPr="00732EED">
              <w:rPr>
                <w:sz w:val="18"/>
                <w:szCs w:val="18"/>
              </w:rPr>
              <w:t>ti,ab</w:t>
            </w:r>
            <w:proofErr w:type="spellEnd"/>
            <w:r w:rsidRPr="00732EED">
              <w:rPr>
                <w:sz w:val="18"/>
                <w:szCs w:val="18"/>
              </w:rPr>
              <w:t xml:space="preserve"> OR "knowledge integration":</w:t>
            </w:r>
            <w:proofErr w:type="spellStart"/>
            <w:r w:rsidRPr="00732EED">
              <w:rPr>
                <w:sz w:val="18"/>
                <w:szCs w:val="18"/>
              </w:rPr>
              <w:t>ti,ab</w:t>
            </w:r>
            <w:proofErr w:type="spellEnd"/>
            <w:r w:rsidRPr="00732EED">
              <w:rPr>
                <w:sz w:val="18"/>
                <w:szCs w:val="18"/>
              </w:rPr>
              <w:t>)</w:t>
            </w:r>
          </w:p>
        </w:tc>
      </w:tr>
      <w:tr w:rsidR="00F0458C" w:rsidRPr="00732EED" w14:paraId="1686BC8F" w14:textId="77777777" w:rsidTr="00535921">
        <w:tc>
          <w:tcPr>
            <w:tcW w:w="1260" w:type="dxa"/>
          </w:tcPr>
          <w:p w14:paraId="4E621301" w14:textId="49FC779D" w:rsidR="00F0458C" w:rsidRPr="00732EED" w:rsidRDefault="00F0458C" w:rsidP="00F0458C">
            <w:pPr>
              <w:rPr>
                <w:sz w:val="18"/>
                <w:szCs w:val="18"/>
              </w:rPr>
            </w:pPr>
            <w:r w:rsidRPr="00732EED">
              <w:rPr>
                <w:sz w:val="18"/>
                <w:szCs w:val="18"/>
              </w:rPr>
              <w:t>Embase</w:t>
            </w:r>
          </w:p>
        </w:tc>
        <w:tc>
          <w:tcPr>
            <w:tcW w:w="3555" w:type="dxa"/>
          </w:tcPr>
          <w:p w14:paraId="237FEE66" w14:textId="7585AEAE" w:rsidR="00F0458C" w:rsidRPr="00732EED" w:rsidRDefault="00F0458C" w:rsidP="00F0458C">
            <w:pPr>
              <w:rPr>
                <w:sz w:val="18"/>
                <w:szCs w:val="18"/>
              </w:rPr>
            </w:pPr>
            <w:r w:rsidRPr="00732EED">
              <w:rPr>
                <w:sz w:val="18"/>
                <w:szCs w:val="18"/>
              </w:rPr>
              <w:t>REVIEW / META SYNTHESIS</w:t>
            </w:r>
          </w:p>
        </w:tc>
        <w:tc>
          <w:tcPr>
            <w:tcW w:w="8080" w:type="dxa"/>
          </w:tcPr>
          <w:p w14:paraId="7DE97B25" w14:textId="248B3197" w:rsidR="00F0458C" w:rsidRPr="00732EED" w:rsidRDefault="00F0458C" w:rsidP="00F0458C">
            <w:pPr>
              <w:rPr>
                <w:sz w:val="18"/>
                <w:szCs w:val="18"/>
              </w:rPr>
            </w:pPr>
            <w:r w:rsidRPr="00732EED">
              <w:rPr>
                <w:sz w:val="18"/>
                <w:szCs w:val="18"/>
              </w:rPr>
              <w:t>("meta-</w:t>
            </w:r>
            <w:proofErr w:type="spellStart"/>
            <w:r w:rsidRPr="00732EED">
              <w:rPr>
                <w:sz w:val="18"/>
                <w:szCs w:val="18"/>
              </w:rPr>
              <w:t>ethnograph</w:t>
            </w:r>
            <w:proofErr w:type="spellEnd"/>
            <w:r w:rsidRPr="00732EED">
              <w:rPr>
                <w:sz w:val="18"/>
                <w:szCs w:val="18"/>
              </w:rPr>
              <w:t>*</w:t>
            </w:r>
            <w:proofErr w:type="gramStart"/>
            <w:r w:rsidRPr="00732EED">
              <w:rPr>
                <w:sz w:val="18"/>
                <w:szCs w:val="18"/>
              </w:rPr>
              <w:t>":</w:t>
            </w:r>
            <w:proofErr w:type="spellStart"/>
            <w:r w:rsidRPr="00732EED">
              <w:rPr>
                <w:sz w:val="18"/>
                <w:szCs w:val="18"/>
              </w:rPr>
              <w:t>ti</w:t>
            </w:r>
            <w:proofErr w:type="gramEnd"/>
            <w:r w:rsidRPr="00732EED">
              <w:rPr>
                <w:sz w:val="18"/>
                <w:szCs w:val="18"/>
              </w:rPr>
              <w:t>,ab</w:t>
            </w:r>
            <w:proofErr w:type="spellEnd"/>
            <w:r w:rsidRPr="00732EED">
              <w:rPr>
                <w:sz w:val="18"/>
                <w:szCs w:val="18"/>
              </w:rPr>
              <w:t xml:space="preserve"> OR "meta-synth*":</w:t>
            </w:r>
            <w:proofErr w:type="spellStart"/>
            <w:r w:rsidRPr="00732EED">
              <w:rPr>
                <w:sz w:val="18"/>
                <w:szCs w:val="18"/>
              </w:rPr>
              <w:t>ti,ab</w:t>
            </w:r>
            <w:proofErr w:type="spellEnd"/>
            <w:r w:rsidRPr="00732EED">
              <w:rPr>
                <w:sz w:val="18"/>
                <w:szCs w:val="18"/>
              </w:rPr>
              <w:t xml:space="preserve"> OR "meta-synthesis":</w:t>
            </w:r>
            <w:proofErr w:type="spellStart"/>
            <w:r w:rsidRPr="00732EED">
              <w:rPr>
                <w:sz w:val="18"/>
                <w:szCs w:val="18"/>
              </w:rPr>
              <w:t>ti,ab</w:t>
            </w:r>
            <w:proofErr w:type="spellEnd"/>
            <w:r w:rsidRPr="00732EED">
              <w:rPr>
                <w:sz w:val="18"/>
                <w:szCs w:val="18"/>
              </w:rPr>
              <w:t xml:space="preserve"> OR "meta-ethnography":</w:t>
            </w:r>
            <w:proofErr w:type="spellStart"/>
            <w:r w:rsidRPr="00732EED">
              <w:rPr>
                <w:sz w:val="18"/>
                <w:szCs w:val="18"/>
              </w:rPr>
              <w:t>ti,ab</w:t>
            </w:r>
            <w:proofErr w:type="spellEnd"/>
            <w:r w:rsidRPr="00732EED">
              <w:rPr>
                <w:sz w:val="18"/>
                <w:szCs w:val="18"/>
              </w:rPr>
              <w:t xml:space="preserve"> OR "thematic synthesis":</w:t>
            </w:r>
            <w:proofErr w:type="spellStart"/>
            <w:r w:rsidRPr="00732EED">
              <w:rPr>
                <w:sz w:val="18"/>
                <w:szCs w:val="18"/>
              </w:rPr>
              <w:t>ti,ab</w:t>
            </w:r>
            <w:proofErr w:type="spellEnd"/>
            <w:r w:rsidRPr="00732EED">
              <w:rPr>
                <w:sz w:val="18"/>
                <w:szCs w:val="18"/>
              </w:rPr>
              <w:t xml:space="preserve"> OR "critical interpretive synthesis":</w:t>
            </w:r>
            <w:proofErr w:type="spellStart"/>
            <w:r w:rsidRPr="00732EED">
              <w:rPr>
                <w:sz w:val="18"/>
                <w:szCs w:val="18"/>
              </w:rPr>
              <w:t>ti,ab</w:t>
            </w:r>
            <w:proofErr w:type="spellEnd"/>
            <w:r w:rsidRPr="00732EED">
              <w:rPr>
                <w:sz w:val="18"/>
                <w:szCs w:val="18"/>
              </w:rPr>
              <w:t>)</w:t>
            </w:r>
          </w:p>
        </w:tc>
      </w:tr>
      <w:tr w:rsidR="00F0458C" w:rsidRPr="00732EED" w14:paraId="0BAB605B"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0B85467E" w14:textId="489C43DF" w:rsidR="00F0458C" w:rsidRPr="00732EED" w:rsidRDefault="00F0458C" w:rsidP="00F0458C">
            <w:pPr>
              <w:rPr>
                <w:sz w:val="18"/>
                <w:szCs w:val="18"/>
              </w:rPr>
            </w:pPr>
            <w:r w:rsidRPr="00732EED">
              <w:rPr>
                <w:sz w:val="18"/>
                <w:szCs w:val="18"/>
              </w:rPr>
              <w:t>Scopus</w:t>
            </w:r>
          </w:p>
        </w:tc>
        <w:tc>
          <w:tcPr>
            <w:tcW w:w="3555" w:type="dxa"/>
          </w:tcPr>
          <w:p w14:paraId="12EDF8C3" w14:textId="2DE4A06C" w:rsidR="00F0458C" w:rsidRPr="00732EED" w:rsidRDefault="00F0458C" w:rsidP="00F0458C">
            <w:pPr>
              <w:rPr>
                <w:sz w:val="18"/>
                <w:szCs w:val="18"/>
              </w:rPr>
            </w:pPr>
            <w:r w:rsidRPr="00732EED">
              <w:rPr>
                <w:sz w:val="18"/>
                <w:szCs w:val="18"/>
              </w:rPr>
              <w:t>CORE (primary qualitative)</w:t>
            </w:r>
          </w:p>
        </w:tc>
        <w:tc>
          <w:tcPr>
            <w:tcW w:w="8080" w:type="dxa"/>
          </w:tcPr>
          <w:p w14:paraId="4E6D1207" w14:textId="4B43B33A" w:rsidR="00F0458C" w:rsidRPr="00732EED" w:rsidRDefault="00F0458C" w:rsidP="00F0458C">
            <w:pPr>
              <w:rPr>
                <w:sz w:val="18"/>
                <w:szCs w:val="18"/>
              </w:rPr>
            </w:pPr>
            <w:r w:rsidRPr="00732EED">
              <w:rPr>
                <w:sz w:val="18"/>
                <w:szCs w:val="18"/>
              </w:rPr>
              <w:t xml:space="preserve">TITLE-ABS-KEY(("chronic pain" OR "persistent pain" OR "musculoskeletal pain" OR neuropath* OR neuralgia* OR headache* OR fibromyalgia OR migraine* OR </w:t>
            </w:r>
            <w:proofErr w:type="spellStart"/>
            <w:r w:rsidRPr="00732EED">
              <w:rPr>
                <w:sz w:val="18"/>
                <w:szCs w:val="18"/>
              </w:rPr>
              <w:t>arthriti</w:t>
            </w:r>
            <w:proofErr w:type="spellEnd"/>
            <w:r w:rsidRPr="00732EED">
              <w:rPr>
                <w:sz w:val="18"/>
                <w:szCs w:val="18"/>
              </w:rPr>
              <w:t xml:space="preserve">* OR "back pain")) AND TITLE-ABS-KEY(("chronic illness" OR chronic OR ill* OR disease* OR "long-term" OR </w:t>
            </w:r>
            <w:proofErr w:type="spellStart"/>
            <w:r w:rsidRPr="00732EED">
              <w:rPr>
                <w:sz w:val="18"/>
                <w:szCs w:val="18"/>
              </w:rPr>
              <w:t>longterm</w:t>
            </w:r>
            <w:proofErr w:type="spellEnd"/>
            <w:r w:rsidRPr="00732EED">
              <w:rPr>
                <w:sz w:val="18"/>
                <w:szCs w:val="18"/>
              </w:rPr>
              <w:t xml:space="preserve"> OR recurrent* OR recur*)) AND TITLE-ABS-KEY((qualitative OR interview* OR "focus group*" OR </w:t>
            </w:r>
            <w:proofErr w:type="spellStart"/>
            <w:r w:rsidRPr="00732EED">
              <w:rPr>
                <w:sz w:val="18"/>
                <w:szCs w:val="18"/>
              </w:rPr>
              <w:t>ethnograph</w:t>
            </w:r>
            <w:proofErr w:type="spellEnd"/>
            <w:r w:rsidRPr="00732EED">
              <w:rPr>
                <w:sz w:val="18"/>
                <w:szCs w:val="18"/>
              </w:rPr>
              <w:t xml:space="preserve">* OR "thematic </w:t>
            </w:r>
            <w:proofErr w:type="spellStart"/>
            <w:r w:rsidRPr="00732EED">
              <w:rPr>
                <w:sz w:val="18"/>
                <w:szCs w:val="18"/>
              </w:rPr>
              <w:t>analys</w:t>
            </w:r>
            <w:proofErr w:type="spellEnd"/>
            <w:r w:rsidRPr="00732EED">
              <w:rPr>
                <w:sz w:val="18"/>
                <w:szCs w:val="18"/>
              </w:rPr>
              <w:t xml:space="preserve">*" OR "grounded theory" OR IPA OR </w:t>
            </w:r>
            <w:proofErr w:type="spellStart"/>
            <w:r w:rsidRPr="00732EED">
              <w:rPr>
                <w:sz w:val="18"/>
                <w:szCs w:val="18"/>
              </w:rPr>
              <w:t>phenomenolog</w:t>
            </w:r>
            <w:proofErr w:type="spellEnd"/>
            <w:r w:rsidRPr="00732EED">
              <w:rPr>
                <w:sz w:val="18"/>
                <w:szCs w:val="18"/>
              </w:rPr>
              <w:t xml:space="preserve">*)) AND TITLE-ABS-KEY((stigma OR </w:t>
            </w:r>
            <w:proofErr w:type="spellStart"/>
            <w:r w:rsidRPr="00732EED">
              <w:rPr>
                <w:sz w:val="18"/>
                <w:szCs w:val="18"/>
              </w:rPr>
              <w:t>stigmat</w:t>
            </w:r>
            <w:proofErr w:type="spellEnd"/>
            <w:r w:rsidRPr="00732EED">
              <w:rPr>
                <w:sz w:val="18"/>
                <w:szCs w:val="18"/>
              </w:rPr>
              <w:t xml:space="preserve">* OR "self-blame" OR blame OR guilt OR "body image" OR "social </w:t>
            </w:r>
            <w:proofErr w:type="spellStart"/>
            <w:r w:rsidRPr="00732EED">
              <w:rPr>
                <w:sz w:val="18"/>
                <w:szCs w:val="18"/>
              </w:rPr>
              <w:t>isolat</w:t>
            </w:r>
            <w:proofErr w:type="spellEnd"/>
            <w:r w:rsidRPr="00732EED">
              <w:rPr>
                <w:sz w:val="18"/>
                <w:szCs w:val="18"/>
              </w:rPr>
              <w:t xml:space="preserve">*" OR "lived experience" OR "patient experience" OR "pain </w:t>
            </w:r>
            <w:proofErr w:type="spellStart"/>
            <w:r w:rsidRPr="00732EED">
              <w:rPr>
                <w:sz w:val="18"/>
                <w:szCs w:val="18"/>
              </w:rPr>
              <w:t>invalidat</w:t>
            </w:r>
            <w:proofErr w:type="spellEnd"/>
            <w:r w:rsidRPr="00732EED">
              <w:rPr>
                <w:sz w:val="18"/>
                <w:szCs w:val="18"/>
              </w:rPr>
              <w:t xml:space="preserve">*" OR </w:t>
            </w:r>
            <w:proofErr w:type="spellStart"/>
            <w:r w:rsidRPr="00732EED">
              <w:rPr>
                <w:sz w:val="18"/>
                <w:szCs w:val="18"/>
              </w:rPr>
              <w:t>discriminat</w:t>
            </w:r>
            <w:proofErr w:type="spellEnd"/>
            <w:r w:rsidRPr="00732EED">
              <w:rPr>
                <w:sz w:val="18"/>
                <w:szCs w:val="18"/>
              </w:rPr>
              <w:t>* OR prejudice))</w:t>
            </w:r>
          </w:p>
        </w:tc>
      </w:tr>
      <w:tr w:rsidR="00F0458C" w:rsidRPr="00732EED" w14:paraId="10203B32" w14:textId="77777777" w:rsidTr="00535921">
        <w:tc>
          <w:tcPr>
            <w:tcW w:w="1260" w:type="dxa"/>
          </w:tcPr>
          <w:p w14:paraId="24B4A8C4" w14:textId="3F8BA270" w:rsidR="00F0458C" w:rsidRPr="00732EED" w:rsidRDefault="00F0458C" w:rsidP="00F0458C">
            <w:pPr>
              <w:rPr>
                <w:sz w:val="18"/>
                <w:szCs w:val="18"/>
              </w:rPr>
            </w:pPr>
            <w:r w:rsidRPr="00732EED">
              <w:rPr>
                <w:sz w:val="18"/>
                <w:szCs w:val="18"/>
              </w:rPr>
              <w:t>Scopus</w:t>
            </w:r>
          </w:p>
        </w:tc>
        <w:tc>
          <w:tcPr>
            <w:tcW w:w="3555" w:type="dxa"/>
          </w:tcPr>
          <w:p w14:paraId="41BB29D1" w14:textId="6AE38225" w:rsidR="00F0458C" w:rsidRPr="00732EED" w:rsidRDefault="00F0458C" w:rsidP="00F0458C">
            <w:pPr>
              <w:rPr>
                <w:sz w:val="18"/>
                <w:szCs w:val="18"/>
              </w:rPr>
            </w:pPr>
            <w:r w:rsidRPr="00732EED">
              <w:rPr>
                <w:sz w:val="18"/>
                <w:szCs w:val="18"/>
              </w:rPr>
              <w:t>THEORY/SYSTEMS</w:t>
            </w:r>
          </w:p>
        </w:tc>
        <w:tc>
          <w:tcPr>
            <w:tcW w:w="8080" w:type="dxa"/>
          </w:tcPr>
          <w:p w14:paraId="443FFCC2" w14:textId="0FBB03BF" w:rsidR="00F0458C" w:rsidRPr="00732EED" w:rsidRDefault="00F0458C" w:rsidP="00F0458C">
            <w:pPr>
              <w:rPr>
                <w:sz w:val="18"/>
                <w:szCs w:val="18"/>
              </w:rPr>
            </w:pPr>
            <w:r w:rsidRPr="00732EED">
              <w:rPr>
                <w:sz w:val="18"/>
                <w:szCs w:val="18"/>
              </w:rPr>
              <w:t>TITLE-ABS-</w:t>
            </w:r>
            <w:proofErr w:type="gramStart"/>
            <w:r w:rsidRPr="00732EED">
              <w:rPr>
                <w:sz w:val="18"/>
                <w:szCs w:val="18"/>
              </w:rPr>
              <w:t>KEY(</w:t>
            </w:r>
            <w:proofErr w:type="gramEnd"/>
            <w:r w:rsidRPr="00732EED">
              <w:rPr>
                <w:sz w:val="18"/>
                <w:szCs w:val="18"/>
              </w:rPr>
              <w:t xml:space="preserve">("affordance theory" OR "cultural </w:t>
            </w:r>
            <w:proofErr w:type="spellStart"/>
            <w:r w:rsidRPr="00732EED">
              <w:rPr>
                <w:sz w:val="18"/>
                <w:szCs w:val="18"/>
              </w:rPr>
              <w:t>affordanc</w:t>
            </w:r>
            <w:proofErr w:type="spellEnd"/>
            <w:r w:rsidRPr="00732EED">
              <w:rPr>
                <w:sz w:val="18"/>
                <w:szCs w:val="18"/>
              </w:rPr>
              <w:t xml:space="preserve">*" OR </w:t>
            </w:r>
            <w:proofErr w:type="spellStart"/>
            <w:r w:rsidRPr="00732EED">
              <w:rPr>
                <w:sz w:val="18"/>
                <w:szCs w:val="18"/>
              </w:rPr>
              <w:t>phenomenolog</w:t>
            </w:r>
            <w:proofErr w:type="spellEnd"/>
            <w:r w:rsidRPr="00732EED">
              <w:rPr>
                <w:sz w:val="18"/>
                <w:szCs w:val="18"/>
              </w:rPr>
              <w:t xml:space="preserve">* OR ontology OR "illness </w:t>
            </w:r>
            <w:proofErr w:type="spellStart"/>
            <w:r w:rsidRPr="00732EED">
              <w:rPr>
                <w:sz w:val="18"/>
                <w:szCs w:val="18"/>
              </w:rPr>
              <w:t>ontolog</w:t>
            </w:r>
            <w:proofErr w:type="spellEnd"/>
            <w:r w:rsidRPr="00732EED">
              <w:rPr>
                <w:sz w:val="18"/>
                <w:szCs w:val="18"/>
              </w:rPr>
              <w:t xml:space="preserve">*" OR "systems thinking" OR "systems science" OR "complexity science" OR "complex </w:t>
            </w:r>
            <w:r w:rsidRPr="00732EED">
              <w:rPr>
                <w:sz w:val="18"/>
                <w:szCs w:val="18"/>
              </w:rPr>
              <w:lastRenderedPageBreak/>
              <w:t xml:space="preserve">systems" OR "system dynamics" OR "systems </w:t>
            </w:r>
            <w:proofErr w:type="spellStart"/>
            <w:r w:rsidRPr="00732EED">
              <w:rPr>
                <w:sz w:val="18"/>
                <w:szCs w:val="18"/>
              </w:rPr>
              <w:t>modell</w:t>
            </w:r>
            <w:proofErr w:type="spellEnd"/>
            <w:r w:rsidRPr="00732EED">
              <w:rPr>
                <w:sz w:val="18"/>
                <w:szCs w:val="18"/>
              </w:rPr>
              <w:t xml:space="preserve">*" OR "social determinants" OR </w:t>
            </w:r>
            <w:proofErr w:type="spellStart"/>
            <w:r w:rsidRPr="00732EED">
              <w:rPr>
                <w:sz w:val="18"/>
                <w:szCs w:val="18"/>
              </w:rPr>
              <w:t>transdisciplin</w:t>
            </w:r>
            <w:proofErr w:type="spellEnd"/>
            <w:r w:rsidRPr="00732EED">
              <w:rPr>
                <w:sz w:val="18"/>
                <w:szCs w:val="18"/>
              </w:rPr>
              <w:t>* OR "participatory action research" OR "knowledge integration"))</w:t>
            </w:r>
          </w:p>
        </w:tc>
      </w:tr>
      <w:tr w:rsidR="00F0458C" w:rsidRPr="00732EED" w14:paraId="6EE0E144"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07AFC429" w14:textId="442EF04E" w:rsidR="00F0458C" w:rsidRPr="00732EED" w:rsidRDefault="00F0458C" w:rsidP="00F0458C">
            <w:pPr>
              <w:rPr>
                <w:sz w:val="18"/>
                <w:szCs w:val="18"/>
              </w:rPr>
            </w:pPr>
            <w:r w:rsidRPr="00732EED">
              <w:rPr>
                <w:sz w:val="18"/>
                <w:szCs w:val="18"/>
              </w:rPr>
              <w:lastRenderedPageBreak/>
              <w:t>Scopus</w:t>
            </w:r>
          </w:p>
        </w:tc>
        <w:tc>
          <w:tcPr>
            <w:tcW w:w="3555" w:type="dxa"/>
          </w:tcPr>
          <w:p w14:paraId="7D050DB7" w14:textId="57C5AAE3" w:rsidR="00F0458C" w:rsidRPr="00732EED" w:rsidRDefault="00F0458C" w:rsidP="00F0458C">
            <w:pPr>
              <w:rPr>
                <w:sz w:val="18"/>
                <w:szCs w:val="18"/>
              </w:rPr>
            </w:pPr>
            <w:r w:rsidRPr="00732EED">
              <w:rPr>
                <w:sz w:val="18"/>
                <w:szCs w:val="18"/>
              </w:rPr>
              <w:t>REVIEW / META SYNTHESIS</w:t>
            </w:r>
          </w:p>
        </w:tc>
        <w:tc>
          <w:tcPr>
            <w:tcW w:w="8080" w:type="dxa"/>
          </w:tcPr>
          <w:p w14:paraId="45EC27DB" w14:textId="5539BC67" w:rsidR="00F0458C" w:rsidRPr="00732EED" w:rsidRDefault="00F0458C" w:rsidP="00F0458C">
            <w:pPr>
              <w:rPr>
                <w:sz w:val="18"/>
                <w:szCs w:val="18"/>
              </w:rPr>
            </w:pPr>
            <w:r w:rsidRPr="00732EED">
              <w:rPr>
                <w:sz w:val="18"/>
                <w:szCs w:val="18"/>
              </w:rPr>
              <w:t>TITLE-ABS-</w:t>
            </w:r>
            <w:proofErr w:type="gramStart"/>
            <w:r w:rsidRPr="00732EED">
              <w:rPr>
                <w:sz w:val="18"/>
                <w:szCs w:val="18"/>
              </w:rPr>
              <w:t>KEY(</w:t>
            </w:r>
            <w:proofErr w:type="gramEnd"/>
            <w:r w:rsidRPr="00732EED">
              <w:rPr>
                <w:sz w:val="18"/>
                <w:szCs w:val="18"/>
              </w:rPr>
              <w:t>("meta-</w:t>
            </w:r>
            <w:proofErr w:type="spellStart"/>
            <w:r w:rsidRPr="00732EED">
              <w:rPr>
                <w:sz w:val="18"/>
                <w:szCs w:val="18"/>
              </w:rPr>
              <w:t>ethnograph</w:t>
            </w:r>
            <w:proofErr w:type="spellEnd"/>
            <w:r w:rsidRPr="00732EED">
              <w:rPr>
                <w:sz w:val="18"/>
                <w:szCs w:val="18"/>
              </w:rPr>
              <w:t>*" OR "meta-synth*" OR "meta-synthesis" OR "meta-ethnography" OR "thematic synthesis" OR "critical interpretive synthesis"))</w:t>
            </w:r>
          </w:p>
        </w:tc>
      </w:tr>
      <w:tr w:rsidR="00F0458C" w:rsidRPr="00732EED" w14:paraId="4B6DF9A3" w14:textId="77777777" w:rsidTr="00535921">
        <w:tc>
          <w:tcPr>
            <w:tcW w:w="1260" w:type="dxa"/>
          </w:tcPr>
          <w:p w14:paraId="6F1ABDF3" w14:textId="550ED29B" w:rsidR="00F0458C" w:rsidRPr="00732EED" w:rsidRDefault="00F0458C" w:rsidP="00F0458C">
            <w:pPr>
              <w:rPr>
                <w:sz w:val="18"/>
                <w:szCs w:val="18"/>
              </w:rPr>
            </w:pPr>
            <w:r w:rsidRPr="00732EED">
              <w:rPr>
                <w:sz w:val="18"/>
                <w:szCs w:val="18"/>
              </w:rPr>
              <w:t>Web of Science</w:t>
            </w:r>
          </w:p>
        </w:tc>
        <w:tc>
          <w:tcPr>
            <w:tcW w:w="3555" w:type="dxa"/>
          </w:tcPr>
          <w:p w14:paraId="6FF6102E" w14:textId="34B26FD5" w:rsidR="00F0458C" w:rsidRPr="00732EED" w:rsidRDefault="00F0458C" w:rsidP="00F0458C">
            <w:pPr>
              <w:rPr>
                <w:sz w:val="18"/>
                <w:szCs w:val="18"/>
              </w:rPr>
            </w:pPr>
            <w:r w:rsidRPr="00732EED">
              <w:rPr>
                <w:sz w:val="18"/>
                <w:szCs w:val="18"/>
              </w:rPr>
              <w:t>CORE (primary qualitative)</w:t>
            </w:r>
          </w:p>
        </w:tc>
        <w:tc>
          <w:tcPr>
            <w:tcW w:w="8080" w:type="dxa"/>
          </w:tcPr>
          <w:p w14:paraId="4DD7AD1F" w14:textId="22E2B233" w:rsidR="00F0458C" w:rsidRPr="00732EED" w:rsidRDefault="00F0458C" w:rsidP="00F0458C">
            <w:pPr>
              <w:rPr>
                <w:sz w:val="18"/>
                <w:szCs w:val="18"/>
              </w:rPr>
            </w:pPr>
            <w:r w:rsidRPr="00732EED">
              <w:rPr>
                <w:sz w:val="18"/>
                <w:szCs w:val="18"/>
              </w:rPr>
              <w:t xml:space="preserve">TS=(("chronic pain" OR "persistent pain" OR "musculoskeletal pain" OR neuropath* OR neuralgia* OR headache* OR fibromyalgia OR migraine* OR </w:t>
            </w:r>
            <w:proofErr w:type="spellStart"/>
            <w:r w:rsidRPr="00732EED">
              <w:rPr>
                <w:sz w:val="18"/>
                <w:szCs w:val="18"/>
              </w:rPr>
              <w:t>arthriti</w:t>
            </w:r>
            <w:proofErr w:type="spellEnd"/>
            <w:r w:rsidRPr="00732EED">
              <w:rPr>
                <w:sz w:val="18"/>
                <w:szCs w:val="18"/>
              </w:rPr>
              <w:t xml:space="preserve">* OR "back pain") AND ("chronic illness" OR chronic OR ill* OR disease* OR "long-term" OR </w:t>
            </w:r>
            <w:proofErr w:type="spellStart"/>
            <w:r w:rsidRPr="00732EED">
              <w:rPr>
                <w:sz w:val="18"/>
                <w:szCs w:val="18"/>
              </w:rPr>
              <w:t>longterm</w:t>
            </w:r>
            <w:proofErr w:type="spellEnd"/>
            <w:r w:rsidRPr="00732EED">
              <w:rPr>
                <w:sz w:val="18"/>
                <w:szCs w:val="18"/>
              </w:rPr>
              <w:t xml:space="preserve"> OR recurrent* OR recur*) AND (qualitative OR interview* OR "focus group*" OR </w:t>
            </w:r>
            <w:proofErr w:type="spellStart"/>
            <w:r w:rsidRPr="00732EED">
              <w:rPr>
                <w:sz w:val="18"/>
                <w:szCs w:val="18"/>
              </w:rPr>
              <w:t>ethnograph</w:t>
            </w:r>
            <w:proofErr w:type="spellEnd"/>
            <w:r w:rsidRPr="00732EED">
              <w:rPr>
                <w:sz w:val="18"/>
                <w:szCs w:val="18"/>
              </w:rPr>
              <w:t xml:space="preserve">* OR "thematic </w:t>
            </w:r>
            <w:proofErr w:type="spellStart"/>
            <w:r w:rsidRPr="00732EED">
              <w:rPr>
                <w:sz w:val="18"/>
                <w:szCs w:val="18"/>
              </w:rPr>
              <w:t>analys</w:t>
            </w:r>
            <w:proofErr w:type="spellEnd"/>
            <w:r w:rsidRPr="00732EED">
              <w:rPr>
                <w:sz w:val="18"/>
                <w:szCs w:val="18"/>
              </w:rPr>
              <w:t xml:space="preserve">*" OR "grounded theory" OR IPA OR </w:t>
            </w:r>
            <w:proofErr w:type="spellStart"/>
            <w:r w:rsidRPr="00732EED">
              <w:rPr>
                <w:sz w:val="18"/>
                <w:szCs w:val="18"/>
              </w:rPr>
              <w:t>phenomenolog</w:t>
            </w:r>
            <w:proofErr w:type="spellEnd"/>
            <w:r w:rsidRPr="00732EED">
              <w:rPr>
                <w:sz w:val="18"/>
                <w:szCs w:val="18"/>
              </w:rPr>
              <w:t xml:space="preserve">*) AND (stigma OR </w:t>
            </w:r>
            <w:proofErr w:type="spellStart"/>
            <w:r w:rsidRPr="00732EED">
              <w:rPr>
                <w:sz w:val="18"/>
                <w:szCs w:val="18"/>
              </w:rPr>
              <w:t>stigmat</w:t>
            </w:r>
            <w:proofErr w:type="spellEnd"/>
            <w:r w:rsidRPr="00732EED">
              <w:rPr>
                <w:sz w:val="18"/>
                <w:szCs w:val="18"/>
              </w:rPr>
              <w:t xml:space="preserve">* OR "self-blame" OR blame OR guilt OR "body image" OR "social </w:t>
            </w:r>
            <w:proofErr w:type="spellStart"/>
            <w:r w:rsidRPr="00732EED">
              <w:rPr>
                <w:sz w:val="18"/>
                <w:szCs w:val="18"/>
              </w:rPr>
              <w:t>isolat</w:t>
            </w:r>
            <w:proofErr w:type="spellEnd"/>
            <w:r w:rsidRPr="00732EED">
              <w:rPr>
                <w:sz w:val="18"/>
                <w:szCs w:val="18"/>
              </w:rPr>
              <w:t xml:space="preserve">*" OR "lived experience" OR "patient experience" OR "pain </w:t>
            </w:r>
            <w:proofErr w:type="spellStart"/>
            <w:r w:rsidRPr="00732EED">
              <w:rPr>
                <w:sz w:val="18"/>
                <w:szCs w:val="18"/>
              </w:rPr>
              <w:t>invalidat</w:t>
            </w:r>
            <w:proofErr w:type="spellEnd"/>
            <w:r w:rsidRPr="00732EED">
              <w:rPr>
                <w:sz w:val="18"/>
                <w:szCs w:val="18"/>
              </w:rPr>
              <w:t xml:space="preserve">*" OR </w:t>
            </w:r>
            <w:proofErr w:type="spellStart"/>
            <w:r w:rsidRPr="00732EED">
              <w:rPr>
                <w:sz w:val="18"/>
                <w:szCs w:val="18"/>
              </w:rPr>
              <w:t>discriminat</w:t>
            </w:r>
            <w:proofErr w:type="spellEnd"/>
            <w:r w:rsidRPr="00732EED">
              <w:rPr>
                <w:sz w:val="18"/>
                <w:szCs w:val="18"/>
              </w:rPr>
              <w:t>* OR prejudice))</w:t>
            </w:r>
          </w:p>
        </w:tc>
      </w:tr>
      <w:tr w:rsidR="00F0458C" w:rsidRPr="00732EED" w14:paraId="02F13512"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3B27C84D" w14:textId="7A8DA97C" w:rsidR="00F0458C" w:rsidRPr="00732EED" w:rsidRDefault="00F0458C" w:rsidP="00F0458C">
            <w:pPr>
              <w:rPr>
                <w:sz w:val="18"/>
                <w:szCs w:val="18"/>
              </w:rPr>
            </w:pPr>
            <w:r w:rsidRPr="00732EED">
              <w:rPr>
                <w:sz w:val="18"/>
                <w:szCs w:val="18"/>
              </w:rPr>
              <w:t>Web of Science</w:t>
            </w:r>
          </w:p>
        </w:tc>
        <w:tc>
          <w:tcPr>
            <w:tcW w:w="3555" w:type="dxa"/>
          </w:tcPr>
          <w:p w14:paraId="003C1508" w14:textId="27ABF1DD" w:rsidR="00F0458C" w:rsidRPr="00732EED" w:rsidRDefault="00F0458C" w:rsidP="00F0458C">
            <w:pPr>
              <w:rPr>
                <w:sz w:val="18"/>
                <w:szCs w:val="18"/>
              </w:rPr>
            </w:pPr>
            <w:r w:rsidRPr="00732EED">
              <w:rPr>
                <w:sz w:val="18"/>
                <w:szCs w:val="18"/>
              </w:rPr>
              <w:t>THEORY/SYSTEMS</w:t>
            </w:r>
          </w:p>
        </w:tc>
        <w:tc>
          <w:tcPr>
            <w:tcW w:w="8080" w:type="dxa"/>
          </w:tcPr>
          <w:p w14:paraId="1BFF8C54" w14:textId="2E016DAB" w:rsidR="00F0458C" w:rsidRPr="00732EED" w:rsidRDefault="00F0458C" w:rsidP="00F0458C">
            <w:pPr>
              <w:rPr>
                <w:sz w:val="18"/>
                <w:szCs w:val="18"/>
              </w:rPr>
            </w:pPr>
            <w:r w:rsidRPr="00732EED">
              <w:rPr>
                <w:sz w:val="18"/>
                <w:szCs w:val="18"/>
              </w:rPr>
              <w:t>TS</w:t>
            </w:r>
            <w:proofErr w:type="gramStart"/>
            <w:r w:rsidRPr="00732EED">
              <w:rPr>
                <w:sz w:val="18"/>
                <w:szCs w:val="18"/>
              </w:rPr>
              <w:t>=(</w:t>
            </w:r>
            <w:proofErr w:type="gramEnd"/>
            <w:r w:rsidRPr="00732EED">
              <w:rPr>
                <w:sz w:val="18"/>
                <w:szCs w:val="18"/>
              </w:rPr>
              <w:t xml:space="preserve">("affordance theory" OR "cultural </w:t>
            </w:r>
            <w:proofErr w:type="spellStart"/>
            <w:r w:rsidRPr="00732EED">
              <w:rPr>
                <w:sz w:val="18"/>
                <w:szCs w:val="18"/>
              </w:rPr>
              <w:t>affordanc</w:t>
            </w:r>
            <w:proofErr w:type="spellEnd"/>
            <w:r w:rsidRPr="00732EED">
              <w:rPr>
                <w:sz w:val="18"/>
                <w:szCs w:val="18"/>
              </w:rPr>
              <w:t xml:space="preserve">*" OR </w:t>
            </w:r>
            <w:proofErr w:type="spellStart"/>
            <w:r w:rsidRPr="00732EED">
              <w:rPr>
                <w:sz w:val="18"/>
                <w:szCs w:val="18"/>
              </w:rPr>
              <w:t>phenomenolog</w:t>
            </w:r>
            <w:proofErr w:type="spellEnd"/>
            <w:r w:rsidRPr="00732EED">
              <w:rPr>
                <w:sz w:val="18"/>
                <w:szCs w:val="18"/>
              </w:rPr>
              <w:t xml:space="preserve">* OR ontology OR "illness </w:t>
            </w:r>
            <w:proofErr w:type="spellStart"/>
            <w:r w:rsidRPr="00732EED">
              <w:rPr>
                <w:sz w:val="18"/>
                <w:szCs w:val="18"/>
              </w:rPr>
              <w:t>ontolog</w:t>
            </w:r>
            <w:proofErr w:type="spellEnd"/>
            <w:r w:rsidRPr="00732EED">
              <w:rPr>
                <w:sz w:val="18"/>
                <w:szCs w:val="18"/>
              </w:rPr>
              <w:t xml:space="preserve">*" OR "systems thinking" OR "systems science" OR "complexity science" OR "complex systems" OR "system dynamics" OR "systems </w:t>
            </w:r>
            <w:proofErr w:type="spellStart"/>
            <w:r w:rsidRPr="00732EED">
              <w:rPr>
                <w:sz w:val="18"/>
                <w:szCs w:val="18"/>
              </w:rPr>
              <w:t>modell</w:t>
            </w:r>
            <w:proofErr w:type="spellEnd"/>
            <w:r w:rsidRPr="00732EED">
              <w:rPr>
                <w:sz w:val="18"/>
                <w:szCs w:val="18"/>
              </w:rPr>
              <w:t xml:space="preserve">*" OR "social determinants" OR </w:t>
            </w:r>
            <w:proofErr w:type="spellStart"/>
            <w:r w:rsidRPr="00732EED">
              <w:rPr>
                <w:sz w:val="18"/>
                <w:szCs w:val="18"/>
              </w:rPr>
              <w:t>transdisciplin</w:t>
            </w:r>
            <w:proofErr w:type="spellEnd"/>
            <w:r w:rsidRPr="00732EED">
              <w:rPr>
                <w:sz w:val="18"/>
                <w:szCs w:val="18"/>
              </w:rPr>
              <w:t>* OR "participatory action research" OR "knowledge integration"))</w:t>
            </w:r>
          </w:p>
        </w:tc>
      </w:tr>
      <w:tr w:rsidR="00F0458C" w:rsidRPr="00732EED" w14:paraId="249FAA61" w14:textId="77777777" w:rsidTr="00535921">
        <w:tc>
          <w:tcPr>
            <w:tcW w:w="1260" w:type="dxa"/>
          </w:tcPr>
          <w:p w14:paraId="3E8065D3" w14:textId="1C580622" w:rsidR="00F0458C" w:rsidRPr="00732EED" w:rsidRDefault="00F0458C" w:rsidP="00F0458C">
            <w:pPr>
              <w:rPr>
                <w:sz w:val="18"/>
                <w:szCs w:val="18"/>
              </w:rPr>
            </w:pPr>
            <w:r w:rsidRPr="00732EED">
              <w:rPr>
                <w:sz w:val="18"/>
                <w:szCs w:val="18"/>
              </w:rPr>
              <w:t>Web of Science</w:t>
            </w:r>
          </w:p>
        </w:tc>
        <w:tc>
          <w:tcPr>
            <w:tcW w:w="3555" w:type="dxa"/>
          </w:tcPr>
          <w:p w14:paraId="5ECF127D" w14:textId="77F01759" w:rsidR="00F0458C" w:rsidRPr="00732EED" w:rsidRDefault="00F0458C" w:rsidP="00F0458C">
            <w:pPr>
              <w:rPr>
                <w:sz w:val="18"/>
                <w:szCs w:val="18"/>
              </w:rPr>
            </w:pPr>
            <w:r w:rsidRPr="00732EED">
              <w:rPr>
                <w:sz w:val="18"/>
                <w:szCs w:val="18"/>
              </w:rPr>
              <w:t>REVIEW / META SYNTHESIS</w:t>
            </w:r>
          </w:p>
        </w:tc>
        <w:tc>
          <w:tcPr>
            <w:tcW w:w="8080" w:type="dxa"/>
          </w:tcPr>
          <w:p w14:paraId="49052026" w14:textId="50BC98BB" w:rsidR="00F0458C" w:rsidRPr="00732EED" w:rsidRDefault="00F0458C" w:rsidP="00F0458C">
            <w:pPr>
              <w:rPr>
                <w:sz w:val="18"/>
                <w:szCs w:val="18"/>
              </w:rPr>
            </w:pPr>
            <w:r w:rsidRPr="00732EED">
              <w:rPr>
                <w:sz w:val="18"/>
                <w:szCs w:val="18"/>
              </w:rPr>
              <w:t>TS</w:t>
            </w:r>
            <w:proofErr w:type="gramStart"/>
            <w:r w:rsidRPr="00732EED">
              <w:rPr>
                <w:sz w:val="18"/>
                <w:szCs w:val="18"/>
              </w:rPr>
              <w:t>=(</w:t>
            </w:r>
            <w:proofErr w:type="gramEnd"/>
            <w:r w:rsidRPr="00732EED">
              <w:rPr>
                <w:sz w:val="18"/>
                <w:szCs w:val="18"/>
              </w:rPr>
              <w:t>("meta-</w:t>
            </w:r>
            <w:proofErr w:type="spellStart"/>
            <w:r w:rsidRPr="00732EED">
              <w:rPr>
                <w:sz w:val="18"/>
                <w:szCs w:val="18"/>
              </w:rPr>
              <w:t>ethnograph</w:t>
            </w:r>
            <w:proofErr w:type="spellEnd"/>
            <w:r w:rsidRPr="00732EED">
              <w:rPr>
                <w:sz w:val="18"/>
                <w:szCs w:val="18"/>
              </w:rPr>
              <w:t>*" OR "meta-synth*" OR "meta-synthesis" OR "meta-ethnography" OR "thematic synthesis" OR "critical interpretive synthesis"))</w:t>
            </w:r>
          </w:p>
        </w:tc>
      </w:tr>
      <w:tr w:rsidR="00F0458C" w:rsidRPr="00732EED" w14:paraId="28C52848"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7289E0BC" w14:textId="1A965FB2" w:rsidR="00F0458C" w:rsidRPr="00732EED" w:rsidRDefault="00F0458C" w:rsidP="00F0458C">
            <w:pPr>
              <w:rPr>
                <w:sz w:val="18"/>
                <w:szCs w:val="18"/>
              </w:rPr>
            </w:pPr>
            <w:r w:rsidRPr="00732EED">
              <w:rPr>
                <w:sz w:val="18"/>
                <w:szCs w:val="18"/>
              </w:rPr>
              <w:t>Google Scholar</w:t>
            </w:r>
          </w:p>
        </w:tc>
        <w:tc>
          <w:tcPr>
            <w:tcW w:w="3555" w:type="dxa"/>
          </w:tcPr>
          <w:p w14:paraId="2E7F92A5" w14:textId="71E7A6EF" w:rsidR="00F0458C" w:rsidRPr="00732EED" w:rsidRDefault="00F0458C" w:rsidP="00F0458C">
            <w:pPr>
              <w:rPr>
                <w:sz w:val="18"/>
                <w:szCs w:val="18"/>
              </w:rPr>
            </w:pPr>
          </w:p>
        </w:tc>
        <w:tc>
          <w:tcPr>
            <w:tcW w:w="8080" w:type="dxa"/>
          </w:tcPr>
          <w:p w14:paraId="366D1138" w14:textId="77777777" w:rsidR="00F0458C" w:rsidRPr="00732EED" w:rsidRDefault="00F0458C" w:rsidP="00F0458C">
            <w:pPr>
              <w:rPr>
                <w:sz w:val="18"/>
                <w:szCs w:val="18"/>
              </w:rPr>
            </w:pPr>
            <w:r w:rsidRPr="00732EED">
              <w:rPr>
                <w:sz w:val="18"/>
                <w:szCs w:val="18"/>
              </w:rPr>
              <w:t>"</w:t>
            </w:r>
            <w:proofErr w:type="gramStart"/>
            <w:r w:rsidRPr="00732EED">
              <w:rPr>
                <w:sz w:val="18"/>
                <w:szCs w:val="18"/>
              </w:rPr>
              <w:t>chronic</w:t>
            </w:r>
            <w:proofErr w:type="gramEnd"/>
            <w:r w:rsidRPr="00732EED">
              <w:rPr>
                <w:sz w:val="18"/>
                <w:szCs w:val="18"/>
              </w:rPr>
              <w:t xml:space="preserve"> pain" OR "persistent pain" OR fibromyalgia OR migraine OR "back pain" "chronic illness" qualitative OR interview OR "focus group"</w:t>
            </w:r>
          </w:p>
          <w:p w14:paraId="113A67E4" w14:textId="77777777" w:rsidR="00F0458C" w:rsidRPr="00732EED" w:rsidRDefault="00F0458C" w:rsidP="00F0458C">
            <w:pPr>
              <w:rPr>
                <w:sz w:val="18"/>
                <w:szCs w:val="18"/>
              </w:rPr>
            </w:pPr>
            <w:r w:rsidRPr="00732EED">
              <w:rPr>
                <w:sz w:val="18"/>
                <w:szCs w:val="18"/>
              </w:rPr>
              <w:t>("chronic pain" OR "persistent pain") (stigma OR "self-blame" OR "pain invalidation" OR discrimination OR "social isolation" OR "body image") qualitative</w:t>
            </w:r>
          </w:p>
          <w:p w14:paraId="08B04171" w14:textId="77777777" w:rsidR="00F0458C" w:rsidRPr="00732EED" w:rsidRDefault="00F0458C" w:rsidP="00F0458C">
            <w:pPr>
              <w:rPr>
                <w:sz w:val="18"/>
                <w:szCs w:val="18"/>
              </w:rPr>
            </w:pPr>
            <w:r w:rsidRPr="00732EED">
              <w:rPr>
                <w:sz w:val="18"/>
                <w:szCs w:val="18"/>
              </w:rPr>
              <w:t>("chronic pain" OR "chronic illness") ("affordance theory" OR phenomenology OR ontology OR "systems thinking" OR "complexity science" OR "social determinants") qualitative</w:t>
            </w:r>
          </w:p>
          <w:p w14:paraId="6CCB3496" w14:textId="77777777" w:rsidR="00F0458C" w:rsidRPr="00732EED" w:rsidRDefault="00F0458C" w:rsidP="00F0458C">
            <w:pPr>
              <w:rPr>
                <w:sz w:val="18"/>
                <w:szCs w:val="18"/>
              </w:rPr>
            </w:pPr>
            <w:r w:rsidRPr="00732EED">
              <w:rPr>
                <w:sz w:val="18"/>
                <w:szCs w:val="18"/>
              </w:rPr>
              <w:t>("chronic pain" OR "chronic illness") ("meta-ethnography" OR "meta-synthesis" OR "thematic synthesis" OR "meta-synth*")</w:t>
            </w:r>
          </w:p>
          <w:p w14:paraId="4AAD4299" w14:textId="77777777" w:rsidR="00F0458C" w:rsidRPr="00732EED" w:rsidRDefault="00F0458C" w:rsidP="00F0458C">
            <w:pPr>
              <w:rPr>
                <w:sz w:val="18"/>
                <w:szCs w:val="18"/>
              </w:rPr>
            </w:pPr>
            <w:r w:rsidRPr="00732EED">
              <w:rPr>
                <w:sz w:val="18"/>
                <w:szCs w:val="18"/>
              </w:rPr>
              <w:t>("fibromyalgia" OR "chronic low back pain" OR "chronic migraine" OR "neuropathic pain") qualitative</w:t>
            </w:r>
          </w:p>
          <w:p w14:paraId="73E0B4D5" w14:textId="77777777" w:rsidR="00F0458C" w:rsidRPr="00732EED" w:rsidRDefault="00F0458C" w:rsidP="00F0458C">
            <w:pPr>
              <w:rPr>
                <w:sz w:val="18"/>
                <w:szCs w:val="18"/>
              </w:rPr>
            </w:pPr>
            <w:r w:rsidRPr="00732EED">
              <w:rPr>
                <w:sz w:val="18"/>
                <w:szCs w:val="18"/>
              </w:rPr>
              <w:t>("chronic pain" OR "chronic illness") (gender OR sex OR age OR ethnicity OR socioeconomic OR rural OR urban) qualitative</w:t>
            </w:r>
          </w:p>
          <w:p w14:paraId="6F2991A4" w14:textId="5EFC07B9" w:rsidR="00F0458C" w:rsidRPr="00732EED" w:rsidRDefault="00F0458C" w:rsidP="00F0458C">
            <w:pPr>
              <w:rPr>
                <w:sz w:val="18"/>
                <w:szCs w:val="18"/>
              </w:rPr>
            </w:pPr>
            <w:r w:rsidRPr="00732EED">
              <w:rPr>
                <w:sz w:val="18"/>
                <w:szCs w:val="18"/>
              </w:rPr>
              <w:t>("chronic pain" OR "persistent pain") ("patient experience" OR report OR policy OR "real-world laboratory" OR "knowledge integration")</w:t>
            </w:r>
          </w:p>
        </w:tc>
      </w:tr>
      <w:tr w:rsidR="00F0458C" w:rsidRPr="00732EED" w14:paraId="7DE723B2" w14:textId="77777777" w:rsidTr="00535921">
        <w:tc>
          <w:tcPr>
            <w:tcW w:w="1260" w:type="dxa"/>
          </w:tcPr>
          <w:p w14:paraId="7CE6C40E" w14:textId="27516AB0" w:rsidR="00F0458C" w:rsidRPr="00732EED" w:rsidRDefault="00F0458C" w:rsidP="00F0458C">
            <w:pPr>
              <w:rPr>
                <w:sz w:val="18"/>
                <w:szCs w:val="18"/>
              </w:rPr>
            </w:pPr>
            <w:r w:rsidRPr="00732EED">
              <w:rPr>
                <w:sz w:val="18"/>
                <w:szCs w:val="18"/>
              </w:rPr>
              <w:t>CINAHL</w:t>
            </w:r>
          </w:p>
        </w:tc>
        <w:tc>
          <w:tcPr>
            <w:tcW w:w="3555" w:type="dxa"/>
          </w:tcPr>
          <w:p w14:paraId="3BFC45B9" w14:textId="7976A1B3" w:rsidR="00F0458C" w:rsidRPr="00732EED" w:rsidRDefault="00F0458C" w:rsidP="00F0458C">
            <w:pPr>
              <w:rPr>
                <w:sz w:val="18"/>
                <w:szCs w:val="18"/>
              </w:rPr>
            </w:pPr>
            <w:r w:rsidRPr="00732EED">
              <w:rPr>
                <w:sz w:val="18"/>
                <w:szCs w:val="18"/>
              </w:rPr>
              <w:t>CORE (primary qualitative)</w:t>
            </w:r>
          </w:p>
        </w:tc>
        <w:tc>
          <w:tcPr>
            <w:tcW w:w="8080" w:type="dxa"/>
          </w:tcPr>
          <w:p w14:paraId="580B8EC4" w14:textId="230565C3" w:rsidR="00F0458C" w:rsidRPr="00732EED" w:rsidRDefault="00F0458C" w:rsidP="00F0458C">
            <w:pPr>
              <w:rPr>
                <w:sz w:val="18"/>
                <w:szCs w:val="18"/>
              </w:rPr>
            </w:pPr>
            <w:r w:rsidRPr="00732EED">
              <w:rPr>
                <w:sz w:val="18"/>
                <w:szCs w:val="18"/>
              </w:rPr>
              <w:t xml:space="preserve">(MH "Chronic Pain+" OR MH "Musculoskeletal Pain+" OR MH "Neuropathic Pain+" OR MH "Headache Disorders+") OR (TI chronic* OR AB chronic* OR KW chronic* OR TI "persistent pain" OR AB "persistent pain" OR TI "musculoskeletal pain" OR AB "musculoskeletal pain" OR TI neuropath* OR AB neuropath* OR TI neuralgia* OR AB neuralgia* OR TI headache* OR AB headache* OR TI fibromyalgia OR AB fibromyalgia OR TI migraine* OR AB migraine* OR TI </w:t>
            </w:r>
            <w:proofErr w:type="spellStart"/>
            <w:r w:rsidRPr="00732EED">
              <w:rPr>
                <w:sz w:val="18"/>
                <w:szCs w:val="18"/>
              </w:rPr>
              <w:t>arthriti</w:t>
            </w:r>
            <w:proofErr w:type="spellEnd"/>
            <w:r w:rsidRPr="00732EED">
              <w:rPr>
                <w:sz w:val="18"/>
                <w:szCs w:val="18"/>
              </w:rPr>
              <w:t xml:space="preserve">* OR AB </w:t>
            </w:r>
            <w:proofErr w:type="spellStart"/>
            <w:r w:rsidRPr="00732EED">
              <w:rPr>
                <w:sz w:val="18"/>
                <w:szCs w:val="18"/>
              </w:rPr>
              <w:t>arthriti</w:t>
            </w:r>
            <w:proofErr w:type="spellEnd"/>
            <w:r w:rsidRPr="00732EED">
              <w:rPr>
                <w:sz w:val="18"/>
                <w:szCs w:val="18"/>
              </w:rPr>
              <w:t xml:space="preserve">* OR TI "back pain" OR AB "back pain") AND (TI "chronic illness" OR AB "chronic illness" OR TI chronic* OR AB chronic* OR TI ill* OR AB ill* OR TI disease* OR AB disease* OR TI "long-term" OR AB "long-term" OR TI </w:t>
            </w:r>
            <w:proofErr w:type="spellStart"/>
            <w:r w:rsidRPr="00732EED">
              <w:rPr>
                <w:sz w:val="18"/>
                <w:szCs w:val="18"/>
              </w:rPr>
              <w:t>longterm</w:t>
            </w:r>
            <w:proofErr w:type="spellEnd"/>
            <w:r w:rsidRPr="00732EED">
              <w:rPr>
                <w:sz w:val="18"/>
                <w:szCs w:val="18"/>
              </w:rPr>
              <w:t xml:space="preserve"> OR AB </w:t>
            </w:r>
            <w:proofErr w:type="spellStart"/>
            <w:r w:rsidRPr="00732EED">
              <w:rPr>
                <w:sz w:val="18"/>
                <w:szCs w:val="18"/>
              </w:rPr>
              <w:t>longterm</w:t>
            </w:r>
            <w:proofErr w:type="spellEnd"/>
            <w:r w:rsidRPr="00732EED">
              <w:rPr>
                <w:sz w:val="18"/>
                <w:szCs w:val="18"/>
              </w:rPr>
              <w:t xml:space="preserve"> OR TI recurrent* OR AB recurrent* OR TI recur* OR AB recur*) AND ((DE "Qualitative Research" OR DE "Phenomenology" OR DE "Interviews" OR DE "Focus Groups") OR (TI qualitative OR AB qualitative OR KW qualitative OR TI interview* OR AB interview* OR KW interview* OR TI "focus group*" OR AB "focus group*" OR KW "focus group*" OR TI </w:t>
            </w:r>
            <w:proofErr w:type="spellStart"/>
            <w:r w:rsidRPr="00732EED">
              <w:rPr>
                <w:sz w:val="18"/>
                <w:szCs w:val="18"/>
              </w:rPr>
              <w:t>ethnograph</w:t>
            </w:r>
            <w:proofErr w:type="spellEnd"/>
            <w:r w:rsidRPr="00732EED">
              <w:rPr>
                <w:sz w:val="18"/>
                <w:szCs w:val="18"/>
              </w:rPr>
              <w:t xml:space="preserve">* OR AB </w:t>
            </w:r>
            <w:proofErr w:type="spellStart"/>
            <w:r w:rsidRPr="00732EED">
              <w:rPr>
                <w:sz w:val="18"/>
                <w:szCs w:val="18"/>
              </w:rPr>
              <w:t>ethnograph</w:t>
            </w:r>
            <w:proofErr w:type="spellEnd"/>
            <w:r w:rsidRPr="00732EED">
              <w:rPr>
                <w:sz w:val="18"/>
                <w:szCs w:val="18"/>
              </w:rPr>
              <w:t xml:space="preserve">* OR KW </w:t>
            </w:r>
            <w:proofErr w:type="spellStart"/>
            <w:r w:rsidRPr="00732EED">
              <w:rPr>
                <w:sz w:val="18"/>
                <w:szCs w:val="18"/>
              </w:rPr>
              <w:t>ethnograph</w:t>
            </w:r>
            <w:proofErr w:type="spellEnd"/>
            <w:r w:rsidRPr="00732EED">
              <w:rPr>
                <w:sz w:val="18"/>
                <w:szCs w:val="18"/>
              </w:rPr>
              <w:t xml:space="preserve">* OR TI "thematic </w:t>
            </w:r>
            <w:proofErr w:type="spellStart"/>
            <w:r w:rsidRPr="00732EED">
              <w:rPr>
                <w:sz w:val="18"/>
                <w:szCs w:val="18"/>
              </w:rPr>
              <w:t>analys</w:t>
            </w:r>
            <w:proofErr w:type="spellEnd"/>
            <w:r w:rsidRPr="00732EED">
              <w:rPr>
                <w:sz w:val="18"/>
                <w:szCs w:val="18"/>
              </w:rPr>
              <w:t xml:space="preserve">*" OR AB "thematic </w:t>
            </w:r>
            <w:proofErr w:type="spellStart"/>
            <w:r w:rsidRPr="00732EED">
              <w:rPr>
                <w:sz w:val="18"/>
                <w:szCs w:val="18"/>
              </w:rPr>
              <w:t>analys</w:t>
            </w:r>
            <w:proofErr w:type="spellEnd"/>
            <w:r w:rsidRPr="00732EED">
              <w:rPr>
                <w:sz w:val="18"/>
                <w:szCs w:val="18"/>
              </w:rPr>
              <w:t xml:space="preserve">*" OR KW "thematic </w:t>
            </w:r>
            <w:proofErr w:type="spellStart"/>
            <w:r w:rsidRPr="00732EED">
              <w:rPr>
                <w:sz w:val="18"/>
                <w:szCs w:val="18"/>
              </w:rPr>
              <w:t>analys</w:t>
            </w:r>
            <w:proofErr w:type="spellEnd"/>
            <w:r w:rsidRPr="00732EED">
              <w:rPr>
                <w:sz w:val="18"/>
                <w:szCs w:val="18"/>
              </w:rPr>
              <w:t xml:space="preserve">*" OR TI "grounded theory" OR AB "grounded theory" OR TI </w:t>
            </w:r>
            <w:proofErr w:type="spellStart"/>
            <w:r w:rsidRPr="00732EED">
              <w:rPr>
                <w:sz w:val="18"/>
                <w:szCs w:val="18"/>
              </w:rPr>
              <w:t>phenomenolog</w:t>
            </w:r>
            <w:proofErr w:type="spellEnd"/>
            <w:r w:rsidRPr="00732EED">
              <w:rPr>
                <w:sz w:val="18"/>
                <w:szCs w:val="18"/>
              </w:rPr>
              <w:t xml:space="preserve">* OR AB </w:t>
            </w:r>
            <w:proofErr w:type="spellStart"/>
            <w:r w:rsidRPr="00732EED">
              <w:rPr>
                <w:sz w:val="18"/>
                <w:szCs w:val="18"/>
              </w:rPr>
              <w:t>phenomenolog</w:t>
            </w:r>
            <w:proofErr w:type="spellEnd"/>
            <w:r w:rsidRPr="00732EED">
              <w:rPr>
                <w:sz w:val="18"/>
                <w:szCs w:val="18"/>
              </w:rPr>
              <w:t xml:space="preserve">*)) AND (TI stigma OR AB stigma OR KW stigma OR TI </w:t>
            </w:r>
            <w:proofErr w:type="spellStart"/>
            <w:r w:rsidRPr="00732EED">
              <w:rPr>
                <w:sz w:val="18"/>
                <w:szCs w:val="18"/>
              </w:rPr>
              <w:t>stigmat</w:t>
            </w:r>
            <w:proofErr w:type="spellEnd"/>
            <w:r w:rsidRPr="00732EED">
              <w:rPr>
                <w:sz w:val="18"/>
                <w:szCs w:val="18"/>
              </w:rPr>
              <w:t xml:space="preserve">* OR AB </w:t>
            </w:r>
            <w:proofErr w:type="spellStart"/>
            <w:r w:rsidRPr="00732EED">
              <w:rPr>
                <w:sz w:val="18"/>
                <w:szCs w:val="18"/>
              </w:rPr>
              <w:t>stigmat</w:t>
            </w:r>
            <w:proofErr w:type="spellEnd"/>
            <w:r w:rsidRPr="00732EED">
              <w:rPr>
                <w:sz w:val="18"/>
                <w:szCs w:val="18"/>
              </w:rPr>
              <w:t xml:space="preserve">* OR KW </w:t>
            </w:r>
            <w:proofErr w:type="spellStart"/>
            <w:r w:rsidRPr="00732EED">
              <w:rPr>
                <w:sz w:val="18"/>
                <w:szCs w:val="18"/>
              </w:rPr>
              <w:t>stigmat</w:t>
            </w:r>
            <w:proofErr w:type="spellEnd"/>
            <w:r w:rsidRPr="00732EED">
              <w:rPr>
                <w:sz w:val="18"/>
                <w:szCs w:val="18"/>
              </w:rPr>
              <w:t xml:space="preserve">* OR TI "self-blame" OR AB "self-blame" OR KW "self-blame" OR TI blame OR AB blame OR KW blame OR TI guilt OR AB guilt OR KW guilt OR TI "body image" OR AB "body image" OR KW "body image" OR TI "social </w:t>
            </w:r>
            <w:proofErr w:type="spellStart"/>
            <w:r w:rsidRPr="00732EED">
              <w:rPr>
                <w:sz w:val="18"/>
                <w:szCs w:val="18"/>
              </w:rPr>
              <w:t>isolat</w:t>
            </w:r>
            <w:proofErr w:type="spellEnd"/>
            <w:r w:rsidRPr="00732EED">
              <w:rPr>
                <w:sz w:val="18"/>
                <w:szCs w:val="18"/>
              </w:rPr>
              <w:t xml:space="preserve">*" OR AB "social </w:t>
            </w:r>
            <w:proofErr w:type="spellStart"/>
            <w:r w:rsidRPr="00732EED">
              <w:rPr>
                <w:sz w:val="18"/>
                <w:szCs w:val="18"/>
              </w:rPr>
              <w:t>isolat</w:t>
            </w:r>
            <w:proofErr w:type="spellEnd"/>
            <w:r w:rsidRPr="00732EED">
              <w:rPr>
                <w:sz w:val="18"/>
                <w:szCs w:val="18"/>
              </w:rPr>
              <w:t xml:space="preserve">*" OR KW "social </w:t>
            </w:r>
            <w:proofErr w:type="spellStart"/>
            <w:r w:rsidRPr="00732EED">
              <w:rPr>
                <w:sz w:val="18"/>
                <w:szCs w:val="18"/>
              </w:rPr>
              <w:t>isolat</w:t>
            </w:r>
            <w:proofErr w:type="spellEnd"/>
            <w:r w:rsidRPr="00732EED">
              <w:rPr>
                <w:sz w:val="18"/>
                <w:szCs w:val="18"/>
              </w:rPr>
              <w:t xml:space="preserve">*" OR TI "lived </w:t>
            </w:r>
            <w:r w:rsidRPr="00732EED">
              <w:rPr>
                <w:sz w:val="18"/>
                <w:szCs w:val="18"/>
              </w:rPr>
              <w:lastRenderedPageBreak/>
              <w:t xml:space="preserve">experience" OR AB "lived experience" OR KW "lived experience" OR TI "patient experience" OR AB "patient experience" OR KW "patient experience" OR TI "pain </w:t>
            </w:r>
            <w:proofErr w:type="spellStart"/>
            <w:r w:rsidRPr="00732EED">
              <w:rPr>
                <w:sz w:val="18"/>
                <w:szCs w:val="18"/>
              </w:rPr>
              <w:t>invalidat</w:t>
            </w:r>
            <w:proofErr w:type="spellEnd"/>
            <w:r w:rsidRPr="00732EED">
              <w:rPr>
                <w:sz w:val="18"/>
                <w:szCs w:val="18"/>
              </w:rPr>
              <w:t xml:space="preserve">*" OR AB "pain </w:t>
            </w:r>
            <w:proofErr w:type="spellStart"/>
            <w:r w:rsidRPr="00732EED">
              <w:rPr>
                <w:sz w:val="18"/>
                <w:szCs w:val="18"/>
              </w:rPr>
              <w:t>invalidat</w:t>
            </w:r>
            <w:proofErr w:type="spellEnd"/>
            <w:r w:rsidRPr="00732EED">
              <w:rPr>
                <w:sz w:val="18"/>
                <w:szCs w:val="18"/>
              </w:rPr>
              <w:t xml:space="preserve">*" OR KW "pain </w:t>
            </w:r>
            <w:proofErr w:type="spellStart"/>
            <w:r w:rsidRPr="00732EED">
              <w:rPr>
                <w:sz w:val="18"/>
                <w:szCs w:val="18"/>
              </w:rPr>
              <w:t>invalidat</w:t>
            </w:r>
            <w:proofErr w:type="spellEnd"/>
            <w:r w:rsidRPr="00732EED">
              <w:rPr>
                <w:sz w:val="18"/>
                <w:szCs w:val="18"/>
              </w:rPr>
              <w:t xml:space="preserve">*" OR TI </w:t>
            </w:r>
            <w:proofErr w:type="spellStart"/>
            <w:r w:rsidRPr="00732EED">
              <w:rPr>
                <w:sz w:val="18"/>
                <w:szCs w:val="18"/>
              </w:rPr>
              <w:t>discriminat</w:t>
            </w:r>
            <w:proofErr w:type="spellEnd"/>
            <w:r w:rsidRPr="00732EED">
              <w:rPr>
                <w:sz w:val="18"/>
                <w:szCs w:val="18"/>
              </w:rPr>
              <w:t xml:space="preserve">* OR AB </w:t>
            </w:r>
            <w:proofErr w:type="spellStart"/>
            <w:r w:rsidRPr="00732EED">
              <w:rPr>
                <w:sz w:val="18"/>
                <w:szCs w:val="18"/>
              </w:rPr>
              <w:t>discriminat</w:t>
            </w:r>
            <w:proofErr w:type="spellEnd"/>
            <w:r w:rsidRPr="00732EED">
              <w:rPr>
                <w:sz w:val="18"/>
                <w:szCs w:val="18"/>
              </w:rPr>
              <w:t xml:space="preserve">* OR KW </w:t>
            </w:r>
            <w:proofErr w:type="spellStart"/>
            <w:r w:rsidRPr="00732EED">
              <w:rPr>
                <w:sz w:val="18"/>
                <w:szCs w:val="18"/>
              </w:rPr>
              <w:t>discriminat</w:t>
            </w:r>
            <w:proofErr w:type="spellEnd"/>
            <w:r w:rsidRPr="00732EED">
              <w:rPr>
                <w:sz w:val="18"/>
                <w:szCs w:val="18"/>
              </w:rPr>
              <w:t>*)</w:t>
            </w:r>
          </w:p>
        </w:tc>
      </w:tr>
      <w:tr w:rsidR="00F0458C" w:rsidRPr="00732EED" w14:paraId="11B720BB"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20E946CC" w14:textId="396F6F37" w:rsidR="00F0458C" w:rsidRPr="00732EED" w:rsidRDefault="00F0458C" w:rsidP="00F0458C">
            <w:pPr>
              <w:rPr>
                <w:sz w:val="18"/>
                <w:szCs w:val="18"/>
              </w:rPr>
            </w:pPr>
            <w:r w:rsidRPr="00732EED">
              <w:rPr>
                <w:sz w:val="18"/>
                <w:szCs w:val="18"/>
              </w:rPr>
              <w:lastRenderedPageBreak/>
              <w:t>CINAHL</w:t>
            </w:r>
          </w:p>
        </w:tc>
        <w:tc>
          <w:tcPr>
            <w:tcW w:w="3555" w:type="dxa"/>
          </w:tcPr>
          <w:p w14:paraId="304DD155" w14:textId="030A5D30" w:rsidR="00F0458C" w:rsidRPr="00732EED" w:rsidRDefault="00F0458C" w:rsidP="00F0458C">
            <w:pPr>
              <w:rPr>
                <w:sz w:val="18"/>
                <w:szCs w:val="18"/>
              </w:rPr>
            </w:pPr>
            <w:r w:rsidRPr="00732EED">
              <w:rPr>
                <w:sz w:val="18"/>
                <w:szCs w:val="18"/>
              </w:rPr>
              <w:t>THEORY/SYSTEMS</w:t>
            </w:r>
          </w:p>
        </w:tc>
        <w:tc>
          <w:tcPr>
            <w:tcW w:w="8080" w:type="dxa"/>
          </w:tcPr>
          <w:p w14:paraId="34647FD3" w14:textId="13AA73CE" w:rsidR="00F0458C" w:rsidRPr="00732EED" w:rsidRDefault="00F0458C" w:rsidP="00F0458C">
            <w:pPr>
              <w:rPr>
                <w:sz w:val="18"/>
                <w:szCs w:val="18"/>
              </w:rPr>
            </w:pPr>
            <w:r w:rsidRPr="00732EED">
              <w:rPr>
                <w:sz w:val="18"/>
                <w:szCs w:val="18"/>
              </w:rPr>
              <w:t xml:space="preserve">((TI "affordance theory" OR AB "affordance theory" OR KW "affordance theory" OR TI "cultural </w:t>
            </w:r>
            <w:proofErr w:type="spellStart"/>
            <w:r w:rsidRPr="00732EED">
              <w:rPr>
                <w:sz w:val="18"/>
                <w:szCs w:val="18"/>
              </w:rPr>
              <w:t>affordanc</w:t>
            </w:r>
            <w:proofErr w:type="spellEnd"/>
            <w:r w:rsidRPr="00732EED">
              <w:rPr>
                <w:sz w:val="18"/>
                <w:szCs w:val="18"/>
              </w:rPr>
              <w:t xml:space="preserve">*" OR AB "cultural </w:t>
            </w:r>
            <w:proofErr w:type="spellStart"/>
            <w:r w:rsidRPr="00732EED">
              <w:rPr>
                <w:sz w:val="18"/>
                <w:szCs w:val="18"/>
              </w:rPr>
              <w:t>affordanc</w:t>
            </w:r>
            <w:proofErr w:type="spellEnd"/>
            <w:r w:rsidRPr="00732EED">
              <w:rPr>
                <w:sz w:val="18"/>
                <w:szCs w:val="18"/>
              </w:rPr>
              <w:t xml:space="preserve">*" OR KW "cultural </w:t>
            </w:r>
            <w:proofErr w:type="spellStart"/>
            <w:r w:rsidRPr="00732EED">
              <w:rPr>
                <w:sz w:val="18"/>
                <w:szCs w:val="18"/>
              </w:rPr>
              <w:t>affordanc</w:t>
            </w:r>
            <w:proofErr w:type="spellEnd"/>
            <w:r w:rsidRPr="00732EED">
              <w:rPr>
                <w:sz w:val="18"/>
                <w:szCs w:val="18"/>
              </w:rPr>
              <w:t xml:space="preserve">*" OR TI </w:t>
            </w:r>
            <w:proofErr w:type="spellStart"/>
            <w:r w:rsidRPr="00732EED">
              <w:rPr>
                <w:sz w:val="18"/>
                <w:szCs w:val="18"/>
              </w:rPr>
              <w:t>phenomenolog</w:t>
            </w:r>
            <w:proofErr w:type="spellEnd"/>
            <w:r w:rsidRPr="00732EED">
              <w:rPr>
                <w:sz w:val="18"/>
                <w:szCs w:val="18"/>
              </w:rPr>
              <w:t xml:space="preserve">* OR AB </w:t>
            </w:r>
            <w:proofErr w:type="spellStart"/>
            <w:r w:rsidRPr="00732EED">
              <w:rPr>
                <w:sz w:val="18"/>
                <w:szCs w:val="18"/>
              </w:rPr>
              <w:t>phenomenolog</w:t>
            </w:r>
            <w:proofErr w:type="spellEnd"/>
            <w:r w:rsidRPr="00732EED">
              <w:rPr>
                <w:sz w:val="18"/>
                <w:szCs w:val="18"/>
              </w:rPr>
              <w:t xml:space="preserve">* OR KW </w:t>
            </w:r>
            <w:proofErr w:type="spellStart"/>
            <w:r w:rsidRPr="00732EED">
              <w:rPr>
                <w:sz w:val="18"/>
                <w:szCs w:val="18"/>
              </w:rPr>
              <w:t>phenomenolog</w:t>
            </w:r>
            <w:proofErr w:type="spellEnd"/>
            <w:r w:rsidRPr="00732EED">
              <w:rPr>
                <w:sz w:val="18"/>
                <w:szCs w:val="18"/>
              </w:rPr>
              <w:t xml:space="preserve">* OR TI ontology OR AB ontology OR KW ontology OR TI "illness </w:t>
            </w:r>
            <w:proofErr w:type="spellStart"/>
            <w:r w:rsidRPr="00732EED">
              <w:rPr>
                <w:sz w:val="18"/>
                <w:szCs w:val="18"/>
              </w:rPr>
              <w:t>ontolog</w:t>
            </w:r>
            <w:proofErr w:type="spellEnd"/>
            <w:r w:rsidRPr="00732EED">
              <w:rPr>
                <w:sz w:val="18"/>
                <w:szCs w:val="18"/>
              </w:rPr>
              <w:t xml:space="preserve">*" OR AB "illness </w:t>
            </w:r>
            <w:proofErr w:type="spellStart"/>
            <w:r w:rsidRPr="00732EED">
              <w:rPr>
                <w:sz w:val="18"/>
                <w:szCs w:val="18"/>
              </w:rPr>
              <w:t>ontolog</w:t>
            </w:r>
            <w:proofErr w:type="spellEnd"/>
            <w:r w:rsidRPr="00732EED">
              <w:rPr>
                <w:sz w:val="18"/>
                <w:szCs w:val="18"/>
              </w:rPr>
              <w:t xml:space="preserve">*" OR KW "illness </w:t>
            </w:r>
            <w:proofErr w:type="spellStart"/>
            <w:r w:rsidRPr="00732EED">
              <w:rPr>
                <w:sz w:val="18"/>
                <w:szCs w:val="18"/>
              </w:rPr>
              <w:t>ontolog</w:t>
            </w:r>
            <w:proofErr w:type="spellEnd"/>
            <w:r w:rsidRPr="00732EED">
              <w:rPr>
                <w:sz w:val="18"/>
                <w:szCs w:val="18"/>
              </w:rPr>
              <w:t xml:space="preserve">*" OR TI "systems thinking" OR AB "systems thinking" OR KW "systems thinking" OR TI "systems science" OR AB "systems science" OR KW "systems science" OR TI "social determinants" OR AB "social determinants" OR KW "social determinants" OR TI </w:t>
            </w:r>
            <w:proofErr w:type="spellStart"/>
            <w:r w:rsidRPr="00732EED">
              <w:rPr>
                <w:sz w:val="18"/>
                <w:szCs w:val="18"/>
              </w:rPr>
              <w:t>transdisciplin</w:t>
            </w:r>
            <w:proofErr w:type="spellEnd"/>
            <w:r w:rsidRPr="00732EED">
              <w:rPr>
                <w:sz w:val="18"/>
                <w:szCs w:val="18"/>
              </w:rPr>
              <w:t xml:space="preserve">* OR AB </w:t>
            </w:r>
            <w:proofErr w:type="spellStart"/>
            <w:r w:rsidRPr="00732EED">
              <w:rPr>
                <w:sz w:val="18"/>
                <w:szCs w:val="18"/>
              </w:rPr>
              <w:t>transdisciplin</w:t>
            </w:r>
            <w:proofErr w:type="spellEnd"/>
            <w:r w:rsidRPr="00732EED">
              <w:rPr>
                <w:sz w:val="18"/>
                <w:szCs w:val="18"/>
              </w:rPr>
              <w:t xml:space="preserve">* OR KW </w:t>
            </w:r>
            <w:proofErr w:type="spellStart"/>
            <w:r w:rsidRPr="00732EED">
              <w:rPr>
                <w:sz w:val="18"/>
                <w:szCs w:val="18"/>
              </w:rPr>
              <w:t>transdisciplin</w:t>
            </w:r>
            <w:proofErr w:type="spellEnd"/>
            <w:r w:rsidRPr="00732EED">
              <w:rPr>
                <w:sz w:val="18"/>
                <w:szCs w:val="18"/>
              </w:rPr>
              <w:t>* OR TI "participatory action research" OR AB "participatory action research" OR KW "participatory action research"))</w:t>
            </w:r>
          </w:p>
        </w:tc>
      </w:tr>
      <w:tr w:rsidR="00F0458C" w:rsidRPr="00732EED" w14:paraId="3CBD9E9F" w14:textId="77777777" w:rsidTr="00535921">
        <w:tc>
          <w:tcPr>
            <w:tcW w:w="1260" w:type="dxa"/>
          </w:tcPr>
          <w:p w14:paraId="39455D80" w14:textId="517B03A4" w:rsidR="00F0458C" w:rsidRPr="00732EED" w:rsidRDefault="00F0458C" w:rsidP="00F0458C">
            <w:pPr>
              <w:rPr>
                <w:sz w:val="18"/>
                <w:szCs w:val="18"/>
              </w:rPr>
            </w:pPr>
            <w:r w:rsidRPr="00732EED">
              <w:rPr>
                <w:sz w:val="18"/>
                <w:szCs w:val="18"/>
              </w:rPr>
              <w:t>CINAHL</w:t>
            </w:r>
          </w:p>
        </w:tc>
        <w:tc>
          <w:tcPr>
            <w:tcW w:w="3555" w:type="dxa"/>
          </w:tcPr>
          <w:p w14:paraId="3520BEFC" w14:textId="77478829" w:rsidR="00F0458C" w:rsidRPr="00732EED" w:rsidRDefault="00F0458C" w:rsidP="00F0458C">
            <w:pPr>
              <w:rPr>
                <w:sz w:val="18"/>
                <w:szCs w:val="18"/>
              </w:rPr>
            </w:pPr>
            <w:r w:rsidRPr="00732EED">
              <w:rPr>
                <w:sz w:val="18"/>
                <w:szCs w:val="18"/>
              </w:rPr>
              <w:t>REVIEW / META SYNTHESIS</w:t>
            </w:r>
          </w:p>
        </w:tc>
        <w:tc>
          <w:tcPr>
            <w:tcW w:w="8080" w:type="dxa"/>
          </w:tcPr>
          <w:p w14:paraId="444B87F6" w14:textId="3654326B" w:rsidR="00F0458C" w:rsidRPr="00732EED" w:rsidRDefault="00F0458C" w:rsidP="00F0458C">
            <w:pPr>
              <w:rPr>
                <w:sz w:val="18"/>
                <w:szCs w:val="18"/>
              </w:rPr>
            </w:pPr>
            <w:r w:rsidRPr="00732EED">
              <w:rPr>
                <w:sz w:val="18"/>
                <w:szCs w:val="18"/>
              </w:rPr>
              <w:t>((TI "meta-</w:t>
            </w:r>
            <w:proofErr w:type="spellStart"/>
            <w:r w:rsidRPr="00732EED">
              <w:rPr>
                <w:sz w:val="18"/>
                <w:szCs w:val="18"/>
              </w:rPr>
              <w:t>ethnograph</w:t>
            </w:r>
            <w:proofErr w:type="spellEnd"/>
            <w:r w:rsidRPr="00732EED">
              <w:rPr>
                <w:sz w:val="18"/>
                <w:szCs w:val="18"/>
              </w:rPr>
              <w:t>*" OR AB "meta-</w:t>
            </w:r>
            <w:proofErr w:type="spellStart"/>
            <w:r w:rsidRPr="00732EED">
              <w:rPr>
                <w:sz w:val="18"/>
                <w:szCs w:val="18"/>
              </w:rPr>
              <w:t>ethnograph</w:t>
            </w:r>
            <w:proofErr w:type="spellEnd"/>
            <w:r w:rsidRPr="00732EED">
              <w:rPr>
                <w:sz w:val="18"/>
                <w:szCs w:val="18"/>
              </w:rPr>
              <w:t>*" OR KW "meta-</w:t>
            </w:r>
            <w:proofErr w:type="spellStart"/>
            <w:r w:rsidRPr="00732EED">
              <w:rPr>
                <w:sz w:val="18"/>
                <w:szCs w:val="18"/>
              </w:rPr>
              <w:t>ethnograph</w:t>
            </w:r>
            <w:proofErr w:type="spellEnd"/>
            <w:r w:rsidRPr="00732EED">
              <w:rPr>
                <w:sz w:val="18"/>
                <w:szCs w:val="18"/>
              </w:rPr>
              <w:t>*" OR TI "meta-synth*" OR AB "meta-synth*" OR KW "meta-synth*" OR TI "meta-ethnography" OR AB "meta-ethnography" OR KW "meta-ethnography" OR TI "meta-synthesis" OR AB "meta-synthesis" OR KW "meta-synthesis" OR TI "thematic synthesis" OR AB "thematic synthesis"))</w:t>
            </w:r>
          </w:p>
        </w:tc>
      </w:tr>
      <w:tr w:rsidR="00F0458C" w:rsidRPr="00732EED" w14:paraId="24156921" w14:textId="77777777" w:rsidTr="00535921">
        <w:trPr>
          <w:cnfStyle w:val="000000100000" w:firstRow="0" w:lastRow="0" w:firstColumn="0" w:lastColumn="0" w:oddVBand="0" w:evenVBand="0" w:oddHBand="1" w:evenHBand="0" w:firstRowFirstColumn="0" w:firstRowLastColumn="0" w:lastRowFirstColumn="0" w:lastRowLastColumn="0"/>
        </w:trPr>
        <w:tc>
          <w:tcPr>
            <w:tcW w:w="1260" w:type="dxa"/>
          </w:tcPr>
          <w:p w14:paraId="247782C1" w14:textId="646EDF11" w:rsidR="00F0458C" w:rsidRPr="00732EED" w:rsidRDefault="00F0458C" w:rsidP="00F0458C">
            <w:pPr>
              <w:rPr>
                <w:sz w:val="18"/>
                <w:szCs w:val="18"/>
              </w:rPr>
            </w:pPr>
            <w:r w:rsidRPr="00732EED">
              <w:rPr>
                <w:sz w:val="18"/>
                <w:szCs w:val="18"/>
              </w:rPr>
              <w:t>PsycINFO</w:t>
            </w:r>
          </w:p>
        </w:tc>
        <w:tc>
          <w:tcPr>
            <w:tcW w:w="3555" w:type="dxa"/>
          </w:tcPr>
          <w:p w14:paraId="17DFEC8C" w14:textId="0C708557" w:rsidR="00F0458C" w:rsidRPr="00732EED" w:rsidRDefault="00F0458C" w:rsidP="00F0458C">
            <w:pPr>
              <w:rPr>
                <w:sz w:val="18"/>
                <w:szCs w:val="18"/>
              </w:rPr>
            </w:pPr>
            <w:r w:rsidRPr="00732EED">
              <w:rPr>
                <w:sz w:val="18"/>
                <w:szCs w:val="18"/>
              </w:rPr>
              <w:t>CORE (primary qualitative)</w:t>
            </w:r>
          </w:p>
        </w:tc>
        <w:tc>
          <w:tcPr>
            <w:tcW w:w="8080" w:type="dxa"/>
          </w:tcPr>
          <w:p w14:paraId="048286D0" w14:textId="33D84406" w:rsidR="00F0458C" w:rsidRPr="00732EED" w:rsidRDefault="00F0458C" w:rsidP="00F0458C">
            <w:pPr>
              <w:rPr>
                <w:sz w:val="18"/>
                <w:szCs w:val="18"/>
              </w:rPr>
            </w:pPr>
            <w:r w:rsidRPr="00732EED">
              <w:rPr>
                <w:sz w:val="18"/>
                <w:szCs w:val="18"/>
              </w:rPr>
              <w:t xml:space="preserve">((DE "Chronic Pain" OR DE "Pain" OR DE "Fibromyalgia" OR DE "Headache") OR (TI chronic* OR AB chronic* OR TI "persistent pain" OR AB "persistent pain" OR TI "musculoskeletal pain" OR AB "musculoskeletal pain" OR TI neuropath* OR AB neuropath* OR TI neuralgia* OR AB neuralgia* OR TI headache* OR AB headache* OR TI fibromyalgia OR AB fibromyalgia OR TI migraine* OR AB migraine*)) AND ((TI "chronic illness" OR AB "chronic illness" OR TI chronic* OR AB chronic* OR TI ill* OR AB ill* OR TI disease* OR AB disease* OR TI "long-term" OR AB "long-term" OR TI </w:t>
            </w:r>
            <w:proofErr w:type="spellStart"/>
            <w:r w:rsidRPr="00732EED">
              <w:rPr>
                <w:sz w:val="18"/>
                <w:szCs w:val="18"/>
              </w:rPr>
              <w:t>longterm</w:t>
            </w:r>
            <w:proofErr w:type="spellEnd"/>
            <w:r w:rsidRPr="00732EED">
              <w:rPr>
                <w:sz w:val="18"/>
                <w:szCs w:val="18"/>
              </w:rPr>
              <w:t xml:space="preserve"> OR AB </w:t>
            </w:r>
            <w:proofErr w:type="spellStart"/>
            <w:r w:rsidRPr="00732EED">
              <w:rPr>
                <w:sz w:val="18"/>
                <w:szCs w:val="18"/>
              </w:rPr>
              <w:t>longterm</w:t>
            </w:r>
            <w:proofErr w:type="spellEnd"/>
            <w:r w:rsidRPr="00732EED">
              <w:rPr>
                <w:sz w:val="18"/>
                <w:szCs w:val="18"/>
              </w:rPr>
              <w:t xml:space="preserve"> OR TI recurrent* OR AB recurrent* OR TI recur* OR AB recur*)) AND ((DE "Qualitative Methods" OR DE "Phenomenology" OR DE "Interviews" OR DE "Focus Groups") OR (TI qualitative OR AB qualitative OR TI interview* OR AB interview* OR TI "focus group*" OR AB "focus group*" OR TI </w:t>
            </w:r>
            <w:proofErr w:type="spellStart"/>
            <w:r w:rsidRPr="00732EED">
              <w:rPr>
                <w:sz w:val="18"/>
                <w:szCs w:val="18"/>
              </w:rPr>
              <w:t>ethnograph</w:t>
            </w:r>
            <w:proofErr w:type="spellEnd"/>
            <w:r w:rsidRPr="00732EED">
              <w:rPr>
                <w:sz w:val="18"/>
                <w:szCs w:val="18"/>
              </w:rPr>
              <w:t xml:space="preserve">* OR AB </w:t>
            </w:r>
            <w:proofErr w:type="spellStart"/>
            <w:r w:rsidRPr="00732EED">
              <w:rPr>
                <w:sz w:val="18"/>
                <w:szCs w:val="18"/>
              </w:rPr>
              <w:t>ethnograph</w:t>
            </w:r>
            <w:proofErr w:type="spellEnd"/>
            <w:r w:rsidRPr="00732EED">
              <w:rPr>
                <w:sz w:val="18"/>
                <w:szCs w:val="18"/>
              </w:rPr>
              <w:t xml:space="preserve">* OR TI "thematic </w:t>
            </w:r>
            <w:proofErr w:type="spellStart"/>
            <w:r w:rsidRPr="00732EED">
              <w:rPr>
                <w:sz w:val="18"/>
                <w:szCs w:val="18"/>
              </w:rPr>
              <w:t>analys</w:t>
            </w:r>
            <w:proofErr w:type="spellEnd"/>
            <w:r w:rsidRPr="00732EED">
              <w:rPr>
                <w:sz w:val="18"/>
                <w:szCs w:val="18"/>
              </w:rPr>
              <w:t xml:space="preserve">*" OR AB "thematic </w:t>
            </w:r>
            <w:proofErr w:type="spellStart"/>
            <w:r w:rsidRPr="00732EED">
              <w:rPr>
                <w:sz w:val="18"/>
                <w:szCs w:val="18"/>
              </w:rPr>
              <w:t>analys</w:t>
            </w:r>
            <w:proofErr w:type="spellEnd"/>
            <w:r w:rsidRPr="00732EED">
              <w:rPr>
                <w:sz w:val="18"/>
                <w:szCs w:val="18"/>
              </w:rPr>
              <w:t xml:space="preserve">*" OR TI "grounded theory" OR AB "grounded theory" OR TI </w:t>
            </w:r>
            <w:proofErr w:type="spellStart"/>
            <w:r w:rsidRPr="00732EED">
              <w:rPr>
                <w:sz w:val="18"/>
                <w:szCs w:val="18"/>
              </w:rPr>
              <w:t>phenomenolog</w:t>
            </w:r>
            <w:proofErr w:type="spellEnd"/>
            <w:r w:rsidRPr="00732EED">
              <w:rPr>
                <w:sz w:val="18"/>
                <w:szCs w:val="18"/>
              </w:rPr>
              <w:t xml:space="preserve">* OR AB </w:t>
            </w:r>
            <w:proofErr w:type="spellStart"/>
            <w:r w:rsidRPr="00732EED">
              <w:rPr>
                <w:sz w:val="18"/>
                <w:szCs w:val="18"/>
              </w:rPr>
              <w:t>phenomenolog</w:t>
            </w:r>
            <w:proofErr w:type="spellEnd"/>
            <w:r w:rsidRPr="00732EED">
              <w:rPr>
                <w:sz w:val="18"/>
                <w:szCs w:val="18"/>
              </w:rPr>
              <w:t xml:space="preserve">*)) AND ((TI stigma OR AB stigma OR TI </w:t>
            </w:r>
            <w:proofErr w:type="spellStart"/>
            <w:r w:rsidRPr="00732EED">
              <w:rPr>
                <w:sz w:val="18"/>
                <w:szCs w:val="18"/>
              </w:rPr>
              <w:t>stigmat</w:t>
            </w:r>
            <w:proofErr w:type="spellEnd"/>
            <w:r w:rsidRPr="00732EED">
              <w:rPr>
                <w:sz w:val="18"/>
                <w:szCs w:val="18"/>
              </w:rPr>
              <w:t xml:space="preserve">* OR AB </w:t>
            </w:r>
            <w:proofErr w:type="spellStart"/>
            <w:r w:rsidRPr="00732EED">
              <w:rPr>
                <w:sz w:val="18"/>
                <w:szCs w:val="18"/>
              </w:rPr>
              <w:t>stigmat</w:t>
            </w:r>
            <w:proofErr w:type="spellEnd"/>
            <w:r w:rsidRPr="00732EED">
              <w:rPr>
                <w:sz w:val="18"/>
                <w:szCs w:val="18"/>
              </w:rPr>
              <w:t xml:space="preserve">* OR TI "self-blame" OR AB "self-blame" OR TI blame OR AB blame OR TI guilt OR AB guilt OR TI "body image" OR AB "body image" OR TI "social </w:t>
            </w:r>
            <w:proofErr w:type="spellStart"/>
            <w:r w:rsidRPr="00732EED">
              <w:rPr>
                <w:sz w:val="18"/>
                <w:szCs w:val="18"/>
              </w:rPr>
              <w:t>isolat</w:t>
            </w:r>
            <w:proofErr w:type="spellEnd"/>
            <w:r w:rsidRPr="00732EED">
              <w:rPr>
                <w:sz w:val="18"/>
                <w:szCs w:val="18"/>
              </w:rPr>
              <w:t xml:space="preserve">*" OR AB "social </w:t>
            </w:r>
            <w:proofErr w:type="spellStart"/>
            <w:r w:rsidRPr="00732EED">
              <w:rPr>
                <w:sz w:val="18"/>
                <w:szCs w:val="18"/>
              </w:rPr>
              <w:t>isolat</w:t>
            </w:r>
            <w:proofErr w:type="spellEnd"/>
            <w:r w:rsidRPr="00732EED">
              <w:rPr>
                <w:sz w:val="18"/>
                <w:szCs w:val="18"/>
              </w:rPr>
              <w:t xml:space="preserve">*" OR TI "lived experience" OR AB "lived experience" OR TI "patient experience" OR AB "patient experience" OR TI "pain </w:t>
            </w:r>
            <w:proofErr w:type="spellStart"/>
            <w:r w:rsidRPr="00732EED">
              <w:rPr>
                <w:sz w:val="18"/>
                <w:szCs w:val="18"/>
              </w:rPr>
              <w:t>invalidat</w:t>
            </w:r>
            <w:proofErr w:type="spellEnd"/>
            <w:r w:rsidRPr="00732EED">
              <w:rPr>
                <w:sz w:val="18"/>
                <w:szCs w:val="18"/>
              </w:rPr>
              <w:t xml:space="preserve">*" OR AB "pain </w:t>
            </w:r>
            <w:proofErr w:type="spellStart"/>
            <w:r w:rsidRPr="00732EED">
              <w:rPr>
                <w:sz w:val="18"/>
                <w:szCs w:val="18"/>
              </w:rPr>
              <w:t>invalidat</w:t>
            </w:r>
            <w:proofErr w:type="spellEnd"/>
            <w:r w:rsidRPr="00732EED">
              <w:rPr>
                <w:sz w:val="18"/>
                <w:szCs w:val="18"/>
              </w:rPr>
              <w:t xml:space="preserve">*" OR TI </w:t>
            </w:r>
            <w:proofErr w:type="spellStart"/>
            <w:r w:rsidRPr="00732EED">
              <w:rPr>
                <w:sz w:val="18"/>
                <w:szCs w:val="18"/>
              </w:rPr>
              <w:t>discriminat</w:t>
            </w:r>
            <w:proofErr w:type="spellEnd"/>
            <w:r w:rsidRPr="00732EED">
              <w:rPr>
                <w:sz w:val="18"/>
                <w:szCs w:val="18"/>
              </w:rPr>
              <w:t xml:space="preserve">* OR AB </w:t>
            </w:r>
            <w:proofErr w:type="spellStart"/>
            <w:r w:rsidRPr="00732EED">
              <w:rPr>
                <w:sz w:val="18"/>
                <w:szCs w:val="18"/>
              </w:rPr>
              <w:t>discriminat</w:t>
            </w:r>
            <w:proofErr w:type="spellEnd"/>
            <w:r w:rsidRPr="00732EED">
              <w:rPr>
                <w:sz w:val="18"/>
                <w:szCs w:val="18"/>
              </w:rPr>
              <w:t xml:space="preserve">* OR TI </w:t>
            </w:r>
            <w:proofErr w:type="spellStart"/>
            <w:r w:rsidRPr="00732EED">
              <w:rPr>
                <w:sz w:val="18"/>
                <w:szCs w:val="18"/>
              </w:rPr>
              <w:t>invalidat</w:t>
            </w:r>
            <w:proofErr w:type="spellEnd"/>
            <w:r w:rsidRPr="00732EED">
              <w:rPr>
                <w:sz w:val="18"/>
                <w:szCs w:val="18"/>
              </w:rPr>
              <w:t xml:space="preserve">* OR AB </w:t>
            </w:r>
            <w:proofErr w:type="spellStart"/>
            <w:r w:rsidRPr="00732EED">
              <w:rPr>
                <w:sz w:val="18"/>
                <w:szCs w:val="18"/>
              </w:rPr>
              <w:t>invalidat</w:t>
            </w:r>
            <w:proofErr w:type="spellEnd"/>
            <w:r w:rsidRPr="00732EED">
              <w:rPr>
                <w:sz w:val="18"/>
                <w:szCs w:val="18"/>
              </w:rPr>
              <w:t>*))</w:t>
            </w:r>
          </w:p>
        </w:tc>
      </w:tr>
    </w:tbl>
    <w:p w14:paraId="33F89167" w14:textId="6FBB4376" w:rsidR="00E46AB8" w:rsidRPr="00732EED" w:rsidRDefault="001B6075" w:rsidP="00E46AB8">
      <w:pPr>
        <w:rPr>
          <w:sz w:val="18"/>
          <w:szCs w:val="18"/>
        </w:rPr>
      </w:pPr>
      <w:r w:rsidRPr="00732EED">
        <w:rPr>
          <w:sz w:val="18"/>
          <w:szCs w:val="18"/>
        </w:rPr>
        <w:t>* A combination of Medical Subject Headings (</w:t>
      </w:r>
      <w:proofErr w:type="spellStart"/>
      <w:r w:rsidRPr="00732EED">
        <w:rPr>
          <w:sz w:val="18"/>
          <w:szCs w:val="18"/>
        </w:rPr>
        <w:t>MeSH</w:t>
      </w:r>
      <w:proofErr w:type="spellEnd"/>
      <w:r w:rsidRPr="00732EED">
        <w:rPr>
          <w:sz w:val="18"/>
          <w:szCs w:val="18"/>
        </w:rPr>
        <w:t>) terms, controlled vocabulary, and free-text terms were used to capture relevant studies.</w:t>
      </w:r>
      <w:r w:rsidR="00E46AB8" w:rsidRPr="00732EED">
        <w:rPr>
          <w:sz w:val="18"/>
          <w:szCs w:val="18"/>
        </w:rPr>
        <w:t xml:space="preserve"> </w:t>
      </w:r>
      <w:proofErr w:type="spellStart"/>
      <w:r w:rsidR="00E46AB8" w:rsidRPr="00732EED">
        <w:rPr>
          <w:sz w:val="18"/>
          <w:szCs w:val="18"/>
        </w:rPr>
        <w:t>MeSH</w:t>
      </w:r>
      <w:proofErr w:type="spellEnd"/>
      <w:r w:rsidR="00E46AB8" w:rsidRPr="00732EED">
        <w:rPr>
          <w:sz w:val="18"/>
          <w:szCs w:val="18"/>
        </w:rPr>
        <w:t xml:space="preserve">/controlled vocabulary: </w:t>
      </w:r>
      <w:proofErr w:type="spellStart"/>
      <w:r w:rsidR="00E46AB8" w:rsidRPr="00732EED">
        <w:rPr>
          <w:sz w:val="18"/>
          <w:szCs w:val="18"/>
        </w:rPr>
        <w:t>MeSH</w:t>
      </w:r>
      <w:proofErr w:type="spellEnd"/>
      <w:r w:rsidR="00E46AB8" w:rsidRPr="00732EED">
        <w:rPr>
          <w:sz w:val="18"/>
          <w:szCs w:val="18"/>
        </w:rPr>
        <w:t xml:space="preserve"> = Medical Subject Headings; EMTREE = Embase Thesaurus; CINAHL Headings; DE = CINAHL Descriptor; TI = title; AB = abstract; KW = keyword; TS = topic; exp = exploded term</w:t>
      </w:r>
      <w:proofErr w:type="gramStart"/>
      <w:r w:rsidR="00E46AB8" w:rsidRPr="00732EED">
        <w:rPr>
          <w:sz w:val="18"/>
          <w:szCs w:val="18"/>
        </w:rPr>
        <w:t>; :</w:t>
      </w:r>
      <w:proofErr w:type="spellStart"/>
      <w:r w:rsidR="00E46AB8" w:rsidRPr="00732EED">
        <w:rPr>
          <w:sz w:val="18"/>
          <w:szCs w:val="18"/>
        </w:rPr>
        <w:t>ti</w:t>
      </w:r>
      <w:proofErr w:type="gramEnd"/>
      <w:r w:rsidR="00E46AB8" w:rsidRPr="00732EED">
        <w:rPr>
          <w:sz w:val="18"/>
          <w:szCs w:val="18"/>
        </w:rPr>
        <w:t>,ab</w:t>
      </w:r>
      <w:proofErr w:type="spellEnd"/>
      <w:r w:rsidR="00E46AB8" w:rsidRPr="00732EED">
        <w:rPr>
          <w:sz w:val="18"/>
          <w:szCs w:val="18"/>
        </w:rPr>
        <w:t xml:space="preserve"> = title/abstract. Limits/filters: Date range </w:t>
      </w:r>
      <w:r w:rsidR="00C3584B" w:rsidRPr="00732EED">
        <w:rPr>
          <w:sz w:val="18"/>
          <w:szCs w:val="18"/>
        </w:rPr>
        <w:t>2010-07-01 to 2025-07-31</w:t>
      </w:r>
      <w:r w:rsidR="00E46AB8" w:rsidRPr="00732EED">
        <w:rPr>
          <w:sz w:val="18"/>
          <w:szCs w:val="18"/>
        </w:rPr>
        <w:t>; adults ≥18; no language restriction; human studies only. Study types: Core search targeted primary qualitative studies and qualitative syntheses; review</w:t>
      </w:r>
      <w:r w:rsidR="00E46AB8" w:rsidRPr="00732EED">
        <w:rPr>
          <w:sz w:val="18"/>
          <w:szCs w:val="18"/>
        </w:rPr>
        <w:noBreakHyphen/>
        <w:t>type strings capture meta</w:t>
      </w:r>
      <w:r w:rsidR="00E46AB8" w:rsidRPr="00732EED">
        <w:rPr>
          <w:sz w:val="18"/>
          <w:szCs w:val="18"/>
        </w:rPr>
        <w:noBreakHyphen/>
        <w:t>ethnographies/meta</w:t>
      </w:r>
      <w:r w:rsidR="00E46AB8" w:rsidRPr="00732EED">
        <w:rPr>
          <w:sz w:val="18"/>
          <w:szCs w:val="18"/>
        </w:rPr>
        <w:noBreakHyphen/>
        <w:t xml:space="preserve">syntheses. Dissertations and book chapters were excluded. Google Scholar: conducted with iterative simplified queries; results screened until saturation/duplicate rate acceptable. Syntax </w:t>
      </w:r>
      <w:proofErr w:type="gramStart"/>
      <w:r w:rsidR="00E46AB8" w:rsidRPr="00732EED">
        <w:rPr>
          <w:sz w:val="18"/>
          <w:szCs w:val="18"/>
        </w:rPr>
        <w:t>note</w:t>
      </w:r>
      <w:proofErr w:type="gramEnd"/>
      <w:r w:rsidR="00E46AB8" w:rsidRPr="00732EED">
        <w:rPr>
          <w:sz w:val="18"/>
          <w:szCs w:val="18"/>
        </w:rPr>
        <w:t>: Database</w:t>
      </w:r>
      <w:r w:rsidR="00E46AB8" w:rsidRPr="00732EED">
        <w:rPr>
          <w:sz w:val="18"/>
          <w:szCs w:val="18"/>
        </w:rPr>
        <w:noBreakHyphen/>
        <w:t>specific syntax was adapted per platform (e.g., truncation and field tags differ by database); Mapping &amp; overlap: Controlled</w:t>
      </w:r>
      <w:r w:rsidR="00E46AB8" w:rsidRPr="00732EED">
        <w:rPr>
          <w:sz w:val="18"/>
          <w:szCs w:val="18"/>
        </w:rPr>
        <w:noBreakHyphen/>
        <w:t>vocabulary and free</w:t>
      </w:r>
      <w:r w:rsidR="00E46AB8" w:rsidRPr="00732EED">
        <w:rPr>
          <w:sz w:val="18"/>
          <w:szCs w:val="18"/>
        </w:rPr>
        <w:noBreakHyphen/>
        <w:t>text terms were combined to maximize sensitivity; overlap across concept blocks allowed (AND/OR structure as shown).</w:t>
      </w:r>
    </w:p>
    <w:p w14:paraId="3FBED637" w14:textId="61EEE64C" w:rsidR="00F0458C" w:rsidRPr="00732EED" w:rsidRDefault="00F0458C" w:rsidP="00F0458C">
      <w:pPr>
        <w:rPr>
          <w:sz w:val="18"/>
          <w:szCs w:val="18"/>
        </w:rPr>
      </w:pPr>
    </w:p>
    <w:p w14:paraId="596C7CB2" w14:textId="77777777" w:rsidR="00874F4E" w:rsidRPr="00732EED" w:rsidRDefault="00874F4E" w:rsidP="00D33B40">
      <w:pPr>
        <w:spacing w:line="480" w:lineRule="auto"/>
        <w:rPr>
          <w:b/>
          <w:sz w:val="18"/>
          <w:szCs w:val="18"/>
        </w:rPr>
      </w:pPr>
    </w:p>
    <w:p w14:paraId="00A7143D" w14:textId="77777777" w:rsidR="00874F4E" w:rsidRPr="00732EED" w:rsidRDefault="00874F4E" w:rsidP="001C33D6">
      <w:pPr>
        <w:spacing w:line="480" w:lineRule="auto"/>
        <w:rPr>
          <w:b/>
          <w:sz w:val="18"/>
          <w:szCs w:val="18"/>
        </w:rPr>
        <w:sectPr w:rsidR="00874F4E" w:rsidRPr="00732EED" w:rsidSect="0082039E">
          <w:pgSz w:w="15840" w:h="12240" w:orient="landscape" w:code="1"/>
          <w:pgMar w:top="1134" w:right="1134" w:bottom="1134" w:left="1134" w:header="720" w:footer="720" w:gutter="0"/>
          <w:cols w:space="720"/>
          <w:docGrid w:linePitch="360"/>
        </w:sectPr>
      </w:pPr>
    </w:p>
    <w:p w14:paraId="682B7FF6" w14:textId="0AC6C8B3" w:rsidR="001C33D6" w:rsidRPr="00732EED" w:rsidRDefault="001C33D6" w:rsidP="00E46AB8">
      <w:pPr>
        <w:rPr>
          <w:b/>
          <w:sz w:val="18"/>
          <w:szCs w:val="18"/>
        </w:rPr>
      </w:pPr>
      <w:r w:rsidRPr="00732EED">
        <w:rPr>
          <w:b/>
          <w:sz w:val="18"/>
          <w:szCs w:val="18"/>
        </w:rPr>
        <w:lastRenderedPageBreak/>
        <w:t xml:space="preserve">Table </w:t>
      </w:r>
      <w:r w:rsidR="00781B02" w:rsidRPr="00732EED">
        <w:rPr>
          <w:b/>
          <w:sz w:val="18"/>
          <w:szCs w:val="18"/>
        </w:rPr>
        <w:t>S</w:t>
      </w:r>
      <w:r w:rsidR="000F2A82" w:rsidRPr="00732EED">
        <w:rPr>
          <w:b/>
          <w:sz w:val="18"/>
          <w:szCs w:val="18"/>
        </w:rPr>
        <w:t>4</w:t>
      </w:r>
      <w:r w:rsidR="00874F4E" w:rsidRPr="00732EED">
        <w:rPr>
          <w:b/>
          <w:sz w:val="18"/>
          <w:szCs w:val="18"/>
        </w:rPr>
        <w:t>.</w:t>
      </w:r>
      <w:r w:rsidRPr="00732EED">
        <w:rPr>
          <w:b/>
          <w:sz w:val="18"/>
          <w:szCs w:val="18"/>
        </w:rPr>
        <w:t xml:space="preserve"> Overview</w:t>
      </w:r>
      <w:r w:rsidR="00E23B32" w:rsidRPr="00732EED">
        <w:rPr>
          <w:b/>
          <w:sz w:val="18"/>
          <w:szCs w:val="18"/>
        </w:rPr>
        <w:t xml:space="preserve">, initial coding </w:t>
      </w:r>
      <w:r w:rsidRPr="00732EED">
        <w:rPr>
          <w:b/>
          <w:sz w:val="18"/>
          <w:szCs w:val="18"/>
        </w:rPr>
        <w:t>and summary of the included literature in the hermeneutic assessment</w:t>
      </w:r>
      <w:r w:rsidR="00CE2575" w:rsidRPr="00732EED">
        <w:rPr>
          <w:b/>
          <w:sz w:val="18"/>
          <w:szCs w:val="18"/>
        </w:rPr>
        <w:t xml:space="preserve"> (Phase </w:t>
      </w:r>
      <w:proofErr w:type="gramStart"/>
      <w:r w:rsidR="00CE2575" w:rsidRPr="00732EED">
        <w:rPr>
          <w:b/>
          <w:sz w:val="18"/>
          <w:szCs w:val="18"/>
        </w:rPr>
        <w:t>1)*</w:t>
      </w:r>
      <w:proofErr w:type="gramEnd"/>
    </w:p>
    <w:tbl>
      <w:tblPr>
        <w:tblStyle w:val="PlainTable1"/>
        <w:tblW w:w="5000" w:type="pct"/>
        <w:tblLook w:val="04A0" w:firstRow="1" w:lastRow="0" w:firstColumn="1" w:lastColumn="0" w:noHBand="0" w:noVBand="1"/>
      </w:tblPr>
      <w:tblGrid>
        <w:gridCol w:w="766"/>
        <w:gridCol w:w="268"/>
        <w:gridCol w:w="1158"/>
        <w:gridCol w:w="73"/>
        <w:gridCol w:w="1556"/>
        <w:gridCol w:w="55"/>
        <w:gridCol w:w="1650"/>
        <w:gridCol w:w="111"/>
        <w:gridCol w:w="1566"/>
        <w:gridCol w:w="66"/>
        <w:gridCol w:w="1480"/>
        <w:gridCol w:w="136"/>
        <w:gridCol w:w="1596"/>
        <w:gridCol w:w="3081"/>
      </w:tblGrid>
      <w:tr w:rsidR="00E31AA5" w:rsidRPr="00732EED" w14:paraId="204A29AD" w14:textId="77777777" w:rsidTr="005359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67D8F8A0" w14:textId="621FC8D4" w:rsidR="001C33D6" w:rsidRPr="00732EED" w:rsidRDefault="001C33D6" w:rsidP="00E46AB8">
            <w:pPr>
              <w:rPr>
                <w:b w:val="0"/>
                <w:bCs w:val="0"/>
                <w:sz w:val="18"/>
                <w:szCs w:val="18"/>
              </w:rPr>
            </w:pPr>
            <w:r w:rsidRPr="00732EED">
              <w:rPr>
                <w:b w:val="0"/>
                <w:bCs w:val="0"/>
                <w:sz w:val="18"/>
                <w:szCs w:val="18"/>
              </w:rPr>
              <w:t xml:space="preserve">Study </w:t>
            </w:r>
            <w:r w:rsidR="00A96D33" w:rsidRPr="00732EED">
              <w:rPr>
                <w:b w:val="0"/>
                <w:bCs w:val="0"/>
                <w:sz w:val="18"/>
                <w:szCs w:val="18"/>
              </w:rPr>
              <w:t>n</w:t>
            </w:r>
            <w:r w:rsidRPr="00732EED">
              <w:rPr>
                <w:b w:val="0"/>
                <w:bCs w:val="0"/>
                <w:sz w:val="18"/>
                <w:szCs w:val="18"/>
              </w:rPr>
              <w:t>umber</w:t>
            </w:r>
          </w:p>
        </w:tc>
        <w:tc>
          <w:tcPr>
            <w:tcW w:w="572" w:type="pct"/>
            <w:gridSpan w:val="3"/>
          </w:tcPr>
          <w:p w14:paraId="09C7006C" w14:textId="77777777" w:rsidR="001C33D6" w:rsidRPr="00732EED" w:rsidRDefault="001C33D6" w:rsidP="00E46AB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32EED">
              <w:rPr>
                <w:b w:val="0"/>
                <w:bCs w:val="0"/>
                <w:sz w:val="18"/>
                <w:szCs w:val="18"/>
              </w:rPr>
              <w:t>Study ID</w:t>
            </w:r>
          </w:p>
        </w:tc>
        <w:tc>
          <w:tcPr>
            <w:tcW w:w="436" w:type="pct"/>
          </w:tcPr>
          <w:p w14:paraId="3267F119" w14:textId="77777777" w:rsidR="001C33D6" w:rsidRPr="00732EED" w:rsidRDefault="001C33D6" w:rsidP="00E46AB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32EED">
              <w:rPr>
                <w:b w:val="0"/>
                <w:bCs w:val="0"/>
                <w:sz w:val="18"/>
                <w:szCs w:val="18"/>
              </w:rPr>
              <w:t>Study Design</w:t>
            </w:r>
          </w:p>
        </w:tc>
        <w:tc>
          <w:tcPr>
            <w:tcW w:w="476" w:type="pct"/>
            <w:gridSpan w:val="2"/>
          </w:tcPr>
          <w:p w14:paraId="589918F5" w14:textId="77777777" w:rsidR="001C33D6" w:rsidRPr="00732EED" w:rsidRDefault="001C33D6" w:rsidP="00E46AB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32EED">
              <w:rPr>
                <w:b w:val="0"/>
                <w:bCs w:val="0"/>
                <w:sz w:val="18"/>
                <w:szCs w:val="18"/>
              </w:rPr>
              <w:t>Population</w:t>
            </w:r>
          </w:p>
        </w:tc>
        <w:tc>
          <w:tcPr>
            <w:tcW w:w="328" w:type="pct"/>
            <w:gridSpan w:val="3"/>
          </w:tcPr>
          <w:p w14:paraId="045F56C9" w14:textId="2E494D05" w:rsidR="001C33D6" w:rsidRPr="00732EED" w:rsidRDefault="00C9621D" w:rsidP="00E46AB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32EED">
              <w:rPr>
                <w:b w:val="0"/>
                <w:bCs w:val="0"/>
                <w:sz w:val="18"/>
                <w:szCs w:val="18"/>
              </w:rPr>
              <w:t>S</w:t>
            </w:r>
            <w:r w:rsidR="001C33D6" w:rsidRPr="00732EED">
              <w:rPr>
                <w:b w:val="0"/>
                <w:bCs w:val="0"/>
                <w:sz w:val="18"/>
                <w:szCs w:val="18"/>
              </w:rPr>
              <w:t>etting/</w:t>
            </w:r>
            <w:r w:rsidRPr="00732EED">
              <w:rPr>
                <w:b w:val="0"/>
                <w:bCs w:val="0"/>
                <w:sz w:val="18"/>
                <w:szCs w:val="18"/>
              </w:rPr>
              <w:t>C</w:t>
            </w:r>
            <w:r w:rsidR="001C33D6" w:rsidRPr="00732EED">
              <w:rPr>
                <w:b w:val="0"/>
                <w:bCs w:val="0"/>
                <w:sz w:val="18"/>
                <w:szCs w:val="18"/>
              </w:rPr>
              <w:t>ountry</w:t>
            </w:r>
          </w:p>
        </w:tc>
        <w:tc>
          <w:tcPr>
            <w:tcW w:w="437" w:type="pct"/>
            <w:gridSpan w:val="2"/>
          </w:tcPr>
          <w:p w14:paraId="58910016" w14:textId="77777777" w:rsidR="001C33D6" w:rsidRPr="00732EED" w:rsidRDefault="001C33D6" w:rsidP="00E46AB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32EED">
              <w:rPr>
                <w:b w:val="0"/>
                <w:bCs w:val="0"/>
                <w:sz w:val="18"/>
                <w:szCs w:val="18"/>
              </w:rPr>
              <w:t>Methodology</w:t>
            </w:r>
          </w:p>
        </w:tc>
        <w:tc>
          <w:tcPr>
            <w:tcW w:w="452" w:type="pct"/>
          </w:tcPr>
          <w:p w14:paraId="4DBD2621" w14:textId="78684CB2" w:rsidR="001C33D6" w:rsidRPr="00732EED" w:rsidRDefault="001C33D6" w:rsidP="00E46AB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32EED">
              <w:rPr>
                <w:b w:val="0"/>
                <w:bCs w:val="0"/>
                <w:sz w:val="18"/>
                <w:szCs w:val="18"/>
              </w:rPr>
              <w:t xml:space="preserve">Theoretical </w:t>
            </w:r>
            <w:r w:rsidR="00A96D33" w:rsidRPr="00732EED">
              <w:rPr>
                <w:b w:val="0"/>
                <w:bCs w:val="0"/>
                <w:sz w:val="18"/>
                <w:szCs w:val="18"/>
              </w:rPr>
              <w:t>f</w:t>
            </w:r>
            <w:r w:rsidRPr="00732EED">
              <w:rPr>
                <w:b w:val="0"/>
                <w:bCs w:val="0"/>
                <w:sz w:val="18"/>
                <w:szCs w:val="18"/>
              </w:rPr>
              <w:t>ramework</w:t>
            </w:r>
          </w:p>
        </w:tc>
        <w:tc>
          <w:tcPr>
            <w:tcW w:w="1813" w:type="pct"/>
          </w:tcPr>
          <w:p w14:paraId="6C6CAD88" w14:textId="53F9AFBD" w:rsidR="001C33D6" w:rsidRPr="00732EED" w:rsidRDefault="00C9621D" w:rsidP="00E46AB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32EED">
              <w:rPr>
                <w:b w:val="0"/>
                <w:bCs w:val="0"/>
                <w:sz w:val="18"/>
                <w:szCs w:val="18"/>
              </w:rPr>
              <w:t>K</w:t>
            </w:r>
            <w:r w:rsidR="001C33D6" w:rsidRPr="00732EED">
              <w:rPr>
                <w:b w:val="0"/>
                <w:bCs w:val="0"/>
                <w:sz w:val="18"/>
                <w:szCs w:val="18"/>
              </w:rPr>
              <w:t xml:space="preserve">ey </w:t>
            </w:r>
            <w:r w:rsidR="00A96D33" w:rsidRPr="00732EED">
              <w:rPr>
                <w:b w:val="0"/>
                <w:bCs w:val="0"/>
                <w:sz w:val="18"/>
                <w:szCs w:val="18"/>
              </w:rPr>
              <w:t>f</w:t>
            </w:r>
            <w:r w:rsidR="001C33D6" w:rsidRPr="00732EED">
              <w:rPr>
                <w:b w:val="0"/>
                <w:bCs w:val="0"/>
                <w:sz w:val="18"/>
                <w:szCs w:val="18"/>
              </w:rPr>
              <w:t>indings</w:t>
            </w:r>
            <w:r w:rsidR="00C964C9" w:rsidRPr="00732EED">
              <w:rPr>
                <w:b w:val="0"/>
                <w:bCs w:val="0"/>
                <w:sz w:val="18"/>
                <w:szCs w:val="18"/>
              </w:rPr>
              <w:t xml:space="preserve">/ </w:t>
            </w:r>
            <w:r w:rsidR="00E46AB8" w:rsidRPr="00732EED">
              <w:rPr>
                <w:b w:val="0"/>
                <w:bCs w:val="0"/>
                <w:sz w:val="18"/>
                <w:szCs w:val="18"/>
              </w:rPr>
              <w:t xml:space="preserve">Initial </w:t>
            </w:r>
            <w:r w:rsidR="00C964C9" w:rsidRPr="00732EED">
              <w:rPr>
                <w:b w:val="0"/>
                <w:bCs w:val="0"/>
                <w:sz w:val="18"/>
                <w:szCs w:val="18"/>
              </w:rPr>
              <w:t>Coding Themes</w:t>
            </w:r>
          </w:p>
        </w:tc>
      </w:tr>
      <w:tr w:rsidR="00E31AA5" w:rsidRPr="00732EED" w14:paraId="69DEA1FB"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582DA1A5" w14:textId="77777777" w:rsidR="001C33D6" w:rsidRPr="00732EED" w:rsidRDefault="001C33D6" w:rsidP="00F0458C">
            <w:pPr>
              <w:rPr>
                <w:sz w:val="18"/>
                <w:szCs w:val="18"/>
              </w:rPr>
            </w:pPr>
            <w:r w:rsidRPr="00732EED">
              <w:rPr>
                <w:sz w:val="18"/>
                <w:szCs w:val="18"/>
              </w:rPr>
              <w:t>1</w:t>
            </w:r>
          </w:p>
        </w:tc>
        <w:tc>
          <w:tcPr>
            <w:tcW w:w="572" w:type="pct"/>
            <w:gridSpan w:val="3"/>
          </w:tcPr>
          <w:p w14:paraId="699F21F0" w14:textId="19DD214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Krohne </w:t>
            </w:r>
            <w:r w:rsidR="00F72C96" w:rsidRPr="00732EED">
              <w:rPr>
                <w:sz w:val="18"/>
                <w:szCs w:val="18"/>
              </w:rPr>
              <w:t>and</w:t>
            </w:r>
            <w:r w:rsidRPr="00732EED">
              <w:rPr>
                <w:sz w:val="18"/>
                <w:szCs w:val="18"/>
              </w:rPr>
              <w:t xml:space="preserve"> </w:t>
            </w:r>
            <w:proofErr w:type="spellStart"/>
            <w:r w:rsidRPr="00732EED">
              <w:rPr>
                <w:sz w:val="18"/>
                <w:szCs w:val="18"/>
              </w:rPr>
              <w:t>Ihlebaek</w:t>
            </w:r>
            <w:proofErr w:type="spellEnd"/>
            <w:r w:rsidRPr="00732EED">
              <w:rPr>
                <w:sz w:val="18"/>
                <w:szCs w:val="18"/>
              </w:rPr>
              <w:t>, 2010</w:t>
            </w:r>
          </w:p>
        </w:tc>
        <w:tc>
          <w:tcPr>
            <w:tcW w:w="436" w:type="pct"/>
          </w:tcPr>
          <w:p w14:paraId="18E5DCB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interview study</w:t>
            </w:r>
          </w:p>
        </w:tc>
        <w:tc>
          <w:tcPr>
            <w:tcW w:w="476" w:type="pct"/>
            <w:gridSpan w:val="2"/>
          </w:tcPr>
          <w:p w14:paraId="45511AD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14 Norwegian adults with chronic whiplash associated disorder</w:t>
            </w:r>
          </w:p>
        </w:tc>
        <w:tc>
          <w:tcPr>
            <w:tcW w:w="328" w:type="pct"/>
            <w:gridSpan w:val="3"/>
          </w:tcPr>
          <w:p w14:paraId="53808DF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Norway</w:t>
            </w:r>
          </w:p>
        </w:tc>
        <w:tc>
          <w:tcPr>
            <w:tcW w:w="437" w:type="pct"/>
            <w:gridSpan w:val="2"/>
          </w:tcPr>
          <w:p w14:paraId="05D2217C" w14:textId="29F4953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study using focus groups</w:t>
            </w:r>
            <w:r w:rsidR="00E43E88" w:rsidRPr="00732EED">
              <w:rPr>
                <w:sz w:val="18"/>
                <w:szCs w:val="18"/>
              </w:rPr>
              <w:t>,</w:t>
            </w:r>
            <w:r w:rsidRPr="00732EED">
              <w:rPr>
                <w:sz w:val="18"/>
                <w:szCs w:val="18"/>
              </w:rPr>
              <w:t xml:space="preserve"> interviews, thematic analysis</w:t>
            </w:r>
          </w:p>
        </w:tc>
        <w:tc>
          <w:tcPr>
            <w:tcW w:w="452" w:type="pct"/>
          </w:tcPr>
          <w:p w14:paraId="695B37B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Giorgi's phenomenological approach</w:t>
            </w:r>
          </w:p>
        </w:tc>
        <w:tc>
          <w:tcPr>
            <w:tcW w:w="1813" w:type="pct"/>
          </w:tcPr>
          <w:p w14:paraId="2B2FF534" w14:textId="535325B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w:t>
            </w:r>
            <w:r w:rsidR="008818F1" w:rsidRPr="00732EED">
              <w:rPr>
                <w:sz w:val="18"/>
                <w:szCs w:val="18"/>
              </w:rPr>
              <w:t>d</w:t>
            </w:r>
            <w:r w:rsidRPr="00732EED">
              <w:rPr>
                <w:sz w:val="18"/>
                <w:szCs w:val="18"/>
              </w:rPr>
              <w:t xml:space="preserve"> three main themes related to the fluctuating, variable nature of the symptoms: (1) activity, (2) rest, </w:t>
            </w:r>
            <w:r w:rsidR="008818F1" w:rsidRPr="00732EED">
              <w:rPr>
                <w:sz w:val="18"/>
                <w:szCs w:val="18"/>
              </w:rPr>
              <w:t xml:space="preserve">and </w:t>
            </w:r>
            <w:r w:rsidRPr="00732EED">
              <w:rPr>
                <w:sz w:val="18"/>
                <w:szCs w:val="18"/>
              </w:rPr>
              <w:t>(3) social withdrawal</w:t>
            </w:r>
          </w:p>
        </w:tc>
      </w:tr>
      <w:tr w:rsidR="00E31AA5" w:rsidRPr="00732EED" w14:paraId="1F9D18F5"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1CF90F13" w14:textId="77777777" w:rsidR="001C33D6" w:rsidRPr="00732EED" w:rsidRDefault="001C33D6" w:rsidP="00F0458C">
            <w:pPr>
              <w:rPr>
                <w:sz w:val="18"/>
                <w:szCs w:val="18"/>
              </w:rPr>
            </w:pPr>
            <w:r w:rsidRPr="00732EED">
              <w:rPr>
                <w:sz w:val="18"/>
                <w:szCs w:val="18"/>
              </w:rPr>
              <w:t>2</w:t>
            </w:r>
          </w:p>
        </w:tc>
        <w:tc>
          <w:tcPr>
            <w:tcW w:w="572" w:type="pct"/>
            <w:gridSpan w:val="3"/>
          </w:tcPr>
          <w:p w14:paraId="19C40D2B" w14:textId="37D9E346"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w:t>
            </w:r>
            <w:proofErr w:type="spellStart"/>
            <w:r w:rsidRPr="00732EED">
              <w:rPr>
                <w:sz w:val="18"/>
                <w:szCs w:val="18"/>
              </w:rPr>
              <w:t>Skjutar</w:t>
            </w:r>
            <w:proofErr w:type="spellEnd"/>
            <w:r w:rsidRPr="00732EED">
              <w:rPr>
                <w:sz w:val="18"/>
                <w:szCs w:val="18"/>
              </w:rPr>
              <w:t xml:space="preserve"> </w:t>
            </w:r>
            <w:r w:rsidR="00F72C96" w:rsidRPr="00732EED">
              <w:rPr>
                <w:sz w:val="18"/>
                <w:szCs w:val="18"/>
              </w:rPr>
              <w:t>and</w:t>
            </w:r>
            <w:r w:rsidRPr="00732EED">
              <w:rPr>
                <w:sz w:val="18"/>
                <w:szCs w:val="18"/>
              </w:rPr>
              <w:t xml:space="preserve"> </w:t>
            </w:r>
            <w:proofErr w:type="spellStart"/>
            <w:r w:rsidRPr="00732EED">
              <w:rPr>
                <w:sz w:val="18"/>
                <w:szCs w:val="18"/>
              </w:rPr>
              <w:t>Müllersdorf</w:t>
            </w:r>
            <w:proofErr w:type="spellEnd"/>
            <w:r w:rsidRPr="00732EED">
              <w:rPr>
                <w:sz w:val="18"/>
                <w:szCs w:val="18"/>
              </w:rPr>
              <w:t>, 2010</w:t>
            </w:r>
          </w:p>
        </w:tc>
        <w:tc>
          <w:tcPr>
            <w:tcW w:w="436" w:type="pct"/>
          </w:tcPr>
          <w:p w14:paraId="1139E61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Qualitative interview study</w:t>
            </w:r>
          </w:p>
        </w:tc>
        <w:tc>
          <w:tcPr>
            <w:tcW w:w="476" w:type="pct"/>
            <w:gridSpan w:val="2"/>
          </w:tcPr>
          <w:p w14:paraId="753DC8E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10 Swedish adults with musculoskeletal chronic pain</w:t>
            </w:r>
          </w:p>
        </w:tc>
        <w:tc>
          <w:tcPr>
            <w:tcW w:w="328" w:type="pct"/>
            <w:gridSpan w:val="3"/>
          </w:tcPr>
          <w:p w14:paraId="5E51A5C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Sweden</w:t>
            </w:r>
          </w:p>
        </w:tc>
        <w:tc>
          <w:tcPr>
            <w:tcW w:w="437" w:type="pct"/>
            <w:gridSpan w:val="2"/>
          </w:tcPr>
          <w:p w14:paraId="7D529FC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thematic content analysis</w:t>
            </w:r>
          </w:p>
        </w:tc>
        <w:tc>
          <w:tcPr>
            <w:tcW w:w="452" w:type="pct"/>
          </w:tcPr>
          <w:p w14:paraId="65C8B497" w14:textId="53216808"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Occupational </w:t>
            </w:r>
            <w:r w:rsidR="008818F1" w:rsidRPr="00732EED">
              <w:rPr>
                <w:sz w:val="18"/>
                <w:szCs w:val="18"/>
              </w:rPr>
              <w:t>p</w:t>
            </w:r>
            <w:r w:rsidRPr="00732EED">
              <w:rPr>
                <w:sz w:val="18"/>
                <w:szCs w:val="18"/>
              </w:rPr>
              <w:t xml:space="preserve">erspective on </w:t>
            </w:r>
            <w:r w:rsidR="008818F1" w:rsidRPr="00732EED">
              <w:rPr>
                <w:sz w:val="18"/>
                <w:szCs w:val="18"/>
              </w:rPr>
              <w:t>p</w:t>
            </w:r>
            <w:r w:rsidRPr="00732EED">
              <w:rPr>
                <w:sz w:val="18"/>
                <w:szCs w:val="18"/>
              </w:rPr>
              <w:t>ain</w:t>
            </w:r>
          </w:p>
        </w:tc>
        <w:tc>
          <w:tcPr>
            <w:tcW w:w="1813" w:type="pct"/>
          </w:tcPr>
          <w:p w14:paraId="5FC4E549" w14:textId="43A0E6C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w:t>
            </w:r>
            <w:r w:rsidR="00D76DA1" w:rsidRPr="00732EED">
              <w:rPr>
                <w:sz w:val="18"/>
                <w:szCs w:val="18"/>
              </w:rPr>
              <w:t>i</w:t>
            </w:r>
            <w:r w:rsidRPr="00732EED">
              <w:rPr>
                <w:sz w:val="18"/>
                <w:szCs w:val="18"/>
              </w:rPr>
              <w:t>dentified three themes: (1) The need to handle the painful body and eager mind, (2) The need for transformation of self-image, and (3) The need for affirmation through social engagement and enjoyment. Participants described inner conflict between rest and activity, the challenge of adapting to a new self-identity, and the importance of meaningful engagement for well-being.</w:t>
            </w:r>
          </w:p>
        </w:tc>
      </w:tr>
      <w:tr w:rsidR="00E31AA5" w:rsidRPr="00732EED" w14:paraId="751C3062"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68D33702" w14:textId="77777777" w:rsidR="001C33D6" w:rsidRPr="00732EED" w:rsidRDefault="001C33D6" w:rsidP="00F0458C">
            <w:pPr>
              <w:rPr>
                <w:sz w:val="18"/>
                <w:szCs w:val="18"/>
              </w:rPr>
            </w:pPr>
            <w:r w:rsidRPr="00732EED">
              <w:rPr>
                <w:sz w:val="18"/>
                <w:szCs w:val="18"/>
              </w:rPr>
              <w:t>3</w:t>
            </w:r>
          </w:p>
        </w:tc>
        <w:tc>
          <w:tcPr>
            <w:tcW w:w="572" w:type="pct"/>
            <w:gridSpan w:val="3"/>
          </w:tcPr>
          <w:p w14:paraId="09F236EC" w14:textId="3CF0C474"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Vallerand </w:t>
            </w:r>
            <w:r w:rsidR="00F72C96" w:rsidRPr="00732EED">
              <w:rPr>
                <w:sz w:val="18"/>
                <w:szCs w:val="18"/>
              </w:rPr>
              <w:t>and</w:t>
            </w:r>
            <w:r w:rsidRPr="00732EED">
              <w:rPr>
                <w:sz w:val="18"/>
                <w:szCs w:val="18"/>
              </w:rPr>
              <w:t xml:space="preserve"> Nowak, 2010</w:t>
            </w:r>
          </w:p>
        </w:tc>
        <w:tc>
          <w:tcPr>
            <w:tcW w:w="436" w:type="pct"/>
          </w:tcPr>
          <w:p w14:paraId="2C31C47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476" w:type="pct"/>
            <w:gridSpan w:val="2"/>
          </w:tcPr>
          <w:p w14:paraId="0C4BD79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22 patients with chronic pain and opioid medication treatment</w:t>
            </w:r>
          </w:p>
        </w:tc>
        <w:tc>
          <w:tcPr>
            <w:tcW w:w="328" w:type="pct"/>
            <w:gridSpan w:val="3"/>
          </w:tcPr>
          <w:p w14:paraId="5499753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USA</w:t>
            </w:r>
          </w:p>
        </w:tc>
        <w:tc>
          <w:tcPr>
            <w:tcW w:w="437" w:type="pct"/>
            <w:gridSpan w:val="2"/>
          </w:tcPr>
          <w:p w14:paraId="1E32D13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analysis</w:t>
            </w:r>
          </w:p>
        </w:tc>
        <w:tc>
          <w:tcPr>
            <w:tcW w:w="452" w:type="pct"/>
          </w:tcPr>
          <w:p w14:paraId="1E92009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1813" w:type="pct"/>
          </w:tcPr>
          <w:p w14:paraId="622D0B6D" w14:textId="7B6D4E02"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establishe</w:t>
            </w:r>
            <w:r w:rsidR="008818F1" w:rsidRPr="00732EED">
              <w:rPr>
                <w:sz w:val="18"/>
                <w:szCs w:val="18"/>
              </w:rPr>
              <w:t>d</w:t>
            </w:r>
            <w:r w:rsidRPr="00732EED">
              <w:rPr>
                <w:sz w:val="18"/>
                <w:szCs w:val="18"/>
              </w:rPr>
              <w:t xml:space="preserve"> patients</w:t>
            </w:r>
            <w:r w:rsidR="008818F1" w:rsidRPr="00732EED">
              <w:rPr>
                <w:sz w:val="18"/>
                <w:szCs w:val="18"/>
              </w:rPr>
              <w:t>’</w:t>
            </w:r>
            <w:r w:rsidRPr="00732EED">
              <w:rPr>
                <w:sz w:val="18"/>
                <w:szCs w:val="18"/>
              </w:rPr>
              <w:t xml:space="preserve"> lived experiences before opioid treatment characterized by (1) desperation</w:t>
            </w:r>
            <w:r w:rsidR="008818F1" w:rsidRPr="00732EED">
              <w:rPr>
                <w:sz w:val="18"/>
                <w:szCs w:val="18"/>
              </w:rPr>
              <w:t xml:space="preserve"> and</w:t>
            </w:r>
            <w:r w:rsidRPr="00732EED">
              <w:rPr>
                <w:sz w:val="18"/>
                <w:szCs w:val="18"/>
              </w:rPr>
              <w:t xml:space="preserve"> (2) inability to function. Life after treatment with opioids characterized by (1) living a secret life, (2) fear of losing the </w:t>
            </w:r>
            <w:hyperlink r:id="rId6" w:tooltip="Learn more about pain management from ScienceDirect's AI-generated Topic Pages" w:history="1">
              <w:r w:rsidRPr="00732EED">
                <w:rPr>
                  <w:rStyle w:val="Hyperlink"/>
                  <w:sz w:val="18"/>
                  <w:szCs w:val="18"/>
                </w:rPr>
                <w:t>pain management</w:t>
              </w:r>
            </w:hyperlink>
            <w:r w:rsidRPr="00732EED">
              <w:rPr>
                <w:sz w:val="18"/>
                <w:szCs w:val="18"/>
              </w:rPr>
              <w:t> regimen, and (3) gratefulness. The themes developed were the (1) incapacitation of chronic pain (2) stigmatization, (3) secrecy to regain life</w:t>
            </w:r>
            <w:r w:rsidR="008818F1" w:rsidRPr="00732EED">
              <w:rPr>
                <w:sz w:val="18"/>
                <w:szCs w:val="18"/>
              </w:rPr>
              <w:t>,</w:t>
            </w:r>
            <w:r w:rsidRPr="00732EED">
              <w:rPr>
                <w:sz w:val="18"/>
                <w:szCs w:val="18"/>
              </w:rPr>
              <w:t xml:space="preserve"> and (4) improvement of </w:t>
            </w:r>
            <w:hyperlink r:id="rId7" w:tooltip="Learn more about functional capacity from ScienceDirect's AI-generated Topic Pages" w:history="1">
              <w:r w:rsidRPr="00732EED">
                <w:rPr>
                  <w:rStyle w:val="Hyperlink"/>
                  <w:sz w:val="18"/>
                  <w:szCs w:val="18"/>
                </w:rPr>
                <w:t>functional capacity</w:t>
              </w:r>
            </w:hyperlink>
            <w:r w:rsidRPr="00732EED">
              <w:rPr>
                <w:sz w:val="18"/>
                <w:szCs w:val="18"/>
              </w:rPr>
              <w:t> and ability to perform self-care.</w:t>
            </w:r>
          </w:p>
        </w:tc>
      </w:tr>
      <w:tr w:rsidR="00E31AA5" w:rsidRPr="00732EED" w14:paraId="7959AE09"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55790CFF" w14:textId="77777777" w:rsidR="001C33D6" w:rsidRPr="00732EED" w:rsidRDefault="001C33D6" w:rsidP="00F0458C">
            <w:pPr>
              <w:rPr>
                <w:sz w:val="18"/>
                <w:szCs w:val="18"/>
              </w:rPr>
            </w:pPr>
            <w:r w:rsidRPr="00732EED">
              <w:rPr>
                <w:sz w:val="18"/>
                <w:szCs w:val="18"/>
              </w:rPr>
              <w:t>4</w:t>
            </w:r>
          </w:p>
        </w:tc>
        <w:tc>
          <w:tcPr>
            <w:tcW w:w="572" w:type="pct"/>
            <w:gridSpan w:val="3"/>
          </w:tcPr>
          <w:p w14:paraId="0011C910" w14:textId="7BAD6FAD"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Hansson </w:t>
            </w:r>
            <w:r w:rsidR="00F94452" w:rsidRPr="00732EED">
              <w:rPr>
                <w:sz w:val="18"/>
                <w:szCs w:val="18"/>
              </w:rPr>
              <w:t>et</w:t>
            </w:r>
            <w:r w:rsidRPr="00732EED">
              <w:rPr>
                <w:sz w:val="18"/>
                <w:szCs w:val="18"/>
              </w:rPr>
              <w:t xml:space="preserve"> al</w:t>
            </w:r>
            <w:r w:rsidR="00F47F4F" w:rsidRPr="00732EED">
              <w:rPr>
                <w:sz w:val="18"/>
                <w:szCs w:val="18"/>
              </w:rPr>
              <w:t>.,</w:t>
            </w:r>
            <w:r w:rsidRPr="00732EED">
              <w:rPr>
                <w:sz w:val="18"/>
                <w:szCs w:val="18"/>
              </w:rPr>
              <w:t xml:space="preserve"> 2011</w:t>
            </w:r>
          </w:p>
        </w:tc>
        <w:tc>
          <w:tcPr>
            <w:tcW w:w="436" w:type="pct"/>
          </w:tcPr>
          <w:p w14:paraId="455B27BB" w14:textId="47A2425F"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550FFE4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8 Patients with Chronic Pain on their encounters with the healthcare system</w:t>
            </w:r>
          </w:p>
        </w:tc>
        <w:tc>
          <w:tcPr>
            <w:tcW w:w="328" w:type="pct"/>
            <w:gridSpan w:val="3"/>
          </w:tcPr>
          <w:p w14:paraId="619A22D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Sweden</w:t>
            </w:r>
          </w:p>
        </w:tc>
        <w:tc>
          <w:tcPr>
            <w:tcW w:w="437" w:type="pct"/>
            <w:gridSpan w:val="2"/>
          </w:tcPr>
          <w:p w14:paraId="7137450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Semi-structured interviews with thematic synthesis </w:t>
            </w:r>
          </w:p>
        </w:tc>
        <w:tc>
          <w:tcPr>
            <w:tcW w:w="452" w:type="pct"/>
          </w:tcPr>
          <w:p w14:paraId="706117B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Qualitative descriptive analysis</w:t>
            </w:r>
          </w:p>
        </w:tc>
        <w:tc>
          <w:tcPr>
            <w:tcW w:w="1813" w:type="pct"/>
          </w:tcPr>
          <w:p w14:paraId="57D74AB4" w14:textId="1401956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that </w:t>
            </w:r>
            <w:r w:rsidR="00300AAF" w:rsidRPr="00732EED">
              <w:rPr>
                <w:sz w:val="18"/>
                <w:szCs w:val="18"/>
              </w:rPr>
              <w:t xml:space="preserve">dismissive attitudes </w:t>
            </w:r>
            <w:r w:rsidRPr="00732EED">
              <w:rPr>
                <w:sz w:val="18"/>
                <w:szCs w:val="18"/>
              </w:rPr>
              <w:t xml:space="preserve">to chronic pain among healthcare providers contributed to increased feelings of negativity in </w:t>
            </w:r>
            <w:r w:rsidR="008818F1" w:rsidRPr="00732EED">
              <w:rPr>
                <w:sz w:val="18"/>
                <w:szCs w:val="18"/>
              </w:rPr>
              <w:t xml:space="preserve">patients with </w:t>
            </w:r>
            <w:r w:rsidRPr="00732EED">
              <w:rPr>
                <w:sz w:val="18"/>
                <w:szCs w:val="18"/>
              </w:rPr>
              <w:t xml:space="preserve">chronic pain and </w:t>
            </w:r>
            <w:proofErr w:type="gramStart"/>
            <w:r w:rsidRPr="00732EED">
              <w:rPr>
                <w:sz w:val="18"/>
                <w:szCs w:val="18"/>
              </w:rPr>
              <w:t>that patients</w:t>
            </w:r>
            <w:proofErr w:type="gramEnd"/>
            <w:r w:rsidRPr="00732EED">
              <w:rPr>
                <w:sz w:val="18"/>
                <w:szCs w:val="18"/>
              </w:rPr>
              <w:t xml:space="preserve"> often felt discredited</w:t>
            </w:r>
            <w:r w:rsidR="00FC3D9C" w:rsidRPr="00732EED">
              <w:rPr>
                <w:sz w:val="18"/>
                <w:szCs w:val="18"/>
              </w:rPr>
              <w:t>,</w:t>
            </w:r>
            <w:r w:rsidRPr="00732EED">
              <w:rPr>
                <w:sz w:val="18"/>
                <w:szCs w:val="18"/>
              </w:rPr>
              <w:t xml:space="preserve"> </w:t>
            </w:r>
            <w:r w:rsidR="00FC3D9C" w:rsidRPr="00732EED">
              <w:rPr>
                <w:sz w:val="18"/>
                <w:szCs w:val="18"/>
              </w:rPr>
              <w:t>with</w:t>
            </w:r>
            <w:r w:rsidRPr="00732EED">
              <w:rPr>
                <w:sz w:val="18"/>
                <w:szCs w:val="18"/>
              </w:rPr>
              <w:t xml:space="preserve"> their own personal experience of the situation being question</w:t>
            </w:r>
            <w:r w:rsidR="00FC3D9C" w:rsidRPr="00732EED">
              <w:rPr>
                <w:sz w:val="18"/>
                <w:szCs w:val="18"/>
              </w:rPr>
              <w:t>ed</w:t>
            </w:r>
            <w:r w:rsidRPr="00732EED">
              <w:rPr>
                <w:sz w:val="18"/>
                <w:szCs w:val="18"/>
              </w:rPr>
              <w:t>.</w:t>
            </w:r>
          </w:p>
        </w:tc>
      </w:tr>
      <w:tr w:rsidR="00E31AA5" w:rsidRPr="00732EED" w14:paraId="2343D68E"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00767686" w14:textId="77777777" w:rsidR="001C33D6" w:rsidRPr="00732EED" w:rsidRDefault="001C33D6" w:rsidP="00F0458C">
            <w:pPr>
              <w:rPr>
                <w:sz w:val="18"/>
                <w:szCs w:val="18"/>
              </w:rPr>
            </w:pPr>
            <w:r w:rsidRPr="00732EED">
              <w:rPr>
                <w:sz w:val="18"/>
                <w:szCs w:val="18"/>
              </w:rPr>
              <w:t>5</w:t>
            </w:r>
          </w:p>
        </w:tc>
        <w:tc>
          <w:tcPr>
            <w:tcW w:w="572" w:type="pct"/>
            <w:gridSpan w:val="3"/>
          </w:tcPr>
          <w:p w14:paraId="5BADB1D8" w14:textId="36D9208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732EED">
              <w:rPr>
                <w:sz w:val="18"/>
                <w:szCs w:val="18"/>
              </w:rPr>
              <w:t>Skuladottir</w:t>
            </w:r>
            <w:proofErr w:type="spellEnd"/>
            <w:r w:rsidRPr="00732EED">
              <w:rPr>
                <w:sz w:val="18"/>
                <w:szCs w:val="18"/>
              </w:rPr>
              <w:t xml:space="preserve"> </w:t>
            </w:r>
            <w:r w:rsidR="00F72C96" w:rsidRPr="00732EED">
              <w:rPr>
                <w:sz w:val="18"/>
                <w:szCs w:val="18"/>
              </w:rPr>
              <w:t>and</w:t>
            </w:r>
            <w:r w:rsidRPr="00732EED">
              <w:rPr>
                <w:sz w:val="18"/>
                <w:szCs w:val="18"/>
              </w:rPr>
              <w:t xml:space="preserve"> Halldorsdottir, 2011</w:t>
            </w:r>
          </w:p>
        </w:tc>
        <w:tc>
          <w:tcPr>
            <w:tcW w:w="436" w:type="pct"/>
          </w:tcPr>
          <w:p w14:paraId="318C8A0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476" w:type="pct"/>
            <w:gridSpan w:val="2"/>
          </w:tcPr>
          <w:p w14:paraId="77981CA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5 women with chronic pain</w:t>
            </w:r>
          </w:p>
        </w:tc>
        <w:tc>
          <w:tcPr>
            <w:tcW w:w="328" w:type="pct"/>
            <w:gridSpan w:val="3"/>
          </w:tcPr>
          <w:p w14:paraId="2191663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Iceland</w:t>
            </w:r>
          </w:p>
        </w:tc>
        <w:tc>
          <w:tcPr>
            <w:tcW w:w="437" w:type="pct"/>
            <w:gridSpan w:val="2"/>
          </w:tcPr>
          <w:p w14:paraId="7143BC55" w14:textId="42C2026F"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12 basic steps of the research process of the Vancouver School</w:t>
            </w:r>
          </w:p>
        </w:tc>
        <w:tc>
          <w:tcPr>
            <w:tcW w:w="452" w:type="pct"/>
          </w:tcPr>
          <w:p w14:paraId="776CD3A7" w14:textId="27E42DE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Vancouver School of </w:t>
            </w:r>
            <w:r w:rsidR="003B6C1B" w:rsidRPr="00732EED">
              <w:rPr>
                <w:sz w:val="18"/>
                <w:szCs w:val="18"/>
              </w:rPr>
              <w:t>P</w:t>
            </w:r>
            <w:r w:rsidRPr="00732EED">
              <w:rPr>
                <w:sz w:val="18"/>
                <w:szCs w:val="18"/>
              </w:rPr>
              <w:t>henomenology</w:t>
            </w:r>
          </w:p>
        </w:tc>
        <w:tc>
          <w:tcPr>
            <w:tcW w:w="1813" w:type="pct"/>
          </w:tcPr>
          <w:p w14:paraId="25009AEA" w14:textId="1136ED5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overriding themes (1) the quest to find a diagnosis, (2) the quest for treatment, (3) the quest to learn to live with pain, (4) the quest for support and connection, (5) the quest for normalcy, (6) the quest for dignity, (7) avoid</w:t>
            </w:r>
            <w:r w:rsidR="00FC3D9C" w:rsidRPr="00732EED">
              <w:rPr>
                <w:sz w:val="18"/>
                <w:szCs w:val="18"/>
              </w:rPr>
              <w:t>ance of</w:t>
            </w:r>
            <w:r w:rsidRPr="00732EED">
              <w:rPr>
                <w:sz w:val="18"/>
                <w:szCs w:val="18"/>
              </w:rPr>
              <w:t xml:space="preserve"> isolation and (8) </w:t>
            </w:r>
            <w:r w:rsidRPr="00732EED">
              <w:rPr>
                <w:sz w:val="18"/>
                <w:szCs w:val="18"/>
              </w:rPr>
              <w:lastRenderedPageBreak/>
              <w:t xml:space="preserve">loneliness, (9) the need for family support, </w:t>
            </w:r>
            <w:r w:rsidR="00FC3D9C" w:rsidRPr="00732EED">
              <w:rPr>
                <w:sz w:val="18"/>
                <w:szCs w:val="18"/>
              </w:rPr>
              <w:t xml:space="preserve">and </w:t>
            </w:r>
            <w:r w:rsidRPr="00732EED">
              <w:rPr>
                <w:sz w:val="18"/>
                <w:szCs w:val="18"/>
              </w:rPr>
              <w:t xml:space="preserve">(10) the need for financial support </w:t>
            </w:r>
          </w:p>
        </w:tc>
      </w:tr>
      <w:tr w:rsidR="00E31AA5" w:rsidRPr="00732EED" w14:paraId="43CAE72F"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7C8ACD5D" w14:textId="77777777" w:rsidR="001C33D6" w:rsidRPr="00732EED" w:rsidRDefault="001C33D6" w:rsidP="00F0458C">
            <w:pPr>
              <w:rPr>
                <w:sz w:val="18"/>
                <w:szCs w:val="18"/>
              </w:rPr>
            </w:pPr>
            <w:r w:rsidRPr="00732EED">
              <w:rPr>
                <w:sz w:val="18"/>
                <w:szCs w:val="18"/>
              </w:rPr>
              <w:lastRenderedPageBreak/>
              <w:t>6</w:t>
            </w:r>
          </w:p>
        </w:tc>
        <w:tc>
          <w:tcPr>
            <w:tcW w:w="572" w:type="pct"/>
            <w:gridSpan w:val="3"/>
          </w:tcPr>
          <w:p w14:paraId="28DAC2E2" w14:textId="77C2892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Tollefson </w:t>
            </w:r>
            <w:r w:rsidR="00F94452" w:rsidRPr="00732EED">
              <w:rPr>
                <w:sz w:val="18"/>
                <w:szCs w:val="18"/>
              </w:rPr>
              <w:t>et</w:t>
            </w:r>
            <w:r w:rsidRPr="00732EED">
              <w:rPr>
                <w:sz w:val="18"/>
                <w:szCs w:val="18"/>
              </w:rPr>
              <w:t xml:space="preserve"> al</w:t>
            </w:r>
            <w:r w:rsidR="00F47F4F" w:rsidRPr="00732EED">
              <w:rPr>
                <w:sz w:val="18"/>
                <w:szCs w:val="18"/>
              </w:rPr>
              <w:t>.,</w:t>
            </w:r>
            <w:r w:rsidR="00A96D33" w:rsidRPr="00732EED">
              <w:rPr>
                <w:sz w:val="18"/>
                <w:szCs w:val="18"/>
              </w:rPr>
              <w:t xml:space="preserve"> </w:t>
            </w:r>
            <w:r w:rsidRPr="00732EED">
              <w:rPr>
                <w:sz w:val="18"/>
                <w:szCs w:val="18"/>
              </w:rPr>
              <w:t>2011</w:t>
            </w:r>
          </w:p>
        </w:tc>
        <w:tc>
          <w:tcPr>
            <w:tcW w:w="436" w:type="pct"/>
          </w:tcPr>
          <w:p w14:paraId="6B731FCE" w14:textId="7D1495E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3A981B85" w14:textId="1CF316AD"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w:t>
            </w:r>
            <w:r w:rsidR="000B4DFE" w:rsidRPr="00732EED">
              <w:rPr>
                <w:sz w:val="18"/>
                <w:szCs w:val="18"/>
              </w:rPr>
              <w:t>r</w:t>
            </w:r>
            <w:r w:rsidRPr="00732EED">
              <w:rPr>
                <w:sz w:val="18"/>
                <w:szCs w:val="18"/>
              </w:rPr>
              <w:t xml:space="preserve">ural </w:t>
            </w:r>
            <w:r w:rsidR="000B4DFE" w:rsidRPr="00732EED">
              <w:rPr>
                <w:sz w:val="18"/>
                <w:szCs w:val="18"/>
              </w:rPr>
              <w:t>p</w:t>
            </w:r>
            <w:r w:rsidRPr="00732EED">
              <w:rPr>
                <w:sz w:val="18"/>
                <w:szCs w:val="18"/>
              </w:rPr>
              <w:t>atients living with chronic pain</w:t>
            </w:r>
          </w:p>
        </w:tc>
        <w:tc>
          <w:tcPr>
            <w:tcW w:w="328" w:type="pct"/>
            <w:gridSpan w:val="3"/>
          </w:tcPr>
          <w:p w14:paraId="7864968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Australia</w:t>
            </w:r>
          </w:p>
        </w:tc>
        <w:tc>
          <w:tcPr>
            <w:tcW w:w="437" w:type="pct"/>
            <w:gridSpan w:val="2"/>
          </w:tcPr>
          <w:p w14:paraId="45F0AC3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Open-ended interviews with thematic synthesis</w:t>
            </w:r>
          </w:p>
        </w:tc>
        <w:tc>
          <w:tcPr>
            <w:tcW w:w="452" w:type="pct"/>
          </w:tcPr>
          <w:p w14:paraId="3D0C744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21D6AD81" w14:textId="53A79D8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several core themes</w:t>
            </w:r>
            <w:r w:rsidR="00E43E88" w:rsidRPr="00732EED">
              <w:rPr>
                <w:sz w:val="18"/>
                <w:szCs w:val="18"/>
              </w:rPr>
              <w:t>,</w:t>
            </w:r>
            <w:r w:rsidRPr="00732EED">
              <w:rPr>
                <w:sz w:val="18"/>
                <w:szCs w:val="18"/>
              </w:rPr>
              <w:t xml:space="preserve"> including pain as silence, privacy as a way of protection, no </w:t>
            </w:r>
            <w:r w:rsidR="00FC3D9C" w:rsidRPr="00732EED">
              <w:rPr>
                <w:sz w:val="18"/>
                <w:szCs w:val="18"/>
              </w:rPr>
              <w:t>avenue</w:t>
            </w:r>
            <w:r w:rsidRPr="00732EED">
              <w:rPr>
                <w:sz w:val="18"/>
                <w:szCs w:val="18"/>
              </w:rPr>
              <w:t xml:space="preserve"> to </w:t>
            </w:r>
            <w:r w:rsidR="00FC3D9C" w:rsidRPr="00732EED">
              <w:rPr>
                <w:sz w:val="18"/>
                <w:szCs w:val="18"/>
              </w:rPr>
              <w:t>receive</w:t>
            </w:r>
            <w:r w:rsidRPr="00732EED">
              <w:rPr>
                <w:sz w:val="18"/>
                <w:szCs w:val="18"/>
              </w:rPr>
              <w:t xml:space="preserve"> support, and dealing with healthcare professionals that do not understand</w:t>
            </w:r>
            <w:r w:rsidR="00FC3D9C" w:rsidRPr="00732EED">
              <w:rPr>
                <w:sz w:val="18"/>
                <w:szCs w:val="18"/>
              </w:rPr>
              <w:t xml:space="preserve"> the condition</w:t>
            </w:r>
            <w:r w:rsidRPr="00732EED">
              <w:rPr>
                <w:sz w:val="18"/>
                <w:szCs w:val="18"/>
              </w:rPr>
              <w:t>.</w:t>
            </w:r>
          </w:p>
        </w:tc>
      </w:tr>
      <w:tr w:rsidR="00E31AA5" w:rsidRPr="00732EED" w14:paraId="75786DA5"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5A13CE30" w14:textId="77777777" w:rsidR="001C33D6" w:rsidRPr="00732EED" w:rsidRDefault="001C33D6" w:rsidP="00F0458C">
            <w:pPr>
              <w:rPr>
                <w:sz w:val="18"/>
                <w:szCs w:val="18"/>
              </w:rPr>
            </w:pPr>
            <w:r w:rsidRPr="00732EED">
              <w:rPr>
                <w:sz w:val="18"/>
                <w:szCs w:val="18"/>
              </w:rPr>
              <w:t>7</w:t>
            </w:r>
          </w:p>
        </w:tc>
        <w:tc>
          <w:tcPr>
            <w:tcW w:w="572" w:type="pct"/>
            <w:gridSpan w:val="3"/>
          </w:tcPr>
          <w:p w14:paraId="44D9F8A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Lavie-Ajayi et al., 2012</w:t>
            </w:r>
          </w:p>
        </w:tc>
        <w:tc>
          <w:tcPr>
            <w:tcW w:w="436" w:type="pct"/>
          </w:tcPr>
          <w:p w14:paraId="1D01E682" w14:textId="19C6A432"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Interpretative phenomenological analysis (IPA)</w:t>
            </w:r>
          </w:p>
        </w:tc>
        <w:tc>
          <w:tcPr>
            <w:tcW w:w="476" w:type="pct"/>
            <w:gridSpan w:val="2"/>
          </w:tcPr>
          <w:p w14:paraId="6CF4D95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6 individuals with chronic pain</w:t>
            </w:r>
          </w:p>
        </w:tc>
        <w:tc>
          <w:tcPr>
            <w:tcW w:w="328" w:type="pct"/>
            <w:gridSpan w:val="3"/>
          </w:tcPr>
          <w:p w14:paraId="084225A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Israel</w:t>
            </w:r>
          </w:p>
        </w:tc>
        <w:tc>
          <w:tcPr>
            <w:tcW w:w="437" w:type="pct"/>
            <w:gridSpan w:val="2"/>
          </w:tcPr>
          <w:p w14:paraId="6CAB9C6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analysis</w:t>
            </w:r>
          </w:p>
        </w:tc>
        <w:tc>
          <w:tcPr>
            <w:tcW w:w="452" w:type="pct"/>
          </w:tcPr>
          <w:p w14:paraId="0E9D389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409028C2" w14:textId="717A86EB"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w:t>
            </w:r>
            <w:r w:rsidR="00FC3D9C" w:rsidRPr="00732EED">
              <w:rPr>
                <w:sz w:val="18"/>
                <w:szCs w:val="18"/>
              </w:rPr>
              <w:t>d</w:t>
            </w:r>
            <w:r w:rsidRPr="00732EED">
              <w:rPr>
                <w:sz w:val="18"/>
                <w:szCs w:val="18"/>
              </w:rPr>
              <w:t xml:space="preserve"> the “double</w:t>
            </w:r>
            <w:r w:rsidR="00FC3D9C" w:rsidRPr="00732EED">
              <w:rPr>
                <w:sz w:val="18"/>
                <w:szCs w:val="18"/>
              </w:rPr>
              <w:t>-</w:t>
            </w:r>
            <w:r w:rsidRPr="00732EED">
              <w:rPr>
                <w:sz w:val="18"/>
                <w:szCs w:val="18"/>
              </w:rPr>
              <w:t>faced phenomenon”: a vivid and total experience on one hand, elusive and deceptive on the other. The nature of this phenomenon</w:t>
            </w:r>
            <w:r w:rsidR="00FC3D9C" w:rsidRPr="00732EED">
              <w:rPr>
                <w:sz w:val="18"/>
                <w:szCs w:val="18"/>
              </w:rPr>
              <w:t>,</w:t>
            </w:r>
            <w:r w:rsidRPr="00732EED">
              <w:rPr>
                <w:sz w:val="18"/>
                <w:szCs w:val="18"/>
              </w:rPr>
              <w:t xml:space="preserve"> together with the medical and public delegitimization of chronic pain</w:t>
            </w:r>
            <w:r w:rsidR="00FC3D9C" w:rsidRPr="00732EED">
              <w:rPr>
                <w:sz w:val="18"/>
                <w:szCs w:val="18"/>
              </w:rPr>
              <w:t>,</w:t>
            </w:r>
            <w:r w:rsidRPr="00732EED">
              <w:rPr>
                <w:sz w:val="18"/>
                <w:szCs w:val="18"/>
              </w:rPr>
              <w:t xml:space="preserve"> prompts patients to question their own experiences and face what the authors call</w:t>
            </w:r>
            <w:r w:rsidR="00FC3D9C" w:rsidRPr="00732EED">
              <w:rPr>
                <w:sz w:val="18"/>
                <w:szCs w:val="18"/>
              </w:rPr>
              <w:t xml:space="preserve"> “</w:t>
            </w:r>
            <w:r w:rsidRPr="00732EED">
              <w:rPr>
                <w:sz w:val="18"/>
                <w:szCs w:val="18"/>
              </w:rPr>
              <w:t>narratological distress</w:t>
            </w:r>
            <w:r w:rsidR="00FC3D9C" w:rsidRPr="00732EED">
              <w:rPr>
                <w:sz w:val="18"/>
                <w:szCs w:val="18"/>
              </w:rPr>
              <w:t>.</w:t>
            </w:r>
            <w:r w:rsidRPr="00732EED">
              <w:rPr>
                <w:sz w:val="18"/>
                <w:szCs w:val="18"/>
              </w:rPr>
              <w:t>”</w:t>
            </w:r>
          </w:p>
        </w:tc>
      </w:tr>
      <w:tr w:rsidR="00E31AA5" w:rsidRPr="00732EED" w14:paraId="5011B72E"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2813449C" w14:textId="77777777" w:rsidR="001C33D6" w:rsidRPr="00732EED" w:rsidRDefault="001C33D6" w:rsidP="00F0458C">
            <w:pPr>
              <w:rPr>
                <w:sz w:val="18"/>
                <w:szCs w:val="18"/>
              </w:rPr>
            </w:pPr>
            <w:r w:rsidRPr="00732EED">
              <w:rPr>
                <w:sz w:val="18"/>
                <w:szCs w:val="18"/>
              </w:rPr>
              <w:t>8</w:t>
            </w:r>
          </w:p>
        </w:tc>
        <w:tc>
          <w:tcPr>
            <w:tcW w:w="572" w:type="pct"/>
            <w:gridSpan w:val="3"/>
          </w:tcPr>
          <w:p w14:paraId="41A4C702" w14:textId="304D7BF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Nay </w:t>
            </w:r>
            <w:r w:rsidR="00F72C96" w:rsidRPr="00732EED">
              <w:rPr>
                <w:sz w:val="18"/>
                <w:szCs w:val="18"/>
              </w:rPr>
              <w:t>and</w:t>
            </w:r>
            <w:r w:rsidRPr="00732EED">
              <w:rPr>
                <w:sz w:val="18"/>
                <w:szCs w:val="18"/>
              </w:rPr>
              <w:t xml:space="preserve"> Fetherstonhaugh</w:t>
            </w:r>
            <w:r w:rsidR="00F47F4F" w:rsidRPr="00732EED">
              <w:rPr>
                <w:sz w:val="18"/>
                <w:szCs w:val="18"/>
              </w:rPr>
              <w:t>,</w:t>
            </w:r>
            <w:r w:rsidR="00A96D33" w:rsidRPr="00732EED">
              <w:rPr>
                <w:sz w:val="18"/>
                <w:szCs w:val="18"/>
              </w:rPr>
              <w:t xml:space="preserve"> </w:t>
            </w:r>
            <w:r w:rsidRPr="00732EED">
              <w:rPr>
                <w:sz w:val="18"/>
                <w:szCs w:val="18"/>
              </w:rPr>
              <w:t>2012</w:t>
            </w:r>
          </w:p>
        </w:tc>
        <w:tc>
          <w:tcPr>
            <w:tcW w:w="436" w:type="pct"/>
          </w:tcPr>
          <w:p w14:paraId="697365E0" w14:textId="27989B9A"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0B182D8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four patients with chronic pain</w:t>
            </w:r>
          </w:p>
        </w:tc>
        <w:tc>
          <w:tcPr>
            <w:tcW w:w="328" w:type="pct"/>
            <w:gridSpan w:val="3"/>
          </w:tcPr>
          <w:p w14:paraId="39973DC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Australia</w:t>
            </w:r>
          </w:p>
        </w:tc>
        <w:tc>
          <w:tcPr>
            <w:tcW w:w="437" w:type="pct"/>
            <w:gridSpan w:val="2"/>
          </w:tcPr>
          <w:p w14:paraId="7A29DBC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 guided by the van Manen methodology</w:t>
            </w:r>
          </w:p>
        </w:tc>
        <w:tc>
          <w:tcPr>
            <w:tcW w:w="452" w:type="pct"/>
          </w:tcPr>
          <w:p w14:paraId="32E21F8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27DFCEEA" w14:textId="24962EA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several major themes</w:t>
            </w:r>
            <w:r w:rsidR="00694514" w:rsidRPr="00732EED">
              <w:rPr>
                <w:sz w:val="18"/>
                <w:szCs w:val="18"/>
              </w:rPr>
              <w:t>,</w:t>
            </w:r>
            <w:r w:rsidRPr="00732EED">
              <w:rPr>
                <w:sz w:val="18"/>
                <w:szCs w:val="18"/>
              </w:rPr>
              <w:t xml:space="preserve"> including </w:t>
            </w:r>
            <w:r w:rsidR="00FC3D9C" w:rsidRPr="00732EED">
              <w:rPr>
                <w:sz w:val="18"/>
                <w:szCs w:val="18"/>
              </w:rPr>
              <w:t>“</w:t>
            </w:r>
            <w:r w:rsidRPr="00732EED">
              <w:rPr>
                <w:sz w:val="18"/>
                <w:szCs w:val="18"/>
              </w:rPr>
              <w:t>pain is what the person says it is,</w:t>
            </w:r>
            <w:r w:rsidR="00FC3D9C" w:rsidRPr="00732EED">
              <w:rPr>
                <w:sz w:val="18"/>
                <w:szCs w:val="18"/>
              </w:rPr>
              <w:t>”</w:t>
            </w:r>
            <w:r w:rsidRPr="00732EED">
              <w:rPr>
                <w:sz w:val="18"/>
                <w:szCs w:val="18"/>
              </w:rPr>
              <w:t xml:space="preserve"> </w:t>
            </w:r>
            <w:r w:rsidR="00FC3D9C" w:rsidRPr="00732EED">
              <w:rPr>
                <w:sz w:val="18"/>
                <w:szCs w:val="18"/>
              </w:rPr>
              <w:t>“</w:t>
            </w:r>
            <w:r w:rsidRPr="00732EED">
              <w:rPr>
                <w:sz w:val="18"/>
                <w:szCs w:val="18"/>
              </w:rPr>
              <w:t>how staff respond is integral to the pain process,</w:t>
            </w:r>
            <w:r w:rsidR="001C2084" w:rsidRPr="00732EED">
              <w:rPr>
                <w:sz w:val="18"/>
                <w:szCs w:val="18"/>
              </w:rPr>
              <w:t>”</w:t>
            </w:r>
            <w:r w:rsidRPr="00732EED">
              <w:rPr>
                <w:sz w:val="18"/>
                <w:szCs w:val="18"/>
              </w:rPr>
              <w:t xml:space="preserve"> </w:t>
            </w:r>
            <w:r w:rsidR="00FC3D9C" w:rsidRPr="00732EED">
              <w:rPr>
                <w:sz w:val="18"/>
                <w:szCs w:val="18"/>
              </w:rPr>
              <w:t>“</w:t>
            </w:r>
            <w:r w:rsidRPr="00732EED">
              <w:rPr>
                <w:sz w:val="18"/>
                <w:szCs w:val="18"/>
              </w:rPr>
              <w:t>pain involves shock,</w:t>
            </w:r>
            <w:r w:rsidR="001C2084" w:rsidRPr="00732EED">
              <w:rPr>
                <w:sz w:val="18"/>
                <w:szCs w:val="18"/>
              </w:rPr>
              <w:t>”</w:t>
            </w:r>
            <w:r w:rsidRPr="00732EED">
              <w:rPr>
                <w:sz w:val="18"/>
                <w:szCs w:val="18"/>
              </w:rPr>
              <w:t xml:space="preserve"> </w:t>
            </w:r>
            <w:r w:rsidR="00FC3D9C" w:rsidRPr="00732EED">
              <w:rPr>
                <w:sz w:val="18"/>
                <w:szCs w:val="18"/>
              </w:rPr>
              <w:t>“</w:t>
            </w:r>
            <w:r w:rsidRPr="00732EED">
              <w:rPr>
                <w:sz w:val="18"/>
                <w:szCs w:val="18"/>
              </w:rPr>
              <w:t xml:space="preserve">loss of control, </w:t>
            </w:r>
            <w:r w:rsidR="00FC3D9C" w:rsidRPr="00732EED">
              <w:rPr>
                <w:sz w:val="18"/>
                <w:szCs w:val="18"/>
              </w:rPr>
              <w:t>“</w:t>
            </w:r>
            <w:r w:rsidRPr="00732EED">
              <w:rPr>
                <w:sz w:val="18"/>
                <w:szCs w:val="18"/>
              </w:rPr>
              <w:t>unpleasant through to unbearable sensations.</w:t>
            </w:r>
            <w:r w:rsidR="001C2084" w:rsidRPr="00732EED">
              <w:rPr>
                <w:sz w:val="18"/>
                <w:szCs w:val="18"/>
              </w:rPr>
              <w:t>”</w:t>
            </w:r>
          </w:p>
        </w:tc>
      </w:tr>
      <w:tr w:rsidR="00E31AA5" w:rsidRPr="00732EED" w14:paraId="4474636C"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52AD4730" w14:textId="77777777" w:rsidR="001C33D6" w:rsidRPr="00732EED" w:rsidRDefault="001C33D6" w:rsidP="00F0458C">
            <w:pPr>
              <w:rPr>
                <w:sz w:val="18"/>
                <w:szCs w:val="18"/>
              </w:rPr>
            </w:pPr>
            <w:r w:rsidRPr="00732EED">
              <w:rPr>
                <w:sz w:val="18"/>
                <w:szCs w:val="18"/>
              </w:rPr>
              <w:t>9</w:t>
            </w:r>
          </w:p>
        </w:tc>
        <w:tc>
          <w:tcPr>
            <w:tcW w:w="572" w:type="pct"/>
            <w:gridSpan w:val="3"/>
          </w:tcPr>
          <w:p w14:paraId="5C90D05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West et al., 2012</w:t>
            </w:r>
          </w:p>
        </w:tc>
        <w:tc>
          <w:tcPr>
            <w:tcW w:w="436" w:type="pct"/>
          </w:tcPr>
          <w:p w14:paraId="4F8D58FA" w14:textId="773471C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interview study</w:t>
            </w:r>
          </w:p>
        </w:tc>
        <w:tc>
          <w:tcPr>
            <w:tcW w:w="476" w:type="pct"/>
            <w:gridSpan w:val="2"/>
          </w:tcPr>
          <w:p w14:paraId="7C9B58C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10 individuals with chronic pain</w:t>
            </w:r>
          </w:p>
        </w:tc>
        <w:tc>
          <w:tcPr>
            <w:tcW w:w="328" w:type="pct"/>
            <w:gridSpan w:val="3"/>
          </w:tcPr>
          <w:p w14:paraId="6EA9514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Australia</w:t>
            </w:r>
          </w:p>
        </w:tc>
        <w:tc>
          <w:tcPr>
            <w:tcW w:w="437" w:type="pct"/>
            <w:gridSpan w:val="2"/>
          </w:tcPr>
          <w:p w14:paraId="709F4D2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analysis</w:t>
            </w:r>
          </w:p>
        </w:tc>
        <w:tc>
          <w:tcPr>
            <w:tcW w:w="452" w:type="pct"/>
          </w:tcPr>
          <w:p w14:paraId="1654C9D8" w14:textId="31FD81B0"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van Manen hermeneutic process</w:t>
            </w:r>
          </w:p>
        </w:tc>
        <w:tc>
          <w:tcPr>
            <w:tcW w:w="1813" w:type="pct"/>
          </w:tcPr>
          <w:p w14:paraId="4DD0204F" w14:textId="0810AD4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demonstrate</w:t>
            </w:r>
            <w:r w:rsidR="001C2084" w:rsidRPr="00732EED">
              <w:rPr>
                <w:sz w:val="18"/>
                <w:szCs w:val="18"/>
              </w:rPr>
              <w:t>d</w:t>
            </w:r>
            <w:r w:rsidRPr="00732EED">
              <w:rPr>
                <w:sz w:val="18"/>
                <w:szCs w:val="18"/>
              </w:rPr>
              <w:t xml:space="preserve"> the ability of individuals to </w:t>
            </w:r>
            <w:r w:rsidR="001C2084" w:rsidRPr="00732EED">
              <w:rPr>
                <w:sz w:val="18"/>
                <w:szCs w:val="18"/>
              </w:rPr>
              <w:t xml:space="preserve">(1) </w:t>
            </w:r>
            <w:r w:rsidRPr="00732EED">
              <w:rPr>
                <w:sz w:val="18"/>
                <w:szCs w:val="18"/>
              </w:rPr>
              <w:t>express resilience</w:t>
            </w:r>
            <w:r w:rsidR="001C2084" w:rsidRPr="00732EED">
              <w:rPr>
                <w:sz w:val="18"/>
                <w:szCs w:val="18"/>
              </w:rPr>
              <w:t>,</w:t>
            </w:r>
            <w:r w:rsidRPr="00732EED">
              <w:rPr>
                <w:sz w:val="18"/>
                <w:szCs w:val="18"/>
              </w:rPr>
              <w:t xml:space="preserve"> (2) demonstrate positivity despite the challenges of illness</w:t>
            </w:r>
            <w:r w:rsidR="001C2084" w:rsidRPr="00732EED">
              <w:rPr>
                <w:sz w:val="18"/>
                <w:szCs w:val="18"/>
              </w:rPr>
              <w:t>,</w:t>
            </w:r>
            <w:r w:rsidRPr="00732EED">
              <w:rPr>
                <w:sz w:val="18"/>
                <w:szCs w:val="18"/>
              </w:rPr>
              <w:t xml:space="preserve"> and (3) transcend the difficulties of chronic pain.</w:t>
            </w:r>
          </w:p>
        </w:tc>
      </w:tr>
      <w:tr w:rsidR="00E31AA5" w:rsidRPr="00732EED" w14:paraId="6746EEFC"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4016EF37" w14:textId="77777777" w:rsidR="001C33D6" w:rsidRPr="00732EED" w:rsidRDefault="001C33D6" w:rsidP="00F0458C">
            <w:pPr>
              <w:rPr>
                <w:sz w:val="18"/>
                <w:szCs w:val="18"/>
              </w:rPr>
            </w:pPr>
            <w:r w:rsidRPr="00732EED">
              <w:rPr>
                <w:sz w:val="18"/>
                <w:szCs w:val="18"/>
              </w:rPr>
              <w:t>10</w:t>
            </w:r>
          </w:p>
        </w:tc>
        <w:tc>
          <w:tcPr>
            <w:tcW w:w="572" w:type="pct"/>
            <w:gridSpan w:val="3"/>
          </w:tcPr>
          <w:p w14:paraId="243B9165" w14:textId="6564FEC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Snelgrove </w:t>
            </w:r>
            <w:r w:rsidR="00F94452" w:rsidRPr="00732EED">
              <w:rPr>
                <w:sz w:val="18"/>
                <w:szCs w:val="18"/>
              </w:rPr>
              <w:t>et</w:t>
            </w:r>
            <w:r w:rsidRPr="00732EED">
              <w:rPr>
                <w:sz w:val="18"/>
                <w:szCs w:val="18"/>
              </w:rPr>
              <w:t xml:space="preserve"> al,</w:t>
            </w:r>
            <w:r w:rsidR="00A96D33" w:rsidRPr="00732EED">
              <w:rPr>
                <w:sz w:val="18"/>
                <w:szCs w:val="18"/>
              </w:rPr>
              <w:t xml:space="preserve"> </w:t>
            </w:r>
            <w:r w:rsidRPr="00732EED">
              <w:rPr>
                <w:sz w:val="18"/>
                <w:szCs w:val="18"/>
              </w:rPr>
              <w:t>2013</w:t>
            </w:r>
          </w:p>
        </w:tc>
        <w:tc>
          <w:tcPr>
            <w:tcW w:w="436" w:type="pct"/>
          </w:tcPr>
          <w:p w14:paraId="1C45965A" w14:textId="1D78FD1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34A5B930" w14:textId="4592E4AD"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8 </w:t>
            </w:r>
            <w:r w:rsidR="00F72C96" w:rsidRPr="00732EED">
              <w:rPr>
                <w:sz w:val="18"/>
                <w:szCs w:val="18"/>
              </w:rPr>
              <w:t>p</w:t>
            </w:r>
            <w:r w:rsidRPr="00732EED">
              <w:rPr>
                <w:sz w:val="18"/>
                <w:szCs w:val="18"/>
              </w:rPr>
              <w:t>atients with chronic low back pain</w:t>
            </w:r>
          </w:p>
        </w:tc>
        <w:tc>
          <w:tcPr>
            <w:tcW w:w="328" w:type="pct"/>
            <w:gridSpan w:val="3"/>
          </w:tcPr>
          <w:p w14:paraId="54BE2CA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UK</w:t>
            </w:r>
          </w:p>
        </w:tc>
        <w:tc>
          <w:tcPr>
            <w:tcW w:w="437" w:type="pct"/>
            <w:gridSpan w:val="2"/>
          </w:tcPr>
          <w:p w14:paraId="1EC3975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50921044" w14:textId="2F5BA1F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Smith </w:t>
            </w:r>
            <w:r w:rsidR="00F72C96" w:rsidRPr="00732EED">
              <w:rPr>
                <w:sz w:val="18"/>
                <w:szCs w:val="18"/>
              </w:rPr>
              <w:t>and</w:t>
            </w:r>
            <w:r w:rsidRPr="00732EED">
              <w:rPr>
                <w:sz w:val="18"/>
                <w:szCs w:val="18"/>
              </w:rPr>
              <w:t xml:space="preserve"> Osborn (2003) guided data analysis</w:t>
            </w:r>
          </w:p>
        </w:tc>
        <w:tc>
          <w:tcPr>
            <w:tcW w:w="1813" w:type="pct"/>
          </w:tcPr>
          <w:p w14:paraId="0E86DFD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core themes of the constant, intrusive, painful body; unchanging painful lives and fragmentation of self; changed and problematic relationship with the environment; loss of valued roles and changed social relationships; loss of social life; and managing the pain. </w:t>
            </w:r>
          </w:p>
        </w:tc>
      </w:tr>
      <w:tr w:rsidR="00E31AA5" w:rsidRPr="00732EED" w14:paraId="4913D043"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274B2140" w14:textId="77777777" w:rsidR="001C33D6" w:rsidRPr="00732EED" w:rsidRDefault="001C33D6" w:rsidP="00F0458C">
            <w:pPr>
              <w:rPr>
                <w:sz w:val="18"/>
                <w:szCs w:val="18"/>
              </w:rPr>
            </w:pPr>
            <w:r w:rsidRPr="00732EED">
              <w:rPr>
                <w:sz w:val="18"/>
                <w:szCs w:val="18"/>
              </w:rPr>
              <w:t>11</w:t>
            </w:r>
          </w:p>
        </w:tc>
        <w:tc>
          <w:tcPr>
            <w:tcW w:w="572" w:type="pct"/>
            <w:gridSpan w:val="3"/>
          </w:tcPr>
          <w:p w14:paraId="33D66261" w14:textId="6960F710"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Taylor </w:t>
            </w:r>
            <w:r w:rsidR="00F94452" w:rsidRPr="00732EED">
              <w:rPr>
                <w:sz w:val="18"/>
                <w:szCs w:val="18"/>
              </w:rPr>
              <w:t>et</w:t>
            </w:r>
            <w:r w:rsidRPr="00732EED">
              <w:rPr>
                <w:sz w:val="18"/>
                <w:szCs w:val="18"/>
              </w:rPr>
              <w:t xml:space="preserve"> al</w:t>
            </w:r>
            <w:r w:rsidR="00F47F4F" w:rsidRPr="00732EED">
              <w:rPr>
                <w:sz w:val="18"/>
                <w:szCs w:val="18"/>
              </w:rPr>
              <w:t>.</w:t>
            </w:r>
            <w:r w:rsidRPr="00732EED">
              <w:rPr>
                <w:sz w:val="18"/>
                <w:szCs w:val="18"/>
              </w:rPr>
              <w:t>,</w:t>
            </w:r>
            <w:r w:rsidR="00A96D33" w:rsidRPr="00732EED">
              <w:rPr>
                <w:sz w:val="18"/>
                <w:szCs w:val="18"/>
              </w:rPr>
              <w:t xml:space="preserve"> </w:t>
            </w:r>
            <w:r w:rsidRPr="00732EED">
              <w:rPr>
                <w:sz w:val="18"/>
                <w:szCs w:val="18"/>
              </w:rPr>
              <w:t>2013</w:t>
            </w:r>
          </w:p>
        </w:tc>
        <w:tc>
          <w:tcPr>
            <w:tcW w:w="436" w:type="pct"/>
          </w:tcPr>
          <w:p w14:paraId="4288EA0C" w14:textId="52CB24B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19879AC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9 patients with a history of torture and persistent pain</w:t>
            </w:r>
          </w:p>
        </w:tc>
        <w:tc>
          <w:tcPr>
            <w:tcW w:w="328" w:type="pct"/>
            <w:gridSpan w:val="3"/>
          </w:tcPr>
          <w:p w14:paraId="0249F55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UK</w:t>
            </w:r>
          </w:p>
        </w:tc>
        <w:tc>
          <w:tcPr>
            <w:tcW w:w="437" w:type="pct"/>
            <w:gridSpan w:val="2"/>
          </w:tcPr>
          <w:p w14:paraId="6A56397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Post-Traumatic Stress Diagnostic Scale</w:t>
            </w:r>
          </w:p>
        </w:tc>
        <w:tc>
          <w:tcPr>
            <w:tcW w:w="452" w:type="pct"/>
          </w:tcPr>
          <w:p w14:paraId="08E8484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522AA549" w14:textId="5F2A9CE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four main themes, including “pain is the enemy</w:t>
            </w:r>
            <w:r w:rsidR="001C2084" w:rsidRPr="00732EED">
              <w:rPr>
                <w:sz w:val="18"/>
                <w:szCs w:val="18"/>
              </w:rPr>
              <w:t>,</w:t>
            </w:r>
            <w:r w:rsidRPr="00732EED">
              <w:rPr>
                <w:sz w:val="18"/>
                <w:szCs w:val="18"/>
              </w:rPr>
              <w:t>” “pain and intrusive memories are connected</w:t>
            </w:r>
            <w:r w:rsidR="001C2084" w:rsidRPr="00732EED">
              <w:rPr>
                <w:sz w:val="18"/>
                <w:szCs w:val="18"/>
              </w:rPr>
              <w:t>,</w:t>
            </w:r>
            <w:r w:rsidRPr="00732EED">
              <w:rPr>
                <w:sz w:val="18"/>
                <w:szCs w:val="18"/>
              </w:rPr>
              <w:t>” “changed identity</w:t>
            </w:r>
            <w:r w:rsidR="001C2084" w:rsidRPr="00732EED">
              <w:rPr>
                <w:sz w:val="18"/>
                <w:szCs w:val="18"/>
              </w:rPr>
              <w:t>,</w:t>
            </w:r>
            <w:r w:rsidRPr="00732EED">
              <w:rPr>
                <w:sz w:val="18"/>
                <w:szCs w:val="18"/>
              </w:rPr>
              <w:t>” and “resilience and resources</w:t>
            </w:r>
            <w:r w:rsidR="001C2084" w:rsidRPr="00732EED">
              <w:rPr>
                <w:sz w:val="18"/>
                <w:szCs w:val="18"/>
              </w:rPr>
              <w:t>.</w:t>
            </w:r>
            <w:r w:rsidRPr="00732EED">
              <w:rPr>
                <w:sz w:val="18"/>
                <w:szCs w:val="18"/>
              </w:rPr>
              <w:t>”</w:t>
            </w:r>
          </w:p>
        </w:tc>
      </w:tr>
      <w:tr w:rsidR="00E31AA5" w:rsidRPr="00732EED" w14:paraId="3F0BBE91"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18298604" w14:textId="77777777" w:rsidR="001C33D6" w:rsidRPr="00732EED" w:rsidRDefault="001C33D6" w:rsidP="00F0458C">
            <w:pPr>
              <w:rPr>
                <w:sz w:val="18"/>
                <w:szCs w:val="18"/>
              </w:rPr>
            </w:pPr>
            <w:r w:rsidRPr="00732EED">
              <w:rPr>
                <w:sz w:val="18"/>
                <w:szCs w:val="18"/>
              </w:rPr>
              <w:t>12</w:t>
            </w:r>
          </w:p>
        </w:tc>
        <w:tc>
          <w:tcPr>
            <w:tcW w:w="572" w:type="pct"/>
            <w:gridSpan w:val="3"/>
          </w:tcPr>
          <w:p w14:paraId="02EF2CF9" w14:textId="79C0F26A"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Dysvik</w:t>
            </w:r>
            <w:proofErr w:type="spellEnd"/>
            <w:r w:rsidRPr="00732EED">
              <w:rPr>
                <w:sz w:val="18"/>
                <w:szCs w:val="18"/>
              </w:rPr>
              <w:t xml:space="preserve"> </w:t>
            </w:r>
            <w:r w:rsidR="00F72C96" w:rsidRPr="00732EED">
              <w:rPr>
                <w:sz w:val="18"/>
                <w:szCs w:val="18"/>
              </w:rPr>
              <w:t xml:space="preserve">et al., </w:t>
            </w:r>
            <w:r w:rsidRPr="00732EED">
              <w:rPr>
                <w:sz w:val="18"/>
                <w:szCs w:val="18"/>
              </w:rPr>
              <w:t>2014</w:t>
            </w:r>
          </w:p>
        </w:tc>
        <w:tc>
          <w:tcPr>
            <w:tcW w:w="436" w:type="pct"/>
          </w:tcPr>
          <w:p w14:paraId="2C9D00C2" w14:textId="538E9F9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Qualitative </w:t>
            </w:r>
            <w:r w:rsidR="00F72C96" w:rsidRPr="00732EED">
              <w:rPr>
                <w:sz w:val="18"/>
                <w:szCs w:val="18"/>
              </w:rPr>
              <w:t>i</w:t>
            </w:r>
            <w:r w:rsidRPr="00732EED">
              <w:rPr>
                <w:sz w:val="18"/>
                <w:szCs w:val="18"/>
              </w:rPr>
              <w:t xml:space="preserve">nterview </w:t>
            </w:r>
            <w:r w:rsidR="00F72C96" w:rsidRPr="00732EED">
              <w:rPr>
                <w:sz w:val="18"/>
                <w:szCs w:val="18"/>
              </w:rPr>
              <w:t>s</w:t>
            </w:r>
            <w:r w:rsidRPr="00732EED">
              <w:rPr>
                <w:sz w:val="18"/>
                <w:szCs w:val="18"/>
              </w:rPr>
              <w:t>tudy</w:t>
            </w:r>
          </w:p>
        </w:tc>
        <w:tc>
          <w:tcPr>
            <w:tcW w:w="476" w:type="pct"/>
            <w:gridSpan w:val="2"/>
          </w:tcPr>
          <w:p w14:paraId="1E32E41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34 patients with chronic pain </w:t>
            </w:r>
            <w:r w:rsidRPr="00732EED">
              <w:rPr>
                <w:sz w:val="18"/>
                <w:szCs w:val="18"/>
              </w:rPr>
              <w:lastRenderedPageBreak/>
              <w:t>undergoing pain management</w:t>
            </w:r>
          </w:p>
        </w:tc>
        <w:tc>
          <w:tcPr>
            <w:tcW w:w="328" w:type="pct"/>
            <w:gridSpan w:val="3"/>
          </w:tcPr>
          <w:p w14:paraId="2164965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Norway</w:t>
            </w:r>
          </w:p>
        </w:tc>
        <w:tc>
          <w:tcPr>
            <w:tcW w:w="437" w:type="pct"/>
            <w:gridSpan w:val="2"/>
          </w:tcPr>
          <w:p w14:paraId="2AE7DDC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w:t>
            </w:r>
          </w:p>
        </w:tc>
        <w:tc>
          <w:tcPr>
            <w:tcW w:w="452" w:type="pct"/>
          </w:tcPr>
          <w:p w14:paraId="1C34A75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Descriptive qualitative analysis</w:t>
            </w:r>
          </w:p>
        </w:tc>
        <w:tc>
          <w:tcPr>
            <w:tcW w:w="1813" w:type="pct"/>
          </w:tcPr>
          <w:p w14:paraId="2B03777D" w14:textId="1AFFE0A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Written qualitative reports indicated the importance of group processes, increased self-understanding, and other </w:t>
            </w:r>
            <w:r w:rsidRPr="00732EED">
              <w:rPr>
                <w:sz w:val="18"/>
                <w:szCs w:val="18"/>
              </w:rPr>
              <w:lastRenderedPageBreak/>
              <w:t xml:space="preserve">aspects meaningful to the participants that </w:t>
            </w:r>
            <w:r w:rsidR="008A0C0A" w:rsidRPr="00732EED">
              <w:rPr>
                <w:sz w:val="18"/>
                <w:szCs w:val="18"/>
              </w:rPr>
              <w:t xml:space="preserve">saw </w:t>
            </w:r>
            <w:r w:rsidRPr="00732EED">
              <w:rPr>
                <w:sz w:val="18"/>
                <w:szCs w:val="18"/>
              </w:rPr>
              <w:t>overall improve</w:t>
            </w:r>
            <w:r w:rsidR="008A0C0A" w:rsidRPr="00732EED">
              <w:rPr>
                <w:sz w:val="18"/>
                <w:szCs w:val="18"/>
              </w:rPr>
              <w:t>ment</w:t>
            </w:r>
            <w:r w:rsidRPr="00732EED">
              <w:rPr>
                <w:sz w:val="18"/>
                <w:szCs w:val="18"/>
              </w:rPr>
              <w:t xml:space="preserve"> and alleviated their suffering. </w:t>
            </w:r>
          </w:p>
        </w:tc>
      </w:tr>
      <w:tr w:rsidR="00E31AA5" w:rsidRPr="00732EED" w14:paraId="351EB7D7"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409A9771" w14:textId="77777777" w:rsidR="001C33D6" w:rsidRPr="00732EED" w:rsidRDefault="001C33D6" w:rsidP="00F0458C">
            <w:pPr>
              <w:rPr>
                <w:sz w:val="18"/>
                <w:szCs w:val="18"/>
              </w:rPr>
            </w:pPr>
            <w:r w:rsidRPr="00732EED">
              <w:rPr>
                <w:sz w:val="18"/>
                <w:szCs w:val="18"/>
              </w:rPr>
              <w:lastRenderedPageBreak/>
              <w:t>13</w:t>
            </w:r>
          </w:p>
        </w:tc>
        <w:tc>
          <w:tcPr>
            <w:tcW w:w="572" w:type="pct"/>
            <w:gridSpan w:val="3"/>
          </w:tcPr>
          <w:p w14:paraId="66805CFF" w14:textId="3A6F08A8"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Furnes </w:t>
            </w:r>
            <w:r w:rsidR="00F72C96" w:rsidRPr="00732EED">
              <w:rPr>
                <w:sz w:val="18"/>
                <w:szCs w:val="18"/>
              </w:rPr>
              <w:t xml:space="preserve">et al., </w:t>
            </w:r>
            <w:r w:rsidRPr="00732EED">
              <w:rPr>
                <w:sz w:val="18"/>
                <w:szCs w:val="18"/>
              </w:rPr>
              <w:t>2014</w:t>
            </w:r>
          </w:p>
        </w:tc>
        <w:tc>
          <w:tcPr>
            <w:tcW w:w="436" w:type="pct"/>
          </w:tcPr>
          <w:p w14:paraId="657C87DD" w14:textId="50ABF2B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a</w:t>
            </w:r>
            <w:r w:rsidRPr="00732EED">
              <w:rPr>
                <w:sz w:val="18"/>
                <w:szCs w:val="18"/>
              </w:rPr>
              <w:t>nalysis</w:t>
            </w:r>
          </w:p>
        </w:tc>
        <w:tc>
          <w:tcPr>
            <w:tcW w:w="476" w:type="pct"/>
            <w:gridSpan w:val="2"/>
          </w:tcPr>
          <w:p w14:paraId="7575125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34 participants with chronic non-malignant pain who participated in group-based pain management programs.</w:t>
            </w:r>
          </w:p>
        </w:tc>
        <w:tc>
          <w:tcPr>
            <w:tcW w:w="328" w:type="pct"/>
            <w:gridSpan w:val="3"/>
          </w:tcPr>
          <w:p w14:paraId="274D3A0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UK</w:t>
            </w:r>
          </w:p>
        </w:tc>
        <w:tc>
          <w:tcPr>
            <w:tcW w:w="437" w:type="pct"/>
            <w:gridSpan w:val="2"/>
          </w:tcPr>
          <w:p w14:paraId="58B898E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Open interviews, thematic synthesis</w:t>
            </w:r>
          </w:p>
        </w:tc>
        <w:tc>
          <w:tcPr>
            <w:tcW w:w="452" w:type="pct"/>
          </w:tcPr>
          <w:p w14:paraId="3CCDC442" w14:textId="6F8A4C16"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a</w:t>
            </w:r>
            <w:r w:rsidRPr="00732EED">
              <w:rPr>
                <w:sz w:val="18"/>
                <w:szCs w:val="18"/>
              </w:rPr>
              <w:t>nalysis</w:t>
            </w:r>
          </w:p>
        </w:tc>
        <w:tc>
          <w:tcPr>
            <w:tcW w:w="1813" w:type="pct"/>
          </w:tcPr>
          <w:p w14:paraId="3CEEED9F" w14:textId="1050DD8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two main subthemes including “the significance of active involvement in gaining new insight” and “the significance of community and group support</w:t>
            </w:r>
            <w:r w:rsidR="008A0C0A" w:rsidRPr="00732EED">
              <w:rPr>
                <w:sz w:val="18"/>
                <w:szCs w:val="18"/>
              </w:rPr>
              <w:t>.</w:t>
            </w:r>
            <w:r w:rsidRPr="00732EED">
              <w:rPr>
                <w:sz w:val="18"/>
                <w:szCs w:val="18"/>
              </w:rPr>
              <w:t>”</w:t>
            </w:r>
          </w:p>
        </w:tc>
      </w:tr>
      <w:tr w:rsidR="00E31AA5" w:rsidRPr="00732EED" w14:paraId="33B36FCB"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767F8D17" w14:textId="77777777" w:rsidR="001C33D6" w:rsidRPr="00732EED" w:rsidRDefault="001C33D6" w:rsidP="00F0458C">
            <w:pPr>
              <w:rPr>
                <w:sz w:val="18"/>
                <w:szCs w:val="18"/>
              </w:rPr>
            </w:pPr>
            <w:r w:rsidRPr="00732EED">
              <w:rPr>
                <w:sz w:val="18"/>
                <w:szCs w:val="18"/>
              </w:rPr>
              <w:t>14</w:t>
            </w:r>
          </w:p>
        </w:tc>
        <w:tc>
          <w:tcPr>
            <w:tcW w:w="572" w:type="pct"/>
            <w:gridSpan w:val="3"/>
          </w:tcPr>
          <w:p w14:paraId="4A23B4AA" w14:textId="2F38F39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Juuso </w:t>
            </w:r>
            <w:r w:rsidR="00F72C96" w:rsidRPr="00732EED">
              <w:rPr>
                <w:sz w:val="18"/>
                <w:szCs w:val="18"/>
              </w:rPr>
              <w:t xml:space="preserve">et al., </w:t>
            </w:r>
            <w:r w:rsidRPr="00732EED">
              <w:rPr>
                <w:sz w:val="18"/>
                <w:szCs w:val="18"/>
              </w:rPr>
              <w:t>2014</w:t>
            </w:r>
          </w:p>
        </w:tc>
        <w:tc>
          <w:tcPr>
            <w:tcW w:w="436" w:type="pct"/>
          </w:tcPr>
          <w:p w14:paraId="56D6ACB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476" w:type="pct"/>
            <w:gridSpan w:val="2"/>
          </w:tcPr>
          <w:p w14:paraId="04AD6D03" w14:textId="23C25C8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9 women with a history of fibromyalgia</w:t>
            </w:r>
          </w:p>
        </w:tc>
        <w:tc>
          <w:tcPr>
            <w:tcW w:w="328" w:type="pct"/>
            <w:gridSpan w:val="3"/>
          </w:tcPr>
          <w:p w14:paraId="0C3BAED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Sweden</w:t>
            </w:r>
          </w:p>
        </w:tc>
        <w:tc>
          <w:tcPr>
            <w:tcW w:w="437" w:type="pct"/>
            <w:gridSpan w:val="2"/>
          </w:tcPr>
          <w:p w14:paraId="68AFEC2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4004C51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hermeneutic analysis</w:t>
            </w:r>
          </w:p>
        </w:tc>
        <w:tc>
          <w:tcPr>
            <w:tcW w:w="1813" w:type="pct"/>
          </w:tcPr>
          <w:p w14:paraId="120A6438" w14:textId="1B23099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w:t>
            </w:r>
            <w:r w:rsidR="008A0C0A" w:rsidRPr="00732EED">
              <w:rPr>
                <w:sz w:val="18"/>
                <w:szCs w:val="18"/>
              </w:rPr>
              <w:t>d</w:t>
            </w:r>
            <w:r w:rsidRPr="00732EED">
              <w:rPr>
                <w:sz w:val="18"/>
                <w:szCs w:val="18"/>
              </w:rPr>
              <w:t xml:space="preserve"> two major themes from the women’</w:t>
            </w:r>
            <w:r w:rsidR="008A0C0A" w:rsidRPr="00732EED">
              <w:rPr>
                <w:sz w:val="18"/>
                <w:szCs w:val="18"/>
              </w:rPr>
              <w:t>s</w:t>
            </w:r>
            <w:r w:rsidRPr="00732EED">
              <w:rPr>
                <w:sz w:val="18"/>
                <w:szCs w:val="18"/>
              </w:rPr>
              <w:t xml:space="preserve"> experiences</w:t>
            </w:r>
            <w:r w:rsidR="000B6110" w:rsidRPr="00732EED">
              <w:rPr>
                <w:sz w:val="18"/>
                <w:szCs w:val="18"/>
              </w:rPr>
              <w:t>,</w:t>
            </w:r>
            <w:r w:rsidRPr="00732EED">
              <w:rPr>
                <w:sz w:val="18"/>
                <w:szCs w:val="18"/>
              </w:rPr>
              <w:t xml:space="preserve"> including “being seen as a malingerer” and “being acknowledged</w:t>
            </w:r>
            <w:r w:rsidR="008A0C0A" w:rsidRPr="00732EED">
              <w:rPr>
                <w:sz w:val="18"/>
                <w:szCs w:val="18"/>
              </w:rPr>
              <w:t>.</w:t>
            </w:r>
            <w:r w:rsidRPr="00732EED">
              <w:rPr>
                <w:sz w:val="18"/>
                <w:szCs w:val="18"/>
              </w:rPr>
              <w:t>”</w:t>
            </w:r>
          </w:p>
        </w:tc>
      </w:tr>
      <w:tr w:rsidR="00E31AA5" w:rsidRPr="00732EED" w14:paraId="27851EAA"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05D4821C" w14:textId="77777777" w:rsidR="001C33D6" w:rsidRPr="00732EED" w:rsidRDefault="001C33D6" w:rsidP="00F0458C">
            <w:pPr>
              <w:rPr>
                <w:sz w:val="18"/>
                <w:szCs w:val="18"/>
              </w:rPr>
            </w:pPr>
            <w:r w:rsidRPr="00732EED">
              <w:rPr>
                <w:sz w:val="18"/>
                <w:szCs w:val="18"/>
              </w:rPr>
              <w:t>15</w:t>
            </w:r>
          </w:p>
        </w:tc>
        <w:tc>
          <w:tcPr>
            <w:tcW w:w="572" w:type="pct"/>
            <w:gridSpan w:val="3"/>
          </w:tcPr>
          <w:p w14:paraId="69CD0172" w14:textId="36E531AF"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Mahon et al.,</w:t>
            </w:r>
            <w:r w:rsidR="00A96D33" w:rsidRPr="00732EED">
              <w:rPr>
                <w:sz w:val="18"/>
                <w:szCs w:val="18"/>
              </w:rPr>
              <w:t xml:space="preserve"> </w:t>
            </w:r>
            <w:r w:rsidRPr="00732EED">
              <w:rPr>
                <w:sz w:val="18"/>
                <w:szCs w:val="18"/>
              </w:rPr>
              <w:t>2014</w:t>
            </w:r>
          </w:p>
        </w:tc>
        <w:tc>
          <w:tcPr>
            <w:tcW w:w="436" w:type="pct"/>
          </w:tcPr>
          <w:p w14:paraId="78BD69B2" w14:textId="216109C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Qualitative </w:t>
            </w:r>
            <w:r w:rsidR="00F72C96" w:rsidRPr="00732EED">
              <w:rPr>
                <w:sz w:val="18"/>
                <w:szCs w:val="18"/>
              </w:rPr>
              <w:t>i</w:t>
            </w:r>
            <w:r w:rsidRPr="00732EED">
              <w:rPr>
                <w:sz w:val="18"/>
                <w:szCs w:val="18"/>
              </w:rPr>
              <w:t xml:space="preserve">nterview </w:t>
            </w:r>
            <w:r w:rsidR="00F72C96" w:rsidRPr="00732EED">
              <w:rPr>
                <w:sz w:val="18"/>
                <w:szCs w:val="18"/>
              </w:rPr>
              <w:t>s</w:t>
            </w:r>
            <w:r w:rsidRPr="00732EED">
              <w:rPr>
                <w:sz w:val="18"/>
                <w:szCs w:val="18"/>
              </w:rPr>
              <w:t>tudy</w:t>
            </w:r>
          </w:p>
        </w:tc>
        <w:tc>
          <w:tcPr>
            <w:tcW w:w="476" w:type="pct"/>
            <w:gridSpan w:val="2"/>
          </w:tcPr>
          <w:p w14:paraId="158CD87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19 patients with chronic illness</w:t>
            </w:r>
          </w:p>
        </w:tc>
        <w:tc>
          <w:tcPr>
            <w:tcW w:w="328" w:type="pct"/>
            <w:gridSpan w:val="3"/>
          </w:tcPr>
          <w:p w14:paraId="5758F80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Ireland</w:t>
            </w:r>
          </w:p>
        </w:tc>
        <w:tc>
          <w:tcPr>
            <w:tcW w:w="437" w:type="pct"/>
            <w:gridSpan w:val="2"/>
          </w:tcPr>
          <w:p w14:paraId="0B2F806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385EC0A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Followed the qualitative descriptive design described by </w:t>
            </w:r>
            <w:proofErr w:type="spellStart"/>
            <w:r w:rsidRPr="00732EED">
              <w:rPr>
                <w:sz w:val="18"/>
                <w:szCs w:val="18"/>
              </w:rPr>
              <w:t>Sandelowski</w:t>
            </w:r>
            <w:proofErr w:type="spellEnd"/>
            <w:r w:rsidRPr="00732EED">
              <w:rPr>
                <w:sz w:val="18"/>
                <w:szCs w:val="18"/>
              </w:rPr>
              <w:t xml:space="preserve"> (2000)</w:t>
            </w:r>
          </w:p>
        </w:tc>
        <w:tc>
          <w:tcPr>
            <w:tcW w:w="1813" w:type="pct"/>
          </w:tcPr>
          <w:p w14:paraId="26124F9E" w14:textId="2A3351ED"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several common themes among its participants</w:t>
            </w:r>
            <w:r w:rsidR="000B6110" w:rsidRPr="00732EED">
              <w:rPr>
                <w:sz w:val="18"/>
                <w:szCs w:val="18"/>
              </w:rPr>
              <w:t>,</w:t>
            </w:r>
            <w:r w:rsidRPr="00732EED">
              <w:rPr>
                <w:sz w:val="18"/>
                <w:szCs w:val="18"/>
              </w:rPr>
              <w:t xml:space="preserve"> including a sense of loss, feeling of anger and frustration, uncertainty and stress, and adapti</w:t>
            </w:r>
            <w:r w:rsidR="008A0C0A" w:rsidRPr="00732EED">
              <w:rPr>
                <w:sz w:val="18"/>
                <w:szCs w:val="18"/>
              </w:rPr>
              <w:t>o</w:t>
            </w:r>
            <w:r w:rsidRPr="00732EED">
              <w:rPr>
                <w:sz w:val="18"/>
                <w:szCs w:val="18"/>
              </w:rPr>
              <w:t>n to</w:t>
            </w:r>
            <w:r w:rsidR="008A0C0A" w:rsidRPr="00732EED">
              <w:rPr>
                <w:sz w:val="18"/>
                <w:szCs w:val="18"/>
              </w:rPr>
              <w:t xml:space="preserve"> a</w:t>
            </w:r>
            <w:r w:rsidRPr="00732EED">
              <w:rPr>
                <w:sz w:val="18"/>
                <w:szCs w:val="18"/>
              </w:rPr>
              <w:t xml:space="preserve"> new life. </w:t>
            </w:r>
          </w:p>
        </w:tc>
      </w:tr>
      <w:tr w:rsidR="00E31AA5" w:rsidRPr="00732EED" w14:paraId="5DF82298"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38F6376D" w14:textId="77777777" w:rsidR="001C33D6" w:rsidRPr="00732EED" w:rsidRDefault="001C33D6" w:rsidP="00F0458C">
            <w:pPr>
              <w:rPr>
                <w:sz w:val="18"/>
                <w:szCs w:val="18"/>
              </w:rPr>
            </w:pPr>
            <w:r w:rsidRPr="00732EED">
              <w:rPr>
                <w:sz w:val="18"/>
                <w:szCs w:val="18"/>
              </w:rPr>
              <w:t>16</w:t>
            </w:r>
          </w:p>
        </w:tc>
        <w:tc>
          <w:tcPr>
            <w:tcW w:w="572" w:type="pct"/>
            <w:gridSpan w:val="3"/>
          </w:tcPr>
          <w:p w14:paraId="4FDABC2C" w14:textId="3388AC9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Mathias </w:t>
            </w:r>
            <w:r w:rsidR="00F72C96" w:rsidRPr="00732EED">
              <w:rPr>
                <w:sz w:val="18"/>
                <w:szCs w:val="18"/>
              </w:rPr>
              <w:t xml:space="preserve">et al., </w:t>
            </w:r>
            <w:r w:rsidRPr="00732EED">
              <w:rPr>
                <w:sz w:val="18"/>
                <w:szCs w:val="18"/>
              </w:rPr>
              <w:t>2014</w:t>
            </w:r>
          </w:p>
        </w:tc>
        <w:tc>
          <w:tcPr>
            <w:tcW w:w="436" w:type="pct"/>
          </w:tcPr>
          <w:p w14:paraId="1571CDB6" w14:textId="10DEB8C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49ED7DE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6 participants with chronic pain going through acceptance therapy</w:t>
            </w:r>
          </w:p>
        </w:tc>
        <w:tc>
          <w:tcPr>
            <w:tcW w:w="328" w:type="pct"/>
            <w:gridSpan w:val="3"/>
          </w:tcPr>
          <w:p w14:paraId="37040F5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UK</w:t>
            </w:r>
          </w:p>
        </w:tc>
        <w:tc>
          <w:tcPr>
            <w:tcW w:w="437" w:type="pct"/>
            <w:gridSpan w:val="2"/>
          </w:tcPr>
          <w:p w14:paraId="31CE33B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thematic synthesis</w:t>
            </w:r>
          </w:p>
        </w:tc>
        <w:tc>
          <w:tcPr>
            <w:tcW w:w="452" w:type="pct"/>
          </w:tcPr>
          <w:p w14:paraId="4EA28730" w14:textId="4B647DF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a</w:t>
            </w:r>
            <w:r w:rsidRPr="00732EED">
              <w:rPr>
                <w:sz w:val="18"/>
                <w:szCs w:val="18"/>
              </w:rPr>
              <w:t>nalysis</w:t>
            </w:r>
          </w:p>
        </w:tc>
        <w:tc>
          <w:tcPr>
            <w:tcW w:w="1813" w:type="pct"/>
          </w:tcPr>
          <w:p w14:paraId="4C290D82" w14:textId="6C5BBE6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Five major themes emerged</w:t>
            </w:r>
            <w:r w:rsidR="000B6110" w:rsidRPr="00732EED">
              <w:rPr>
                <w:sz w:val="18"/>
                <w:szCs w:val="18"/>
              </w:rPr>
              <w:t>,</w:t>
            </w:r>
            <w:r w:rsidRPr="00732EED">
              <w:rPr>
                <w:sz w:val="18"/>
                <w:szCs w:val="18"/>
              </w:rPr>
              <w:t xml:space="preserve"> including “I’m not alone</w:t>
            </w:r>
            <w:r w:rsidR="008A0C0A" w:rsidRPr="00732EED">
              <w:rPr>
                <w:sz w:val="18"/>
                <w:szCs w:val="18"/>
              </w:rPr>
              <w:t>,</w:t>
            </w:r>
            <w:r w:rsidRPr="00732EED">
              <w:rPr>
                <w:sz w:val="18"/>
                <w:szCs w:val="18"/>
              </w:rPr>
              <w:t>” “others understand my pain</w:t>
            </w:r>
            <w:r w:rsidR="008A0C0A" w:rsidRPr="00732EED">
              <w:rPr>
                <w:sz w:val="18"/>
                <w:szCs w:val="18"/>
              </w:rPr>
              <w:t>,</w:t>
            </w:r>
            <w:r w:rsidRPr="00732EED">
              <w:rPr>
                <w:sz w:val="18"/>
                <w:szCs w:val="18"/>
              </w:rPr>
              <w:t>” “freedom from pain taking over</w:t>
            </w:r>
            <w:r w:rsidR="008A0C0A" w:rsidRPr="00732EED">
              <w:rPr>
                <w:sz w:val="18"/>
                <w:szCs w:val="18"/>
              </w:rPr>
              <w:t>,</w:t>
            </w:r>
            <w:r w:rsidRPr="00732EED">
              <w:rPr>
                <w:sz w:val="18"/>
                <w:szCs w:val="18"/>
              </w:rPr>
              <w:t>” “a new self, one with pain</w:t>
            </w:r>
            <w:r w:rsidR="008A0C0A" w:rsidRPr="00732EED">
              <w:rPr>
                <w:sz w:val="18"/>
                <w:szCs w:val="18"/>
              </w:rPr>
              <w:t>,</w:t>
            </w:r>
            <w:r w:rsidRPr="00732EED">
              <w:rPr>
                <w:sz w:val="18"/>
                <w:szCs w:val="18"/>
              </w:rPr>
              <w:t>” and “facilitated change with exercise is possible</w:t>
            </w:r>
            <w:r w:rsidR="008A0C0A" w:rsidRPr="00732EED">
              <w:rPr>
                <w:sz w:val="18"/>
                <w:szCs w:val="18"/>
              </w:rPr>
              <w:t>.</w:t>
            </w:r>
            <w:r w:rsidRPr="00732EED">
              <w:rPr>
                <w:sz w:val="18"/>
                <w:szCs w:val="18"/>
              </w:rPr>
              <w:t>”</w:t>
            </w:r>
          </w:p>
        </w:tc>
      </w:tr>
      <w:tr w:rsidR="00E31AA5" w:rsidRPr="00732EED" w14:paraId="2A58E4FB"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1354106A" w14:textId="77777777" w:rsidR="001C33D6" w:rsidRPr="00732EED" w:rsidRDefault="001C33D6" w:rsidP="00F0458C">
            <w:pPr>
              <w:rPr>
                <w:sz w:val="18"/>
                <w:szCs w:val="18"/>
              </w:rPr>
            </w:pPr>
            <w:r w:rsidRPr="00732EED">
              <w:rPr>
                <w:sz w:val="18"/>
                <w:szCs w:val="18"/>
              </w:rPr>
              <w:t>17</w:t>
            </w:r>
          </w:p>
        </w:tc>
        <w:tc>
          <w:tcPr>
            <w:tcW w:w="572" w:type="pct"/>
            <w:gridSpan w:val="3"/>
          </w:tcPr>
          <w:p w14:paraId="1B067B4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Merolli et al., 2014</w:t>
            </w:r>
          </w:p>
        </w:tc>
        <w:tc>
          <w:tcPr>
            <w:tcW w:w="436" w:type="pct"/>
          </w:tcPr>
          <w:p w14:paraId="62B3A17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interview study</w:t>
            </w:r>
          </w:p>
        </w:tc>
        <w:tc>
          <w:tcPr>
            <w:tcW w:w="476" w:type="pct"/>
            <w:gridSpan w:val="2"/>
          </w:tcPr>
          <w:p w14:paraId="204724A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218 individuals with chronic pain using social media for self-management</w:t>
            </w:r>
          </w:p>
        </w:tc>
        <w:tc>
          <w:tcPr>
            <w:tcW w:w="328" w:type="pct"/>
            <w:gridSpan w:val="3"/>
          </w:tcPr>
          <w:p w14:paraId="6457131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Global (participants recruited online)</w:t>
            </w:r>
          </w:p>
        </w:tc>
        <w:tc>
          <w:tcPr>
            <w:tcW w:w="437" w:type="pct"/>
            <w:gridSpan w:val="2"/>
          </w:tcPr>
          <w:p w14:paraId="7B84E239"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Online survey with open-text responses, thematic content analysis</w:t>
            </w:r>
          </w:p>
        </w:tc>
        <w:tc>
          <w:tcPr>
            <w:tcW w:w="452" w:type="pct"/>
          </w:tcPr>
          <w:p w14:paraId="33E7A8BB" w14:textId="69406ED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Theory of </w:t>
            </w:r>
            <w:r w:rsidR="00F72C96" w:rsidRPr="00732EED">
              <w:rPr>
                <w:sz w:val="18"/>
                <w:szCs w:val="18"/>
              </w:rPr>
              <w:t>a</w:t>
            </w:r>
            <w:r w:rsidRPr="00732EED">
              <w:rPr>
                <w:sz w:val="18"/>
                <w:szCs w:val="18"/>
              </w:rPr>
              <w:t>ffordances</w:t>
            </w:r>
          </w:p>
        </w:tc>
        <w:tc>
          <w:tcPr>
            <w:tcW w:w="1813" w:type="pct"/>
          </w:tcPr>
          <w:p w14:paraId="5940E9DF" w14:textId="41B734E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Identified five therapeutic affordances of social media: (1) Exploration (information seeking), (2) Connection (mitigating isolation), (3) Narration (shared experiences), (4) Adaptation (adjusting self-management), </w:t>
            </w:r>
            <w:r w:rsidR="008A0C0A" w:rsidRPr="00732EED">
              <w:rPr>
                <w:sz w:val="18"/>
                <w:szCs w:val="18"/>
              </w:rPr>
              <w:t xml:space="preserve">and </w:t>
            </w:r>
            <w:r w:rsidRPr="00732EED">
              <w:rPr>
                <w:sz w:val="18"/>
                <w:szCs w:val="18"/>
              </w:rPr>
              <w:t>(5) Self-Presentation (controlling identity). Social media facilitates support, information exchange, and emotional validation but also presents concerns about misinformation and privacy.</w:t>
            </w:r>
          </w:p>
        </w:tc>
      </w:tr>
      <w:tr w:rsidR="00E31AA5" w:rsidRPr="00732EED" w14:paraId="57904A01"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2F554A46" w14:textId="77777777" w:rsidR="001C33D6" w:rsidRPr="00732EED" w:rsidRDefault="001C33D6" w:rsidP="00F0458C">
            <w:pPr>
              <w:rPr>
                <w:sz w:val="18"/>
                <w:szCs w:val="18"/>
              </w:rPr>
            </w:pPr>
            <w:r w:rsidRPr="00732EED">
              <w:rPr>
                <w:sz w:val="18"/>
                <w:szCs w:val="18"/>
              </w:rPr>
              <w:t>18</w:t>
            </w:r>
          </w:p>
        </w:tc>
        <w:tc>
          <w:tcPr>
            <w:tcW w:w="572" w:type="pct"/>
            <w:gridSpan w:val="3"/>
          </w:tcPr>
          <w:p w14:paraId="40E9BFAE" w14:textId="023BE44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Nilsen </w:t>
            </w:r>
            <w:r w:rsidR="00F72C96" w:rsidRPr="00732EED">
              <w:rPr>
                <w:sz w:val="18"/>
                <w:szCs w:val="18"/>
              </w:rPr>
              <w:t>and</w:t>
            </w:r>
            <w:r w:rsidRPr="00732EED">
              <w:rPr>
                <w:sz w:val="18"/>
                <w:szCs w:val="18"/>
              </w:rPr>
              <w:t xml:space="preserve"> Anderssen, 2014</w:t>
            </w:r>
          </w:p>
        </w:tc>
        <w:tc>
          <w:tcPr>
            <w:tcW w:w="436" w:type="pct"/>
          </w:tcPr>
          <w:p w14:paraId="626B40C3" w14:textId="4EB1B4B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47A06EC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20 patients with chronic, non-malignant pain</w:t>
            </w:r>
          </w:p>
        </w:tc>
        <w:tc>
          <w:tcPr>
            <w:tcW w:w="328" w:type="pct"/>
            <w:gridSpan w:val="3"/>
          </w:tcPr>
          <w:p w14:paraId="70C69E6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Norway</w:t>
            </w:r>
          </w:p>
        </w:tc>
        <w:tc>
          <w:tcPr>
            <w:tcW w:w="437" w:type="pct"/>
            <w:gridSpan w:val="2"/>
          </w:tcPr>
          <w:p w14:paraId="0EB70A7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Open-ended interviews</w:t>
            </w:r>
          </w:p>
        </w:tc>
        <w:tc>
          <w:tcPr>
            <w:tcW w:w="452" w:type="pct"/>
          </w:tcPr>
          <w:p w14:paraId="1F1A450A" w14:textId="126D9A8F"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Descriptive </w:t>
            </w:r>
            <w:r w:rsidR="00F72C96" w:rsidRPr="00732EED">
              <w:rPr>
                <w:sz w:val="18"/>
                <w:szCs w:val="18"/>
              </w:rPr>
              <w:t>p</w:t>
            </w:r>
            <w:r w:rsidRPr="00732EED">
              <w:rPr>
                <w:sz w:val="18"/>
                <w:szCs w:val="18"/>
              </w:rPr>
              <w:t>henomenological analysis</w:t>
            </w:r>
          </w:p>
        </w:tc>
        <w:tc>
          <w:tcPr>
            <w:tcW w:w="1813" w:type="pct"/>
          </w:tcPr>
          <w:p w14:paraId="4DD74C20" w14:textId="16A5208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that participants experienced loneliness, fear of stigmatization, and despair because of their condition and were motivated to come back to a normal daily life and especially to paid work.</w:t>
            </w:r>
          </w:p>
        </w:tc>
      </w:tr>
      <w:tr w:rsidR="00E31AA5" w:rsidRPr="00732EED" w14:paraId="1977BC59"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5573F528" w14:textId="77777777" w:rsidR="001C33D6" w:rsidRPr="00732EED" w:rsidRDefault="001C33D6" w:rsidP="00F0458C">
            <w:pPr>
              <w:rPr>
                <w:sz w:val="18"/>
                <w:szCs w:val="18"/>
              </w:rPr>
            </w:pPr>
            <w:r w:rsidRPr="00732EED">
              <w:rPr>
                <w:sz w:val="18"/>
                <w:szCs w:val="18"/>
              </w:rPr>
              <w:t>19</w:t>
            </w:r>
          </w:p>
        </w:tc>
        <w:tc>
          <w:tcPr>
            <w:tcW w:w="572" w:type="pct"/>
            <w:gridSpan w:val="3"/>
          </w:tcPr>
          <w:p w14:paraId="4034320A" w14:textId="11CF2988"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Ojala, </w:t>
            </w:r>
            <w:r w:rsidR="00F94452" w:rsidRPr="00732EED">
              <w:rPr>
                <w:sz w:val="18"/>
                <w:szCs w:val="18"/>
              </w:rPr>
              <w:t>et</w:t>
            </w:r>
            <w:r w:rsidRPr="00732EED">
              <w:rPr>
                <w:sz w:val="18"/>
                <w:szCs w:val="18"/>
              </w:rPr>
              <w:t xml:space="preserve"> al</w:t>
            </w:r>
            <w:r w:rsidR="00F47F4F" w:rsidRPr="00732EED">
              <w:rPr>
                <w:sz w:val="18"/>
                <w:szCs w:val="18"/>
              </w:rPr>
              <w:t>.,</w:t>
            </w:r>
            <w:r w:rsidR="00A96D33" w:rsidRPr="00732EED">
              <w:rPr>
                <w:sz w:val="18"/>
                <w:szCs w:val="18"/>
              </w:rPr>
              <w:t xml:space="preserve"> </w:t>
            </w:r>
            <w:r w:rsidRPr="00732EED">
              <w:rPr>
                <w:sz w:val="18"/>
                <w:szCs w:val="18"/>
              </w:rPr>
              <w:t>2014</w:t>
            </w:r>
          </w:p>
        </w:tc>
        <w:tc>
          <w:tcPr>
            <w:tcW w:w="436" w:type="pct"/>
          </w:tcPr>
          <w:p w14:paraId="2D7089EB" w14:textId="5379081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a</w:t>
            </w:r>
            <w:r w:rsidRPr="00732EED">
              <w:rPr>
                <w:sz w:val="18"/>
                <w:szCs w:val="18"/>
              </w:rPr>
              <w:t>nalysis</w:t>
            </w:r>
          </w:p>
        </w:tc>
        <w:tc>
          <w:tcPr>
            <w:tcW w:w="476" w:type="pct"/>
            <w:gridSpan w:val="2"/>
          </w:tcPr>
          <w:p w14:paraId="5167BF8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34 participants with chronic non-</w:t>
            </w:r>
            <w:r w:rsidRPr="00732EED">
              <w:rPr>
                <w:sz w:val="18"/>
                <w:szCs w:val="18"/>
              </w:rPr>
              <w:lastRenderedPageBreak/>
              <w:t>malignant pain, most of which had degenerative spinal pain</w:t>
            </w:r>
          </w:p>
        </w:tc>
        <w:tc>
          <w:tcPr>
            <w:tcW w:w="328" w:type="pct"/>
            <w:gridSpan w:val="3"/>
          </w:tcPr>
          <w:p w14:paraId="142AAE7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Finland</w:t>
            </w:r>
          </w:p>
        </w:tc>
        <w:tc>
          <w:tcPr>
            <w:tcW w:w="437" w:type="pct"/>
            <w:gridSpan w:val="2"/>
          </w:tcPr>
          <w:p w14:paraId="4474466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3BBDAD3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Giorgi’s four-phase </w:t>
            </w:r>
            <w:r w:rsidRPr="00732EED">
              <w:rPr>
                <w:sz w:val="18"/>
                <w:szCs w:val="18"/>
              </w:rPr>
              <w:lastRenderedPageBreak/>
              <w:t>phenomenological method</w:t>
            </w:r>
          </w:p>
        </w:tc>
        <w:tc>
          <w:tcPr>
            <w:tcW w:w="1813" w:type="pct"/>
          </w:tcPr>
          <w:p w14:paraId="76AB01FA" w14:textId="023CA2A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The study identified five major subthemes</w:t>
            </w:r>
            <w:r w:rsidR="000B6110" w:rsidRPr="00732EED">
              <w:rPr>
                <w:sz w:val="18"/>
                <w:szCs w:val="18"/>
              </w:rPr>
              <w:t>,</w:t>
            </w:r>
            <w:r w:rsidRPr="00732EED">
              <w:rPr>
                <w:sz w:val="18"/>
                <w:szCs w:val="18"/>
              </w:rPr>
              <w:t xml:space="preserve"> including “the dominance of chronic pain</w:t>
            </w:r>
            <w:r w:rsidR="00AD386F" w:rsidRPr="00732EED">
              <w:rPr>
                <w:sz w:val="18"/>
                <w:szCs w:val="18"/>
              </w:rPr>
              <w:t>,</w:t>
            </w:r>
            <w:r w:rsidRPr="00732EED">
              <w:rPr>
                <w:sz w:val="18"/>
                <w:szCs w:val="18"/>
              </w:rPr>
              <w:t>” “pain is the master</w:t>
            </w:r>
            <w:r w:rsidR="00AD386F" w:rsidRPr="00732EED">
              <w:rPr>
                <w:sz w:val="18"/>
                <w:szCs w:val="18"/>
              </w:rPr>
              <w:t>,</w:t>
            </w:r>
            <w:r w:rsidRPr="00732EED">
              <w:rPr>
                <w:sz w:val="18"/>
                <w:szCs w:val="18"/>
              </w:rPr>
              <w:t xml:space="preserve">” </w:t>
            </w:r>
            <w:r w:rsidRPr="00732EED">
              <w:rPr>
                <w:sz w:val="18"/>
                <w:szCs w:val="18"/>
              </w:rPr>
              <w:lastRenderedPageBreak/>
              <w:t>“life is not worth living</w:t>
            </w:r>
            <w:r w:rsidR="00AD386F" w:rsidRPr="00732EED">
              <w:rPr>
                <w:sz w:val="18"/>
                <w:szCs w:val="18"/>
              </w:rPr>
              <w:t>,</w:t>
            </w:r>
            <w:r w:rsidRPr="00732EED">
              <w:rPr>
                <w:sz w:val="18"/>
                <w:szCs w:val="18"/>
              </w:rPr>
              <w:t>” “contextual pain</w:t>
            </w:r>
            <w:r w:rsidR="00AD386F" w:rsidRPr="00732EED">
              <w:rPr>
                <w:sz w:val="18"/>
                <w:szCs w:val="18"/>
              </w:rPr>
              <w:t>,</w:t>
            </w:r>
            <w:r w:rsidRPr="00732EED">
              <w:rPr>
                <w:sz w:val="18"/>
                <w:szCs w:val="18"/>
              </w:rPr>
              <w:t>” and “waiting and hoping</w:t>
            </w:r>
            <w:r w:rsidR="00AD386F" w:rsidRPr="00732EED">
              <w:rPr>
                <w:sz w:val="18"/>
                <w:szCs w:val="18"/>
              </w:rPr>
              <w:t>.</w:t>
            </w:r>
            <w:r w:rsidRPr="00732EED">
              <w:rPr>
                <w:sz w:val="18"/>
                <w:szCs w:val="18"/>
              </w:rPr>
              <w:t>”</w:t>
            </w:r>
          </w:p>
        </w:tc>
      </w:tr>
      <w:tr w:rsidR="00E31AA5" w:rsidRPr="00732EED" w14:paraId="57B92E14"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218164CC" w14:textId="77777777" w:rsidR="001C33D6" w:rsidRPr="00732EED" w:rsidRDefault="001C33D6" w:rsidP="00F0458C">
            <w:pPr>
              <w:rPr>
                <w:sz w:val="18"/>
                <w:szCs w:val="18"/>
              </w:rPr>
            </w:pPr>
            <w:r w:rsidRPr="00732EED">
              <w:rPr>
                <w:sz w:val="18"/>
                <w:szCs w:val="18"/>
              </w:rPr>
              <w:lastRenderedPageBreak/>
              <w:t>20</w:t>
            </w:r>
          </w:p>
        </w:tc>
        <w:tc>
          <w:tcPr>
            <w:tcW w:w="572" w:type="pct"/>
            <w:gridSpan w:val="3"/>
          </w:tcPr>
          <w:p w14:paraId="7C049E01" w14:textId="0E31FA4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Brooks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2015</w:t>
            </w:r>
          </w:p>
        </w:tc>
        <w:tc>
          <w:tcPr>
            <w:tcW w:w="436" w:type="pct"/>
          </w:tcPr>
          <w:p w14:paraId="582E7988" w14:textId="65394C3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henomenological analysis (IPA)</w:t>
            </w:r>
          </w:p>
        </w:tc>
        <w:tc>
          <w:tcPr>
            <w:tcW w:w="476" w:type="pct"/>
            <w:gridSpan w:val="2"/>
          </w:tcPr>
          <w:p w14:paraId="09F9494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9 patients with chronic non-cancer pain that were managing their pain with prescription opioids</w:t>
            </w:r>
          </w:p>
        </w:tc>
        <w:tc>
          <w:tcPr>
            <w:tcW w:w="328" w:type="pct"/>
            <w:gridSpan w:val="3"/>
          </w:tcPr>
          <w:p w14:paraId="3B7CC75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
        </w:tc>
        <w:tc>
          <w:tcPr>
            <w:tcW w:w="437" w:type="pct"/>
            <w:gridSpan w:val="2"/>
          </w:tcPr>
          <w:p w14:paraId="3CF918D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 and subthemes</w:t>
            </w:r>
          </w:p>
        </w:tc>
        <w:tc>
          <w:tcPr>
            <w:tcW w:w="452" w:type="pct"/>
          </w:tcPr>
          <w:p w14:paraId="3B3A088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3C670860" w14:textId="622D308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six major themes relat</w:t>
            </w:r>
            <w:r w:rsidR="00AD386F" w:rsidRPr="00732EED">
              <w:rPr>
                <w:sz w:val="18"/>
                <w:szCs w:val="18"/>
              </w:rPr>
              <w:t>ed</w:t>
            </w:r>
            <w:r w:rsidRPr="00732EED">
              <w:rPr>
                <w:sz w:val="18"/>
                <w:szCs w:val="18"/>
              </w:rPr>
              <w:t xml:space="preserve"> to the use of opioids in the management of chronic pain</w:t>
            </w:r>
            <w:r w:rsidR="000B6110" w:rsidRPr="00732EED">
              <w:rPr>
                <w:sz w:val="18"/>
                <w:szCs w:val="18"/>
              </w:rPr>
              <w:t>,</w:t>
            </w:r>
            <w:r w:rsidRPr="00732EED">
              <w:rPr>
                <w:sz w:val="18"/>
                <w:szCs w:val="18"/>
              </w:rPr>
              <w:t xml:space="preserve"> including “pharmacological side effects</w:t>
            </w:r>
            <w:r w:rsidR="00AD386F" w:rsidRPr="00732EED">
              <w:rPr>
                <w:sz w:val="18"/>
                <w:szCs w:val="18"/>
              </w:rPr>
              <w:t>,</w:t>
            </w:r>
            <w:r w:rsidRPr="00732EED">
              <w:rPr>
                <w:sz w:val="18"/>
                <w:szCs w:val="18"/>
              </w:rPr>
              <w:t xml:space="preserve"> “feeling stigmatized</w:t>
            </w:r>
            <w:r w:rsidR="00AD386F" w:rsidRPr="00732EED">
              <w:rPr>
                <w:sz w:val="18"/>
                <w:szCs w:val="18"/>
              </w:rPr>
              <w:t>,</w:t>
            </w:r>
            <w:r w:rsidRPr="00732EED">
              <w:rPr>
                <w:sz w:val="18"/>
                <w:szCs w:val="18"/>
              </w:rPr>
              <w:t>” “guilt</w:t>
            </w:r>
            <w:r w:rsidR="00AD386F" w:rsidRPr="00732EED">
              <w:rPr>
                <w:sz w:val="18"/>
                <w:szCs w:val="18"/>
              </w:rPr>
              <w:t>,</w:t>
            </w:r>
            <w:r w:rsidRPr="00732EED">
              <w:rPr>
                <w:sz w:val="18"/>
                <w:szCs w:val="18"/>
              </w:rPr>
              <w:t>” “fear</w:t>
            </w:r>
            <w:r w:rsidR="00AD386F" w:rsidRPr="00732EED">
              <w:rPr>
                <w:sz w:val="18"/>
                <w:szCs w:val="18"/>
              </w:rPr>
              <w:t>,</w:t>
            </w:r>
            <w:r w:rsidRPr="00732EED">
              <w:rPr>
                <w:sz w:val="18"/>
                <w:szCs w:val="18"/>
              </w:rPr>
              <w:t>” “ambivalence</w:t>
            </w:r>
            <w:r w:rsidR="00AD386F" w:rsidRPr="00732EED">
              <w:rPr>
                <w:sz w:val="18"/>
                <w:szCs w:val="18"/>
              </w:rPr>
              <w:t>,</w:t>
            </w:r>
            <w:r w:rsidRPr="00732EED">
              <w:rPr>
                <w:sz w:val="18"/>
                <w:szCs w:val="18"/>
              </w:rPr>
              <w:t>” and “self-protection/acceptance</w:t>
            </w:r>
            <w:r w:rsidR="00AD386F" w:rsidRPr="00732EED">
              <w:rPr>
                <w:sz w:val="18"/>
                <w:szCs w:val="18"/>
              </w:rPr>
              <w:t>.</w:t>
            </w:r>
            <w:r w:rsidRPr="00732EED">
              <w:rPr>
                <w:sz w:val="18"/>
                <w:szCs w:val="18"/>
              </w:rPr>
              <w:t>”</w:t>
            </w:r>
          </w:p>
        </w:tc>
      </w:tr>
      <w:tr w:rsidR="00E31AA5" w:rsidRPr="00732EED" w14:paraId="6D46DE82"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7629A1FC" w14:textId="77777777" w:rsidR="001C33D6" w:rsidRPr="00732EED" w:rsidRDefault="001C33D6" w:rsidP="00F0458C">
            <w:pPr>
              <w:rPr>
                <w:sz w:val="18"/>
                <w:szCs w:val="18"/>
              </w:rPr>
            </w:pPr>
            <w:r w:rsidRPr="00732EED">
              <w:rPr>
                <w:sz w:val="18"/>
                <w:szCs w:val="18"/>
              </w:rPr>
              <w:t>21</w:t>
            </w:r>
          </w:p>
        </w:tc>
        <w:tc>
          <w:tcPr>
            <w:tcW w:w="572" w:type="pct"/>
            <w:gridSpan w:val="3"/>
          </w:tcPr>
          <w:p w14:paraId="249214AC" w14:textId="7AAC338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De Villiers </w:t>
            </w:r>
            <w:r w:rsidR="00F94452" w:rsidRPr="00732EED">
              <w:rPr>
                <w:sz w:val="18"/>
                <w:szCs w:val="18"/>
              </w:rPr>
              <w:t>et</w:t>
            </w:r>
            <w:r w:rsidRPr="00732EED">
              <w:rPr>
                <w:sz w:val="18"/>
                <w:szCs w:val="18"/>
              </w:rPr>
              <w:t xml:space="preserve"> </w:t>
            </w:r>
            <w:r w:rsidR="00F94452" w:rsidRPr="00732EED">
              <w:rPr>
                <w:sz w:val="18"/>
                <w:szCs w:val="18"/>
              </w:rPr>
              <w:t>al.,</w:t>
            </w:r>
            <w:r w:rsidR="00A96D33" w:rsidRPr="00732EED">
              <w:rPr>
                <w:sz w:val="18"/>
                <w:szCs w:val="18"/>
              </w:rPr>
              <w:t xml:space="preserve"> </w:t>
            </w:r>
            <w:r w:rsidRPr="00732EED">
              <w:rPr>
                <w:sz w:val="18"/>
                <w:szCs w:val="18"/>
              </w:rPr>
              <w:t>2015</w:t>
            </w:r>
          </w:p>
        </w:tc>
        <w:tc>
          <w:tcPr>
            <w:tcW w:w="436" w:type="pct"/>
          </w:tcPr>
          <w:p w14:paraId="132FD1F8" w14:textId="3B42165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2C96D58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9 underprivileged participants with chronic pain </w:t>
            </w:r>
          </w:p>
        </w:tc>
        <w:tc>
          <w:tcPr>
            <w:tcW w:w="328" w:type="pct"/>
            <w:gridSpan w:val="3"/>
          </w:tcPr>
          <w:p w14:paraId="3189C1D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South Africa</w:t>
            </w:r>
          </w:p>
        </w:tc>
        <w:tc>
          <w:tcPr>
            <w:tcW w:w="437" w:type="pct"/>
            <w:gridSpan w:val="2"/>
          </w:tcPr>
          <w:p w14:paraId="0CDDC78C" w14:textId="7431B78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Tesch</w:t>
            </w:r>
            <w:r w:rsidR="007044DD" w:rsidRPr="00732EED">
              <w:rPr>
                <w:sz w:val="18"/>
                <w:szCs w:val="18"/>
              </w:rPr>
              <w:t>’s</w:t>
            </w:r>
            <w:r w:rsidRPr="00732EED">
              <w:rPr>
                <w:sz w:val="18"/>
                <w:szCs w:val="18"/>
              </w:rPr>
              <w:t xml:space="preserve"> coding process, thematic synthesis</w:t>
            </w:r>
          </w:p>
        </w:tc>
        <w:tc>
          <w:tcPr>
            <w:tcW w:w="452" w:type="pct"/>
          </w:tcPr>
          <w:p w14:paraId="333CFE0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45EB41C4" w14:textId="21E6E980"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four themes among their participants: “pain is a multidimensional experience</w:t>
            </w:r>
            <w:r w:rsidR="00393224" w:rsidRPr="00732EED">
              <w:rPr>
                <w:sz w:val="18"/>
                <w:szCs w:val="18"/>
              </w:rPr>
              <w:t>,</w:t>
            </w:r>
            <w:r w:rsidRPr="00732EED">
              <w:rPr>
                <w:sz w:val="18"/>
                <w:szCs w:val="18"/>
              </w:rPr>
              <w:t>” “influence of pain on physical activities</w:t>
            </w:r>
            <w:r w:rsidR="00393224" w:rsidRPr="00732EED">
              <w:rPr>
                <w:sz w:val="18"/>
                <w:szCs w:val="18"/>
              </w:rPr>
              <w:t>,</w:t>
            </w:r>
            <w:r w:rsidRPr="00732EED">
              <w:rPr>
                <w:sz w:val="18"/>
                <w:szCs w:val="18"/>
              </w:rPr>
              <w:t>” “the psychosocial influence of pain</w:t>
            </w:r>
            <w:r w:rsidR="00393224" w:rsidRPr="00732EED">
              <w:rPr>
                <w:sz w:val="18"/>
                <w:szCs w:val="18"/>
              </w:rPr>
              <w:t>,</w:t>
            </w:r>
            <w:r w:rsidRPr="00732EED">
              <w:rPr>
                <w:sz w:val="18"/>
                <w:szCs w:val="18"/>
              </w:rPr>
              <w:t>” and “influence of pain on spirituality</w:t>
            </w:r>
            <w:r w:rsidR="00393224" w:rsidRPr="00732EED">
              <w:rPr>
                <w:sz w:val="18"/>
                <w:szCs w:val="18"/>
              </w:rPr>
              <w:t>.</w:t>
            </w:r>
            <w:r w:rsidRPr="00732EED">
              <w:rPr>
                <w:sz w:val="18"/>
                <w:szCs w:val="18"/>
              </w:rPr>
              <w:t>”</w:t>
            </w:r>
          </w:p>
        </w:tc>
      </w:tr>
      <w:tr w:rsidR="00E31AA5" w:rsidRPr="00732EED" w14:paraId="3E08A4DD"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52D3070E" w14:textId="77777777" w:rsidR="001C33D6" w:rsidRPr="00732EED" w:rsidRDefault="001C33D6" w:rsidP="00F0458C">
            <w:pPr>
              <w:rPr>
                <w:sz w:val="18"/>
                <w:szCs w:val="18"/>
              </w:rPr>
            </w:pPr>
            <w:r w:rsidRPr="00732EED">
              <w:rPr>
                <w:sz w:val="18"/>
                <w:szCs w:val="18"/>
              </w:rPr>
              <w:t>22</w:t>
            </w:r>
          </w:p>
        </w:tc>
        <w:tc>
          <w:tcPr>
            <w:tcW w:w="572" w:type="pct"/>
            <w:gridSpan w:val="3"/>
          </w:tcPr>
          <w:p w14:paraId="338B4899" w14:textId="715EEB8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Hearn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2015</w:t>
            </w:r>
          </w:p>
        </w:tc>
        <w:tc>
          <w:tcPr>
            <w:tcW w:w="436" w:type="pct"/>
          </w:tcPr>
          <w:p w14:paraId="016CF545" w14:textId="4EE22C3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4C0A09D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8 participants with chronic neuropathic pain with a history of spinal cord injury</w:t>
            </w:r>
          </w:p>
        </w:tc>
        <w:tc>
          <w:tcPr>
            <w:tcW w:w="328" w:type="pct"/>
            <w:gridSpan w:val="3"/>
          </w:tcPr>
          <w:p w14:paraId="3827882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UK</w:t>
            </w:r>
          </w:p>
        </w:tc>
        <w:tc>
          <w:tcPr>
            <w:tcW w:w="437" w:type="pct"/>
            <w:gridSpan w:val="2"/>
          </w:tcPr>
          <w:p w14:paraId="5F9EC3F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w:t>
            </w:r>
          </w:p>
        </w:tc>
        <w:tc>
          <w:tcPr>
            <w:tcW w:w="452" w:type="pct"/>
          </w:tcPr>
          <w:p w14:paraId="68D1A4DD" w14:textId="55C7795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a</w:t>
            </w:r>
            <w:r w:rsidRPr="00732EED">
              <w:rPr>
                <w:sz w:val="18"/>
                <w:szCs w:val="18"/>
              </w:rPr>
              <w:t>nalysis</w:t>
            </w:r>
          </w:p>
        </w:tc>
        <w:tc>
          <w:tcPr>
            <w:tcW w:w="1813" w:type="pct"/>
          </w:tcPr>
          <w:p w14:paraId="4DAE97F6" w14:textId="4590E14A"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three supra-ordinate themes</w:t>
            </w:r>
            <w:r w:rsidR="009F2A01" w:rsidRPr="00732EED">
              <w:rPr>
                <w:sz w:val="18"/>
                <w:szCs w:val="18"/>
              </w:rPr>
              <w:t>,</w:t>
            </w:r>
            <w:r w:rsidRPr="00732EED">
              <w:rPr>
                <w:sz w:val="18"/>
                <w:szCs w:val="18"/>
              </w:rPr>
              <w:t xml:space="preserve"> including “a perceived gap between treatments received and participants' views of what they wanted and needed”; “a fight for life control and acceptance”; and “feeling</w:t>
            </w:r>
            <w:r w:rsidR="00393224" w:rsidRPr="00732EED">
              <w:rPr>
                <w:sz w:val="18"/>
                <w:szCs w:val="18"/>
              </w:rPr>
              <w:t>s</w:t>
            </w:r>
            <w:r w:rsidRPr="00732EED">
              <w:rPr>
                <w:sz w:val="18"/>
                <w:szCs w:val="18"/>
              </w:rPr>
              <w:t xml:space="preserve"> understood by others with SCI but isolated from the non-understanding able-bodied.”</w:t>
            </w:r>
          </w:p>
        </w:tc>
      </w:tr>
      <w:tr w:rsidR="00E31AA5" w:rsidRPr="00732EED" w14:paraId="6B4503C3"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6CA98CB9" w14:textId="77777777" w:rsidR="001C33D6" w:rsidRPr="00732EED" w:rsidRDefault="001C33D6" w:rsidP="00F0458C">
            <w:pPr>
              <w:rPr>
                <w:sz w:val="18"/>
                <w:szCs w:val="18"/>
              </w:rPr>
            </w:pPr>
            <w:r w:rsidRPr="00732EED">
              <w:rPr>
                <w:sz w:val="18"/>
                <w:szCs w:val="18"/>
              </w:rPr>
              <w:t>23</w:t>
            </w:r>
          </w:p>
        </w:tc>
        <w:tc>
          <w:tcPr>
            <w:tcW w:w="572" w:type="pct"/>
            <w:gridSpan w:val="3"/>
          </w:tcPr>
          <w:p w14:paraId="717A8145" w14:textId="608721B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Kirkham </w:t>
            </w:r>
            <w:r w:rsidR="00F94452" w:rsidRPr="00732EED">
              <w:rPr>
                <w:sz w:val="18"/>
                <w:szCs w:val="18"/>
              </w:rPr>
              <w:t>et</w:t>
            </w:r>
            <w:r w:rsidRPr="00732EED">
              <w:rPr>
                <w:sz w:val="18"/>
                <w:szCs w:val="18"/>
              </w:rPr>
              <w:t xml:space="preserve"> </w:t>
            </w:r>
            <w:r w:rsidR="00F94452" w:rsidRPr="00732EED">
              <w:rPr>
                <w:sz w:val="18"/>
                <w:szCs w:val="18"/>
              </w:rPr>
              <w:t>al.,</w:t>
            </w:r>
            <w:r w:rsidR="00A96D33" w:rsidRPr="00732EED">
              <w:rPr>
                <w:sz w:val="18"/>
                <w:szCs w:val="18"/>
              </w:rPr>
              <w:t xml:space="preserve"> </w:t>
            </w:r>
            <w:r w:rsidRPr="00732EED">
              <w:rPr>
                <w:sz w:val="18"/>
                <w:szCs w:val="18"/>
              </w:rPr>
              <w:t>2015</w:t>
            </w:r>
          </w:p>
        </w:tc>
        <w:tc>
          <w:tcPr>
            <w:tcW w:w="436" w:type="pct"/>
          </w:tcPr>
          <w:p w14:paraId="03BE3998" w14:textId="2D8F3174"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33B423B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seven women with chronic pain</w:t>
            </w:r>
          </w:p>
        </w:tc>
        <w:tc>
          <w:tcPr>
            <w:tcW w:w="328" w:type="pct"/>
            <w:gridSpan w:val="3"/>
          </w:tcPr>
          <w:p w14:paraId="20CAA60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UK</w:t>
            </w:r>
          </w:p>
        </w:tc>
        <w:tc>
          <w:tcPr>
            <w:tcW w:w="437" w:type="pct"/>
            <w:gridSpan w:val="2"/>
          </w:tcPr>
          <w:p w14:paraId="19503B21" w14:textId="4C5F53B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Patients </w:t>
            </w:r>
            <w:r w:rsidR="004D5106" w:rsidRPr="00732EED">
              <w:rPr>
                <w:sz w:val="18"/>
                <w:szCs w:val="18"/>
              </w:rPr>
              <w:t xml:space="preserve">created paintings representing their perceptions of pain </w:t>
            </w:r>
            <w:r w:rsidRPr="00732EED">
              <w:rPr>
                <w:sz w:val="18"/>
                <w:szCs w:val="18"/>
              </w:rPr>
              <w:t>and were subsequently given semi-structured interviews about their paintings and what they meant to them, thematic synthesis</w:t>
            </w:r>
          </w:p>
        </w:tc>
        <w:tc>
          <w:tcPr>
            <w:tcW w:w="452" w:type="pct"/>
          </w:tcPr>
          <w:p w14:paraId="35F919A3" w14:textId="6968EC2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a</w:t>
            </w:r>
            <w:r w:rsidRPr="00732EED">
              <w:rPr>
                <w:sz w:val="18"/>
                <w:szCs w:val="18"/>
              </w:rPr>
              <w:t>nalysis</w:t>
            </w:r>
          </w:p>
        </w:tc>
        <w:tc>
          <w:tcPr>
            <w:tcW w:w="1813" w:type="pct"/>
          </w:tcPr>
          <w:p w14:paraId="305941FB" w14:textId="3588C81F"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described the paintings themselves as strong, vivid, and abstract, often objectifying the pain as punitive and sinister. Some paintings also depicted the transition from self before pain to self with pain.</w:t>
            </w:r>
          </w:p>
        </w:tc>
      </w:tr>
      <w:tr w:rsidR="00E31AA5" w:rsidRPr="00732EED" w14:paraId="3AC516C9"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51AE37EA" w14:textId="77777777" w:rsidR="001C33D6" w:rsidRPr="00732EED" w:rsidRDefault="001C33D6" w:rsidP="00F0458C">
            <w:pPr>
              <w:rPr>
                <w:sz w:val="18"/>
                <w:szCs w:val="18"/>
              </w:rPr>
            </w:pPr>
            <w:r w:rsidRPr="00732EED">
              <w:rPr>
                <w:sz w:val="18"/>
                <w:szCs w:val="18"/>
              </w:rPr>
              <w:t>24</w:t>
            </w:r>
          </w:p>
        </w:tc>
        <w:tc>
          <w:tcPr>
            <w:tcW w:w="572" w:type="pct"/>
            <w:gridSpan w:val="3"/>
          </w:tcPr>
          <w:p w14:paraId="23A3F16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MacNeela</w:t>
            </w:r>
            <w:proofErr w:type="spellEnd"/>
            <w:r w:rsidRPr="00732EED">
              <w:rPr>
                <w:sz w:val="18"/>
                <w:szCs w:val="18"/>
              </w:rPr>
              <w:t xml:space="preserve"> et al., 2015</w:t>
            </w:r>
          </w:p>
        </w:tc>
        <w:tc>
          <w:tcPr>
            <w:tcW w:w="436" w:type="pct"/>
          </w:tcPr>
          <w:p w14:paraId="6370339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Meta-ethnography</w:t>
            </w:r>
          </w:p>
        </w:tc>
        <w:tc>
          <w:tcPr>
            <w:tcW w:w="476" w:type="pct"/>
            <w:gridSpan w:val="2"/>
          </w:tcPr>
          <w:p w14:paraId="6277EC6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Patient experiences with chronic low back pain</w:t>
            </w:r>
          </w:p>
        </w:tc>
        <w:tc>
          <w:tcPr>
            <w:tcW w:w="328" w:type="pct"/>
            <w:gridSpan w:val="3"/>
          </w:tcPr>
          <w:p w14:paraId="2DB58011"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Global (various countries and cultural settings)</w:t>
            </w:r>
          </w:p>
        </w:tc>
        <w:tc>
          <w:tcPr>
            <w:tcW w:w="437" w:type="pct"/>
            <w:gridSpan w:val="2"/>
          </w:tcPr>
          <w:p w14:paraId="18E55A7E" w14:textId="7937A8A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Meta-ethnographic synthesis of the findings of 38 qualitative studies, multiple themes were synthesized</w:t>
            </w:r>
          </w:p>
        </w:tc>
        <w:tc>
          <w:tcPr>
            <w:tcW w:w="452" w:type="pct"/>
          </w:tcPr>
          <w:p w14:paraId="7960A6C2" w14:textId="1EADBB8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Meta-ethnography based on Noblit </w:t>
            </w:r>
            <w:r w:rsidR="00F72C96" w:rsidRPr="00732EED">
              <w:rPr>
                <w:sz w:val="18"/>
                <w:szCs w:val="18"/>
              </w:rPr>
              <w:t xml:space="preserve">and </w:t>
            </w:r>
            <w:r w:rsidRPr="00732EED">
              <w:rPr>
                <w:sz w:val="18"/>
                <w:szCs w:val="18"/>
              </w:rPr>
              <w:t>Hare</w:t>
            </w:r>
          </w:p>
        </w:tc>
        <w:tc>
          <w:tcPr>
            <w:tcW w:w="1813" w:type="pct"/>
          </w:tcPr>
          <w:p w14:paraId="0BEA68D9" w14:textId="7FD764B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Chronic low back pain creates significant constrains on self and social interactions. </w:t>
            </w:r>
            <w:r w:rsidR="00393224" w:rsidRPr="00732EED">
              <w:rPr>
                <w:sz w:val="18"/>
                <w:szCs w:val="18"/>
              </w:rPr>
              <w:t>C</w:t>
            </w:r>
            <w:r w:rsidRPr="00732EED">
              <w:rPr>
                <w:sz w:val="18"/>
                <w:szCs w:val="18"/>
              </w:rPr>
              <w:t xml:space="preserve">hronic pain creates (1) an oppressive intrusion on self-identity, (2) </w:t>
            </w:r>
            <w:r w:rsidR="009F2A01" w:rsidRPr="00732EED">
              <w:rPr>
                <w:sz w:val="18"/>
                <w:szCs w:val="18"/>
              </w:rPr>
              <w:t xml:space="preserve">causes </w:t>
            </w:r>
            <w:r w:rsidRPr="00732EED">
              <w:rPr>
                <w:sz w:val="18"/>
                <w:szCs w:val="18"/>
              </w:rPr>
              <w:t>family strains, (3) loss of income and job opportunities, (4) creates social withdrawal</w:t>
            </w:r>
            <w:r w:rsidR="001F4A95" w:rsidRPr="00732EED">
              <w:rPr>
                <w:sz w:val="18"/>
                <w:szCs w:val="18"/>
              </w:rPr>
              <w:t>,</w:t>
            </w:r>
            <w:r w:rsidRPr="00732EED">
              <w:rPr>
                <w:sz w:val="18"/>
                <w:szCs w:val="18"/>
              </w:rPr>
              <w:t xml:space="preserve"> and (5) </w:t>
            </w:r>
            <w:r w:rsidR="00393224" w:rsidRPr="00732EED">
              <w:rPr>
                <w:sz w:val="18"/>
                <w:szCs w:val="18"/>
              </w:rPr>
              <w:t xml:space="preserve">creates </w:t>
            </w:r>
            <w:r w:rsidRPr="00732EED">
              <w:rPr>
                <w:sz w:val="18"/>
                <w:szCs w:val="18"/>
              </w:rPr>
              <w:t xml:space="preserve">dissatisfaction with healthcare </w:t>
            </w:r>
            <w:r w:rsidRPr="00732EED">
              <w:rPr>
                <w:sz w:val="18"/>
                <w:szCs w:val="18"/>
              </w:rPr>
              <w:lastRenderedPageBreak/>
              <w:t>and clinicians. Patients can also engage in (1) self-management activities and learn to (2) live with the pain.</w:t>
            </w:r>
          </w:p>
        </w:tc>
      </w:tr>
      <w:tr w:rsidR="00E31AA5" w:rsidRPr="00732EED" w14:paraId="0ECFB616"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36080193" w14:textId="77777777" w:rsidR="001C33D6" w:rsidRPr="00732EED" w:rsidRDefault="001C33D6" w:rsidP="00F0458C">
            <w:pPr>
              <w:rPr>
                <w:sz w:val="18"/>
                <w:szCs w:val="18"/>
              </w:rPr>
            </w:pPr>
            <w:r w:rsidRPr="00732EED">
              <w:rPr>
                <w:sz w:val="18"/>
                <w:szCs w:val="18"/>
              </w:rPr>
              <w:lastRenderedPageBreak/>
              <w:t>25</w:t>
            </w:r>
          </w:p>
        </w:tc>
        <w:tc>
          <w:tcPr>
            <w:tcW w:w="572" w:type="pct"/>
            <w:gridSpan w:val="3"/>
          </w:tcPr>
          <w:p w14:paraId="36CEF1F9" w14:textId="6292DD4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Ojala et al., 2015</w:t>
            </w:r>
            <w:r w:rsidR="00F47F4F" w:rsidRPr="00732EED">
              <w:rPr>
                <w:sz w:val="18"/>
                <w:szCs w:val="18"/>
              </w:rPr>
              <w:t xml:space="preserve"> </w:t>
            </w:r>
            <w:r w:rsidRPr="00732EED">
              <w:rPr>
                <w:sz w:val="18"/>
                <w:szCs w:val="18"/>
              </w:rPr>
              <w:t>(</w:t>
            </w:r>
            <w:r w:rsidR="00A96D33" w:rsidRPr="00732EED">
              <w:rPr>
                <w:sz w:val="18"/>
                <w:szCs w:val="18"/>
              </w:rPr>
              <w:t>t</w:t>
            </w:r>
            <w:r w:rsidRPr="00732EED">
              <w:rPr>
                <w:sz w:val="18"/>
                <w:szCs w:val="18"/>
              </w:rPr>
              <w:t xml:space="preserve">his is a separate study done with the same population of participants as Ojala </w:t>
            </w:r>
            <w:r w:rsidR="00F94452" w:rsidRPr="00732EED">
              <w:rPr>
                <w:sz w:val="18"/>
                <w:szCs w:val="18"/>
              </w:rPr>
              <w:t>et</w:t>
            </w:r>
            <w:r w:rsidRPr="00732EED">
              <w:rPr>
                <w:sz w:val="18"/>
                <w:szCs w:val="18"/>
              </w:rPr>
              <w:t xml:space="preserve"> al 2014 and the study below by the same)</w:t>
            </w:r>
          </w:p>
        </w:tc>
        <w:tc>
          <w:tcPr>
            <w:tcW w:w="436" w:type="pct"/>
          </w:tcPr>
          <w:p w14:paraId="3C25BAE5" w14:textId="37404F9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0E7FAA1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34 patients with chronic pain, most of whom had degenerative spinal pain</w:t>
            </w:r>
          </w:p>
        </w:tc>
        <w:tc>
          <w:tcPr>
            <w:tcW w:w="328" w:type="pct"/>
            <w:gridSpan w:val="3"/>
          </w:tcPr>
          <w:p w14:paraId="52AC6E4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Finland</w:t>
            </w:r>
          </w:p>
        </w:tc>
        <w:tc>
          <w:tcPr>
            <w:tcW w:w="437" w:type="pct"/>
            <w:gridSpan w:val="2"/>
          </w:tcPr>
          <w:p w14:paraId="3C1039D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open coding, thematic synthesis with themes and subthemes identified</w:t>
            </w:r>
          </w:p>
        </w:tc>
        <w:tc>
          <w:tcPr>
            <w:tcW w:w="452" w:type="pct"/>
          </w:tcPr>
          <w:p w14:paraId="5586E97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Giorgi’s phenomenological method</w:t>
            </w:r>
          </w:p>
        </w:tc>
        <w:tc>
          <w:tcPr>
            <w:tcW w:w="1813" w:type="pct"/>
          </w:tcPr>
          <w:p w14:paraId="33B701E0" w14:textId="6E2F89DD"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This study focused on the theme that “pain affects the whole person” identified by the overarching study and further delves in to the subthemes of the same</w:t>
            </w:r>
            <w:r w:rsidR="005F5DC7" w:rsidRPr="00732EED">
              <w:rPr>
                <w:sz w:val="18"/>
                <w:szCs w:val="18"/>
              </w:rPr>
              <w:t>,</w:t>
            </w:r>
            <w:r w:rsidRPr="00732EED">
              <w:rPr>
                <w:sz w:val="18"/>
                <w:szCs w:val="18"/>
              </w:rPr>
              <w:t xml:space="preserve"> which include “distress</w:t>
            </w:r>
            <w:r w:rsidR="005F5DC7" w:rsidRPr="00732EED">
              <w:rPr>
                <w:sz w:val="18"/>
                <w:szCs w:val="18"/>
              </w:rPr>
              <w:t>,</w:t>
            </w:r>
            <w:r w:rsidRPr="00732EED">
              <w:rPr>
                <w:sz w:val="18"/>
                <w:szCs w:val="18"/>
              </w:rPr>
              <w:t>” “loneliness</w:t>
            </w:r>
            <w:r w:rsidR="005F5DC7" w:rsidRPr="00732EED">
              <w:rPr>
                <w:sz w:val="18"/>
                <w:szCs w:val="18"/>
              </w:rPr>
              <w:t>,</w:t>
            </w:r>
            <w:r w:rsidRPr="00732EED">
              <w:rPr>
                <w:sz w:val="18"/>
                <w:szCs w:val="18"/>
              </w:rPr>
              <w:t>” “lost identity</w:t>
            </w:r>
            <w:r w:rsidR="005F5DC7" w:rsidRPr="00732EED">
              <w:rPr>
                <w:sz w:val="18"/>
                <w:szCs w:val="18"/>
              </w:rPr>
              <w:t>,</w:t>
            </w:r>
            <w:r w:rsidRPr="00732EED">
              <w:rPr>
                <w:sz w:val="18"/>
                <w:szCs w:val="18"/>
              </w:rPr>
              <w:t>” and “low quality of life</w:t>
            </w:r>
            <w:r w:rsidR="005F5DC7" w:rsidRPr="00732EED">
              <w:rPr>
                <w:sz w:val="18"/>
                <w:szCs w:val="18"/>
              </w:rPr>
              <w:t>.</w:t>
            </w:r>
            <w:r w:rsidRPr="00732EED">
              <w:rPr>
                <w:sz w:val="18"/>
                <w:szCs w:val="18"/>
              </w:rPr>
              <w:t xml:space="preserve">” </w:t>
            </w:r>
          </w:p>
        </w:tc>
      </w:tr>
      <w:tr w:rsidR="00E31AA5" w:rsidRPr="00732EED" w14:paraId="04B327B6"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518916F3" w14:textId="77777777" w:rsidR="001C33D6" w:rsidRPr="00732EED" w:rsidRDefault="001C33D6" w:rsidP="00F0458C">
            <w:pPr>
              <w:rPr>
                <w:sz w:val="18"/>
                <w:szCs w:val="18"/>
              </w:rPr>
            </w:pPr>
            <w:r w:rsidRPr="00732EED">
              <w:rPr>
                <w:sz w:val="18"/>
                <w:szCs w:val="18"/>
              </w:rPr>
              <w:t>26</w:t>
            </w:r>
          </w:p>
        </w:tc>
        <w:tc>
          <w:tcPr>
            <w:tcW w:w="572" w:type="pct"/>
            <w:gridSpan w:val="3"/>
          </w:tcPr>
          <w:p w14:paraId="1342418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Ojala et al., 2015</w:t>
            </w:r>
          </w:p>
        </w:tc>
        <w:tc>
          <w:tcPr>
            <w:tcW w:w="436" w:type="pct"/>
          </w:tcPr>
          <w:p w14:paraId="6FD84B9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study</w:t>
            </w:r>
          </w:p>
        </w:tc>
        <w:tc>
          <w:tcPr>
            <w:tcW w:w="476" w:type="pct"/>
            <w:gridSpan w:val="2"/>
          </w:tcPr>
          <w:p w14:paraId="57D94D4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34 patients with chronic pain</w:t>
            </w:r>
          </w:p>
        </w:tc>
        <w:tc>
          <w:tcPr>
            <w:tcW w:w="328" w:type="pct"/>
            <w:gridSpan w:val="3"/>
          </w:tcPr>
          <w:p w14:paraId="467774A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Finland</w:t>
            </w:r>
          </w:p>
        </w:tc>
        <w:tc>
          <w:tcPr>
            <w:tcW w:w="437" w:type="pct"/>
            <w:gridSpan w:val="2"/>
          </w:tcPr>
          <w:p w14:paraId="6FC2801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open coding, thematic analysis, themes and subthemes were identified</w:t>
            </w:r>
          </w:p>
        </w:tc>
        <w:tc>
          <w:tcPr>
            <w:tcW w:w="452" w:type="pct"/>
          </w:tcPr>
          <w:p w14:paraId="4F402C37" w14:textId="393A9A1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Giorgi’s phenomenological method</w:t>
            </w:r>
          </w:p>
        </w:tc>
        <w:tc>
          <w:tcPr>
            <w:tcW w:w="1813" w:type="pct"/>
          </w:tcPr>
          <w:p w14:paraId="6BED2BB8" w14:textId="18373C3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w:t>
            </w:r>
            <w:r w:rsidR="005F5DC7" w:rsidRPr="00732EED">
              <w:rPr>
                <w:sz w:val="18"/>
                <w:szCs w:val="18"/>
              </w:rPr>
              <w:t>d</w:t>
            </w:r>
            <w:r w:rsidRPr="00732EED">
              <w:rPr>
                <w:sz w:val="18"/>
                <w:szCs w:val="18"/>
              </w:rPr>
              <w:t xml:space="preserve"> themes around rejection by the health care and social security system, contributing to additional unnecessary mental health problems for the participants. Subthemes were (1) being disbelieved, (2) denying pain, (3) underrating symptoms, (4) pain is in your head, (4) second-class citizen, (5) lazy pain patient, </w:t>
            </w:r>
            <w:r w:rsidR="005F5DC7" w:rsidRPr="00732EED">
              <w:rPr>
                <w:sz w:val="18"/>
                <w:szCs w:val="18"/>
              </w:rPr>
              <w:t xml:space="preserve">and </w:t>
            </w:r>
            <w:r w:rsidRPr="00732EED">
              <w:rPr>
                <w:sz w:val="18"/>
                <w:szCs w:val="18"/>
              </w:rPr>
              <w:t>(6) false beliefs demand passivity.</w:t>
            </w:r>
          </w:p>
        </w:tc>
      </w:tr>
      <w:tr w:rsidR="00E31AA5" w:rsidRPr="00732EED" w14:paraId="471FD3A3"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680719F3" w14:textId="77777777" w:rsidR="001C33D6" w:rsidRPr="00732EED" w:rsidRDefault="001C33D6" w:rsidP="00F0458C">
            <w:pPr>
              <w:rPr>
                <w:sz w:val="18"/>
                <w:szCs w:val="18"/>
              </w:rPr>
            </w:pPr>
            <w:r w:rsidRPr="00732EED">
              <w:rPr>
                <w:sz w:val="18"/>
                <w:szCs w:val="18"/>
              </w:rPr>
              <w:t>27</w:t>
            </w:r>
          </w:p>
        </w:tc>
        <w:tc>
          <w:tcPr>
            <w:tcW w:w="572" w:type="pct"/>
            <w:gridSpan w:val="3"/>
          </w:tcPr>
          <w:p w14:paraId="737B7F41" w14:textId="62D460A8"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Ojala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2015</w:t>
            </w:r>
          </w:p>
        </w:tc>
        <w:tc>
          <w:tcPr>
            <w:tcW w:w="436" w:type="pct"/>
          </w:tcPr>
          <w:p w14:paraId="63CDC3BE" w14:textId="1A0D5F6D"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67DB35D9"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34 patients with chronic pain, most of which had degenerative spinal pain</w:t>
            </w:r>
          </w:p>
        </w:tc>
        <w:tc>
          <w:tcPr>
            <w:tcW w:w="328" w:type="pct"/>
            <w:gridSpan w:val="3"/>
          </w:tcPr>
          <w:p w14:paraId="5FADC04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Finland</w:t>
            </w:r>
          </w:p>
        </w:tc>
        <w:tc>
          <w:tcPr>
            <w:tcW w:w="437" w:type="pct"/>
            <w:gridSpan w:val="2"/>
          </w:tcPr>
          <w:p w14:paraId="27B5C2E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Semi-structured interviews, open coding, thematic synthesis </w:t>
            </w:r>
          </w:p>
        </w:tc>
        <w:tc>
          <w:tcPr>
            <w:tcW w:w="452" w:type="pct"/>
          </w:tcPr>
          <w:p w14:paraId="0302D55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Giorgi’s phenomenological method</w:t>
            </w:r>
          </w:p>
        </w:tc>
        <w:tc>
          <w:tcPr>
            <w:tcW w:w="1813" w:type="pct"/>
          </w:tcPr>
          <w:p w14:paraId="1EC0022A" w14:textId="644C2C9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focuses on the patients’ own views of what their pain means to them, identifying themes of “state of reflection</w:t>
            </w:r>
            <w:r w:rsidR="005F5DC7" w:rsidRPr="00732EED">
              <w:rPr>
                <w:sz w:val="18"/>
                <w:szCs w:val="18"/>
              </w:rPr>
              <w:t>,</w:t>
            </w:r>
            <w:r w:rsidRPr="00732EED">
              <w:rPr>
                <w:sz w:val="18"/>
                <w:szCs w:val="18"/>
              </w:rPr>
              <w:t>” “reconsidering values</w:t>
            </w:r>
            <w:r w:rsidR="005F5DC7" w:rsidRPr="00732EED">
              <w:rPr>
                <w:sz w:val="18"/>
                <w:szCs w:val="18"/>
              </w:rPr>
              <w:t>,</w:t>
            </w:r>
            <w:r w:rsidRPr="00732EED">
              <w:rPr>
                <w:sz w:val="18"/>
                <w:szCs w:val="18"/>
              </w:rPr>
              <w:t>” “acceptance of pain</w:t>
            </w:r>
            <w:r w:rsidR="005F5DC7" w:rsidRPr="00732EED">
              <w:rPr>
                <w:sz w:val="18"/>
                <w:szCs w:val="18"/>
              </w:rPr>
              <w:t>,</w:t>
            </w:r>
            <w:r w:rsidRPr="00732EED">
              <w:rPr>
                <w:sz w:val="18"/>
                <w:szCs w:val="18"/>
              </w:rPr>
              <w:t>” “support network</w:t>
            </w:r>
            <w:r w:rsidR="005F5DC7" w:rsidRPr="00732EED">
              <w:rPr>
                <w:sz w:val="18"/>
                <w:szCs w:val="18"/>
              </w:rPr>
              <w:t>,</w:t>
            </w:r>
            <w:r w:rsidRPr="00732EED">
              <w:rPr>
                <w:sz w:val="18"/>
                <w:szCs w:val="18"/>
              </w:rPr>
              <w:t>” “altered self</w:t>
            </w:r>
            <w:r w:rsidR="005F5DC7" w:rsidRPr="00732EED">
              <w:rPr>
                <w:sz w:val="18"/>
                <w:szCs w:val="18"/>
              </w:rPr>
              <w:t>,</w:t>
            </w:r>
            <w:r w:rsidRPr="00732EED">
              <w:rPr>
                <w:sz w:val="18"/>
                <w:szCs w:val="18"/>
              </w:rPr>
              <w:t>” “joys in life</w:t>
            </w:r>
            <w:r w:rsidR="005F5DC7" w:rsidRPr="00732EED">
              <w:rPr>
                <w:sz w:val="18"/>
                <w:szCs w:val="18"/>
              </w:rPr>
              <w:t>,</w:t>
            </w:r>
            <w:r w:rsidRPr="00732EED">
              <w:rPr>
                <w:sz w:val="18"/>
                <w:szCs w:val="18"/>
              </w:rPr>
              <w:t>” and “pain dissociation</w:t>
            </w:r>
            <w:r w:rsidR="005F5DC7" w:rsidRPr="00732EED">
              <w:rPr>
                <w:sz w:val="18"/>
                <w:szCs w:val="18"/>
              </w:rPr>
              <w:t>.</w:t>
            </w:r>
            <w:r w:rsidRPr="00732EED">
              <w:rPr>
                <w:sz w:val="18"/>
                <w:szCs w:val="18"/>
              </w:rPr>
              <w:t>”</w:t>
            </w:r>
          </w:p>
        </w:tc>
      </w:tr>
      <w:tr w:rsidR="00E31AA5" w:rsidRPr="00732EED" w14:paraId="5AB1B1BF"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2B06DE8C" w14:textId="77777777" w:rsidR="001C33D6" w:rsidRPr="00732EED" w:rsidRDefault="001C33D6" w:rsidP="00F0458C">
            <w:pPr>
              <w:rPr>
                <w:sz w:val="18"/>
                <w:szCs w:val="18"/>
              </w:rPr>
            </w:pPr>
            <w:r w:rsidRPr="00732EED">
              <w:rPr>
                <w:sz w:val="18"/>
                <w:szCs w:val="18"/>
              </w:rPr>
              <w:t>28</w:t>
            </w:r>
          </w:p>
        </w:tc>
        <w:tc>
          <w:tcPr>
            <w:tcW w:w="572" w:type="pct"/>
            <w:gridSpan w:val="3"/>
          </w:tcPr>
          <w:p w14:paraId="41945B87" w14:textId="0E12857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Röing</w:t>
            </w:r>
            <w:proofErr w:type="spellEnd"/>
            <w:r w:rsidRPr="00732EED">
              <w:rPr>
                <w:sz w:val="18"/>
                <w:szCs w:val="18"/>
              </w:rPr>
              <w:t xml:space="preserve"> </w:t>
            </w:r>
            <w:r w:rsidR="00F72C96" w:rsidRPr="00732EED">
              <w:rPr>
                <w:sz w:val="18"/>
                <w:szCs w:val="18"/>
              </w:rPr>
              <w:t>and</w:t>
            </w:r>
            <w:r w:rsidRPr="00732EED">
              <w:rPr>
                <w:sz w:val="18"/>
                <w:szCs w:val="18"/>
              </w:rPr>
              <w:t xml:space="preserve"> Sanner</w:t>
            </w:r>
            <w:r w:rsidR="00F47F4F" w:rsidRPr="00732EED">
              <w:rPr>
                <w:sz w:val="18"/>
                <w:szCs w:val="18"/>
              </w:rPr>
              <w:t>,</w:t>
            </w:r>
            <w:r w:rsidRPr="00732EED">
              <w:rPr>
                <w:sz w:val="18"/>
                <w:szCs w:val="18"/>
              </w:rPr>
              <w:t xml:space="preserve"> 2015</w:t>
            </w:r>
          </w:p>
        </w:tc>
        <w:tc>
          <w:tcPr>
            <w:tcW w:w="436" w:type="pct"/>
          </w:tcPr>
          <w:p w14:paraId="73882C7F" w14:textId="4CFA4CD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w:t>
            </w:r>
            <w:r w:rsidR="0027037C" w:rsidRPr="00732EED">
              <w:rPr>
                <w:sz w:val="18"/>
                <w:szCs w:val="18"/>
              </w:rPr>
              <w:t>y</w:t>
            </w:r>
          </w:p>
        </w:tc>
        <w:tc>
          <w:tcPr>
            <w:tcW w:w="476" w:type="pct"/>
            <w:gridSpan w:val="2"/>
          </w:tcPr>
          <w:p w14:paraId="4A1FF7E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Patients’ lived experiences with chronic illness</w:t>
            </w:r>
          </w:p>
        </w:tc>
        <w:tc>
          <w:tcPr>
            <w:tcW w:w="328" w:type="pct"/>
            <w:gridSpan w:val="3"/>
          </w:tcPr>
          <w:p w14:paraId="477624D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Scandinavian Countries</w:t>
            </w:r>
          </w:p>
        </w:tc>
        <w:tc>
          <w:tcPr>
            <w:tcW w:w="437" w:type="pct"/>
            <w:gridSpan w:val="2"/>
          </w:tcPr>
          <w:p w14:paraId="3EB0B188" w14:textId="779791F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Meta-ethnographic synthesis of </w:t>
            </w:r>
            <w:proofErr w:type="spellStart"/>
            <w:r w:rsidRPr="00732EED">
              <w:rPr>
                <w:sz w:val="18"/>
                <w:szCs w:val="18"/>
              </w:rPr>
              <w:t>phenomenographic</w:t>
            </w:r>
            <w:proofErr w:type="spellEnd"/>
            <w:r w:rsidRPr="00732EED">
              <w:rPr>
                <w:sz w:val="18"/>
                <w:szCs w:val="18"/>
              </w:rPr>
              <w:t xml:space="preserve"> studies on chronic illness</w:t>
            </w:r>
          </w:p>
        </w:tc>
        <w:tc>
          <w:tcPr>
            <w:tcW w:w="452" w:type="pct"/>
          </w:tcPr>
          <w:p w14:paraId="7A9ECE01" w14:textId="4F663E3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Synthesis and</w:t>
            </w:r>
            <w:r w:rsidR="00F72C96" w:rsidRPr="00732EED">
              <w:rPr>
                <w:sz w:val="18"/>
                <w:szCs w:val="18"/>
              </w:rPr>
              <w:t xml:space="preserve"> </w:t>
            </w:r>
            <w:proofErr w:type="spellStart"/>
            <w:r w:rsidRPr="00732EED">
              <w:rPr>
                <w:sz w:val="18"/>
                <w:szCs w:val="18"/>
              </w:rPr>
              <w:t>phenomenographic</w:t>
            </w:r>
            <w:proofErr w:type="spellEnd"/>
            <w:r w:rsidRPr="00732EED">
              <w:rPr>
                <w:sz w:val="18"/>
                <w:szCs w:val="18"/>
              </w:rPr>
              <w:t xml:space="preserve"> interpretation of 12 selected articles</w:t>
            </w:r>
          </w:p>
        </w:tc>
        <w:tc>
          <w:tcPr>
            <w:tcW w:w="1813" w:type="pct"/>
          </w:tcPr>
          <w:p w14:paraId="3779E778" w14:textId="086CEE1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Four categories describing patients’ experiences of</w:t>
            </w:r>
            <w:r w:rsidR="00F72C96" w:rsidRPr="00732EED">
              <w:rPr>
                <w:sz w:val="18"/>
                <w:szCs w:val="18"/>
              </w:rPr>
              <w:t xml:space="preserve"> </w:t>
            </w:r>
            <w:r w:rsidRPr="00732EED">
              <w:rPr>
                <w:sz w:val="18"/>
                <w:szCs w:val="18"/>
              </w:rPr>
              <w:t>chronic illness: (1) a different lived body,</w:t>
            </w:r>
            <w:r w:rsidR="00F72C96" w:rsidRPr="00732EED">
              <w:rPr>
                <w:sz w:val="18"/>
                <w:szCs w:val="18"/>
              </w:rPr>
              <w:t xml:space="preserve"> </w:t>
            </w:r>
            <w:r w:rsidRPr="00732EED">
              <w:rPr>
                <w:sz w:val="18"/>
                <w:szCs w:val="18"/>
              </w:rPr>
              <w:t>(2) a struggle with threat to identity and self-esteem,</w:t>
            </w:r>
            <w:r w:rsidR="00F72C96" w:rsidRPr="00732EED">
              <w:rPr>
                <w:sz w:val="18"/>
                <w:szCs w:val="18"/>
              </w:rPr>
              <w:t xml:space="preserve"> </w:t>
            </w:r>
            <w:r w:rsidRPr="00732EED">
              <w:rPr>
                <w:sz w:val="18"/>
                <w:szCs w:val="18"/>
              </w:rPr>
              <w:t>a (3) diminished lifeworld, and (4) a challenging reality.</w:t>
            </w:r>
          </w:p>
        </w:tc>
      </w:tr>
      <w:tr w:rsidR="00E31AA5" w:rsidRPr="00732EED" w14:paraId="2BDC1D29"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6DFCCD57" w14:textId="77777777" w:rsidR="001C33D6" w:rsidRPr="00732EED" w:rsidRDefault="001C33D6" w:rsidP="00F0458C">
            <w:pPr>
              <w:rPr>
                <w:sz w:val="18"/>
                <w:szCs w:val="18"/>
              </w:rPr>
            </w:pPr>
            <w:r w:rsidRPr="00732EED">
              <w:rPr>
                <w:sz w:val="18"/>
                <w:szCs w:val="18"/>
              </w:rPr>
              <w:t>29</w:t>
            </w:r>
          </w:p>
        </w:tc>
        <w:tc>
          <w:tcPr>
            <w:tcW w:w="572" w:type="pct"/>
            <w:gridSpan w:val="3"/>
          </w:tcPr>
          <w:p w14:paraId="430C4E1A" w14:textId="55F72912"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Svensson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2015</w:t>
            </w:r>
          </w:p>
        </w:tc>
        <w:tc>
          <w:tcPr>
            <w:tcW w:w="436" w:type="pct"/>
          </w:tcPr>
          <w:p w14:paraId="4A1D0DDE" w14:textId="05EF7846"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57A9CFFE" w14:textId="5CDBEC6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w:t>
            </w:r>
            <w:r w:rsidR="00BE51A9" w:rsidRPr="00732EED">
              <w:rPr>
                <w:sz w:val="18"/>
                <w:szCs w:val="18"/>
              </w:rPr>
              <w:t xml:space="preserve">10 </w:t>
            </w:r>
            <w:r w:rsidRPr="00732EED">
              <w:rPr>
                <w:sz w:val="18"/>
                <w:szCs w:val="18"/>
              </w:rPr>
              <w:t>women with chronic pain secondary to vertebral compression fractures</w:t>
            </w:r>
          </w:p>
        </w:tc>
        <w:tc>
          <w:tcPr>
            <w:tcW w:w="328" w:type="pct"/>
            <w:gridSpan w:val="3"/>
          </w:tcPr>
          <w:p w14:paraId="289D350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Sweden</w:t>
            </w:r>
          </w:p>
        </w:tc>
        <w:tc>
          <w:tcPr>
            <w:tcW w:w="437" w:type="pct"/>
            <w:gridSpan w:val="2"/>
          </w:tcPr>
          <w:p w14:paraId="3207A9F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Open interviews, open coding, thematic synthesis</w:t>
            </w:r>
          </w:p>
        </w:tc>
        <w:tc>
          <w:tcPr>
            <w:tcW w:w="452" w:type="pct"/>
          </w:tcPr>
          <w:p w14:paraId="6B0FC4C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hermeneutic analysis</w:t>
            </w:r>
          </w:p>
        </w:tc>
        <w:tc>
          <w:tcPr>
            <w:tcW w:w="1813" w:type="pct"/>
          </w:tcPr>
          <w:p w14:paraId="56FC65D9" w14:textId="4783779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themes of “struggling to understand a deceiving body</w:t>
            </w:r>
            <w:r w:rsidR="005F5DC7" w:rsidRPr="00732EED">
              <w:rPr>
                <w:sz w:val="18"/>
                <w:szCs w:val="18"/>
              </w:rPr>
              <w:t>,</w:t>
            </w:r>
            <w:r w:rsidRPr="00732EED">
              <w:rPr>
                <w:sz w:val="18"/>
                <w:szCs w:val="18"/>
              </w:rPr>
              <w:t>” “breakthrough pain fueling fear</w:t>
            </w:r>
            <w:r w:rsidR="005F5DC7" w:rsidRPr="00732EED">
              <w:rPr>
                <w:sz w:val="18"/>
                <w:szCs w:val="18"/>
              </w:rPr>
              <w:t>,</w:t>
            </w:r>
            <w:r w:rsidRPr="00732EED">
              <w:rPr>
                <w:sz w:val="18"/>
                <w:szCs w:val="18"/>
              </w:rPr>
              <w:t>” “fearing a trajectory into isolation</w:t>
            </w:r>
            <w:r w:rsidR="005F5DC7" w:rsidRPr="00732EED">
              <w:rPr>
                <w:sz w:val="18"/>
                <w:szCs w:val="18"/>
              </w:rPr>
              <w:t>,</w:t>
            </w:r>
            <w:r w:rsidRPr="00732EED">
              <w:rPr>
                <w:sz w:val="18"/>
                <w:szCs w:val="18"/>
              </w:rPr>
              <w:t>” “concerns of dependency</w:t>
            </w:r>
            <w:r w:rsidR="005F5DC7" w:rsidRPr="00732EED">
              <w:rPr>
                <w:sz w:val="18"/>
                <w:szCs w:val="18"/>
              </w:rPr>
              <w:t>,</w:t>
            </w:r>
            <w:r w:rsidRPr="00732EED">
              <w:rPr>
                <w:sz w:val="18"/>
                <w:szCs w:val="18"/>
              </w:rPr>
              <w:t>” and “fearing an uncertain future</w:t>
            </w:r>
            <w:r w:rsidR="005F5DC7" w:rsidRPr="00732EED">
              <w:rPr>
                <w:sz w:val="18"/>
                <w:szCs w:val="18"/>
              </w:rPr>
              <w:t>.</w:t>
            </w:r>
            <w:r w:rsidRPr="00732EED">
              <w:rPr>
                <w:sz w:val="18"/>
                <w:szCs w:val="18"/>
              </w:rPr>
              <w:t>”</w:t>
            </w:r>
          </w:p>
        </w:tc>
      </w:tr>
      <w:tr w:rsidR="00E31AA5" w:rsidRPr="00732EED" w14:paraId="0F00917E"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365773E1" w14:textId="77777777" w:rsidR="001C33D6" w:rsidRPr="00732EED" w:rsidRDefault="001C33D6" w:rsidP="00F0458C">
            <w:pPr>
              <w:rPr>
                <w:sz w:val="18"/>
                <w:szCs w:val="18"/>
              </w:rPr>
            </w:pPr>
            <w:r w:rsidRPr="00732EED">
              <w:rPr>
                <w:sz w:val="18"/>
                <w:szCs w:val="18"/>
              </w:rPr>
              <w:t>30</w:t>
            </w:r>
          </w:p>
        </w:tc>
        <w:tc>
          <w:tcPr>
            <w:tcW w:w="572" w:type="pct"/>
            <w:gridSpan w:val="3"/>
          </w:tcPr>
          <w:p w14:paraId="6A244E75" w14:textId="4EE5DC0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Coleman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2016</w:t>
            </w:r>
          </w:p>
        </w:tc>
        <w:tc>
          <w:tcPr>
            <w:tcW w:w="436" w:type="pct"/>
          </w:tcPr>
          <w:p w14:paraId="0DE2BC8B" w14:textId="32CE0D26"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4E67D26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7 patients with a history of sickle cell </w:t>
            </w:r>
            <w:r w:rsidRPr="00732EED">
              <w:rPr>
                <w:sz w:val="18"/>
                <w:szCs w:val="18"/>
              </w:rPr>
              <w:lastRenderedPageBreak/>
              <w:t>disease and chronic pain</w:t>
            </w:r>
          </w:p>
        </w:tc>
        <w:tc>
          <w:tcPr>
            <w:tcW w:w="328" w:type="pct"/>
            <w:gridSpan w:val="3"/>
          </w:tcPr>
          <w:p w14:paraId="7FFF6BD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UK</w:t>
            </w:r>
          </w:p>
        </w:tc>
        <w:tc>
          <w:tcPr>
            <w:tcW w:w="437" w:type="pct"/>
            <w:gridSpan w:val="2"/>
          </w:tcPr>
          <w:p w14:paraId="04D920A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Semi-structured interviews with open coding and thematic synthesis </w:t>
            </w:r>
          </w:p>
        </w:tc>
        <w:tc>
          <w:tcPr>
            <w:tcW w:w="452" w:type="pct"/>
          </w:tcPr>
          <w:p w14:paraId="18C7533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31CFE13C" w14:textId="1244536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that the patients felt their pain experiences were unimaginable, agonizing, continuous, inescapable, and limitless while being </w:t>
            </w:r>
            <w:r w:rsidRPr="00732EED">
              <w:rPr>
                <w:sz w:val="18"/>
                <w:szCs w:val="18"/>
              </w:rPr>
              <w:lastRenderedPageBreak/>
              <w:t xml:space="preserve">almost impossible to describe, with participants often resorting to analogies and personification. They felt obliged to accept their illness as it would </w:t>
            </w:r>
            <w:r w:rsidR="00193027" w:rsidRPr="00732EED">
              <w:rPr>
                <w:sz w:val="18"/>
                <w:szCs w:val="18"/>
              </w:rPr>
              <w:t>only be managed b</w:t>
            </w:r>
            <w:r w:rsidRPr="00732EED">
              <w:rPr>
                <w:sz w:val="18"/>
                <w:szCs w:val="18"/>
              </w:rPr>
              <w:t xml:space="preserve">ut were able to appreciate life and recognize positive life lessons. </w:t>
            </w:r>
          </w:p>
        </w:tc>
      </w:tr>
      <w:tr w:rsidR="00E31AA5" w:rsidRPr="00732EED" w14:paraId="6852606F"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23DA4852" w14:textId="77777777" w:rsidR="001C33D6" w:rsidRPr="00732EED" w:rsidRDefault="001C33D6" w:rsidP="00F0458C">
            <w:pPr>
              <w:rPr>
                <w:sz w:val="18"/>
                <w:szCs w:val="18"/>
              </w:rPr>
            </w:pPr>
            <w:r w:rsidRPr="00732EED">
              <w:rPr>
                <w:sz w:val="18"/>
                <w:szCs w:val="18"/>
              </w:rPr>
              <w:lastRenderedPageBreak/>
              <w:t>31</w:t>
            </w:r>
          </w:p>
        </w:tc>
        <w:tc>
          <w:tcPr>
            <w:tcW w:w="572" w:type="pct"/>
            <w:gridSpan w:val="3"/>
          </w:tcPr>
          <w:p w14:paraId="31235245" w14:textId="25DB4BD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Rambod </w:t>
            </w:r>
            <w:r w:rsidR="00F94452" w:rsidRPr="00732EED">
              <w:rPr>
                <w:sz w:val="18"/>
                <w:szCs w:val="18"/>
              </w:rPr>
              <w:t>et</w:t>
            </w:r>
            <w:r w:rsidRPr="00732EED">
              <w:rPr>
                <w:sz w:val="18"/>
                <w:szCs w:val="18"/>
              </w:rPr>
              <w:t xml:space="preserve"> </w:t>
            </w:r>
            <w:r w:rsidR="00F94452" w:rsidRPr="00732EED">
              <w:rPr>
                <w:sz w:val="18"/>
                <w:szCs w:val="18"/>
              </w:rPr>
              <w:t>al.,</w:t>
            </w:r>
            <w:r w:rsidR="00A96D33" w:rsidRPr="00732EED">
              <w:rPr>
                <w:sz w:val="18"/>
                <w:szCs w:val="18"/>
              </w:rPr>
              <w:t xml:space="preserve"> </w:t>
            </w:r>
            <w:r w:rsidRPr="00732EED">
              <w:rPr>
                <w:sz w:val="18"/>
                <w:szCs w:val="18"/>
              </w:rPr>
              <w:t>2016</w:t>
            </w:r>
          </w:p>
        </w:tc>
        <w:tc>
          <w:tcPr>
            <w:tcW w:w="436" w:type="pct"/>
          </w:tcPr>
          <w:p w14:paraId="3317E746" w14:textId="68F93332"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371049D6"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Effects of chronic pain in 14 hemophilia patients </w:t>
            </w:r>
          </w:p>
        </w:tc>
        <w:tc>
          <w:tcPr>
            <w:tcW w:w="328" w:type="pct"/>
            <w:gridSpan w:val="3"/>
          </w:tcPr>
          <w:p w14:paraId="06ED75A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Iran</w:t>
            </w:r>
          </w:p>
        </w:tc>
        <w:tc>
          <w:tcPr>
            <w:tcW w:w="437" w:type="pct"/>
            <w:gridSpan w:val="2"/>
          </w:tcPr>
          <w:p w14:paraId="5EC84D0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thematic synthesis and van Manen six-step analysis</w:t>
            </w:r>
          </w:p>
        </w:tc>
        <w:tc>
          <w:tcPr>
            <w:tcW w:w="452" w:type="pct"/>
          </w:tcPr>
          <w:p w14:paraId="453F136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1FD9244D" w14:textId="4D63F6FF"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three main themes including “alteration in physical health</w:t>
            </w:r>
            <w:r w:rsidR="005F5DC7" w:rsidRPr="00732EED">
              <w:rPr>
                <w:sz w:val="18"/>
                <w:szCs w:val="18"/>
              </w:rPr>
              <w:t>,</w:t>
            </w:r>
            <w:r w:rsidRPr="00732EED">
              <w:rPr>
                <w:sz w:val="18"/>
                <w:szCs w:val="18"/>
              </w:rPr>
              <w:t>” “engagement in psychological problems</w:t>
            </w:r>
            <w:r w:rsidR="005F5DC7" w:rsidRPr="00732EED">
              <w:rPr>
                <w:sz w:val="18"/>
                <w:szCs w:val="18"/>
              </w:rPr>
              <w:t>,</w:t>
            </w:r>
            <w:r w:rsidRPr="00732EED">
              <w:rPr>
                <w:sz w:val="18"/>
                <w:szCs w:val="18"/>
              </w:rPr>
              <w:t>” and “impairment in social relationships</w:t>
            </w:r>
            <w:r w:rsidR="005F5DC7" w:rsidRPr="00732EED">
              <w:rPr>
                <w:sz w:val="18"/>
                <w:szCs w:val="18"/>
              </w:rPr>
              <w:t>.</w:t>
            </w:r>
            <w:r w:rsidRPr="00732EED">
              <w:rPr>
                <w:sz w:val="18"/>
                <w:szCs w:val="18"/>
              </w:rPr>
              <w:t>”</w:t>
            </w:r>
          </w:p>
        </w:tc>
      </w:tr>
      <w:tr w:rsidR="00E31AA5" w:rsidRPr="00732EED" w14:paraId="7B1C653B"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3B4A6096" w14:textId="77777777" w:rsidR="001C33D6" w:rsidRPr="00732EED" w:rsidRDefault="001C33D6" w:rsidP="00F0458C">
            <w:pPr>
              <w:rPr>
                <w:sz w:val="18"/>
                <w:szCs w:val="18"/>
              </w:rPr>
            </w:pPr>
            <w:r w:rsidRPr="00732EED">
              <w:rPr>
                <w:sz w:val="18"/>
                <w:szCs w:val="18"/>
              </w:rPr>
              <w:t>32</w:t>
            </w:r>
          </w:p>
        </w:tc>
        <w:tc>
          <w:tcPr>
            <w:tcW w:w="572" w:type="pct"/>
            <w:gridSpan w:val="3"/>
          </w:tcPr>
          <w:p w14:paraId="48D25366" w14:textId="3B2DF8E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Angel </w:t>
            </w:r>
            <w:r w:rsidR="00F94452" w:rsidRPr="00732EED">
              <w:rPr>
                <w:sz w:val="18"/>
                <w:szCs w:val="18"/>
              </w:rPr>
              <w:t>et</w:t>
            </w:r>
            <w:r w:rsidRPr="00732EED">
              <w:rPr>
                <w:sz w:val="18"/>
                <w:szCs w:val="18"/>
              </w:rPr>
              <w:t xml:space="preserve"> </w:t>
            </w:r>
            <w:r w:rsidR="00F94452" w:rsidRPr="00732EED">
              <w:rPr>
                <w:sz w:val="18"/>
                <w:szCs w:val="18"/>
              </w:rPr>
              <w:t>al.,</w:t>
            </w:r>
            <w:r w:rsidR="00A96D33" w:rsidRPr="00732EED">
              <w:rPr>
                <w:sz w:val="18"/>
                <w:szCs w:val="18"/>
              </w:rPr>
              <w:t xml:space="preserve"> </w:t>
            </w:r>
            <w:r w:rsidRPr="00732EED">
              <w:rPr>
                <w:sz w:val="18"/>
                <w:szCs w:val="18"/>
              </w:rPr>
              <w:t>2017</w:t>
            </w:r>
          </w:p>
        </w:tc>
        <w:tc>
          <w:tcPr>
            <w:tcW w:w="436" w:type="pct"/>
          </w:tcPr>
          <w:p w14:paraId="47D65462" w14:textId="6DB38E4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047015C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25 individuals with chronic low back pain after biopsychosocial counseling intervention</w:t>
            </w:r>
          </w:p>
        </w:tc>
        <w:tc>
          <w:tcPr>
            <w:tcW w:w="328" w:type="pct"/>
            <w:gridSpan w:val="3"/>
          </w:tcPr>
          <w:p w14:paraId="5AFF8B5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Scandinavia</w:t>
            </w:r>
          </w:p>
        </w:tc>
        <w:tc>
          <w:tcPr>
            <w:tcW w:w="437" w:type="pct"/>
            <w:gridSpan w:val="2"/>
          </w:tcPr>
          <w:p w14:paraId="1892717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Semi-structured interviews, </w:t>
            </w:r>
            <w:proofErr w:type="spellStart"/>
            <w:r w:rsidRPr="00732EED">
              <w:rPr>
                <w:sz w:val="18"/>
                <w:szCs w:val="18"/>
              </w:rPr>
              <w:t>Ricoeur’s</w:t>
            </w:r>
            <w:proofErr w:type="spellEnd"/>
            <w:r w:rsidRPr="00732EED">
              <w:rPr>
                <w:sz w:val="18"/>
                <w:szCs w:val="18"/>
              </w:rPr>
              <w:t xml:space="preserve"> three-stem interpretation</w:t>
            </w:r>
          </w:p>
        </w:tc>
        <w:tc>
          <w:tcPr>
            <w:tcW w:w="452" w:type="pct"/>
          </w:tcPr>
          <w:p w14:paraId="45178D5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339520E9" w14:textId="7760517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several narratives in </w:t>
            </w:r>
            <w:r w:rsidR="00EC68D9" w:rsidRPr="00732EED">
              <w:rPr>
                <w:sz w:val="18"/>
                <w:szCs w:val="18"/>
              </w:rPr>
              <w:t>moving</w:t>
            </w:r>
            <w:r w:rsidRPr="00732EED">
              <w:rPr>
                <w:sz w:val="18"/>
                <w:szCs w:val="18"/>
              </w:rPr>
              <w:t xml:space="preserve"> on with life without pain including recovering and returning to prior lifestyle, </w:t>
            </w:r>
            <w:r w:rsidR="00EC68D9" w:rsidRPr="00732EED">
              <w:rPr>
                <w:sz w:val="18"/>
                <w:szCs w:val="18"/>
              </w:rPr>
              <w:t>reducing</w:t>
            </w:r>
            <w:r w:rsidRPr="00732EED">
              <w:rPr>
                <w:sz w:val="18"/>
                <w:szCs w:val="18"/>
              </w:rPr>
              <w:t xml:space="preserve"> pain with strict regimes, and developing strategies for when pain recurs. For those with continual pain</w:t>
            </w:r>
            <w:r w:rsidR="007D09EE" w:rsidRPr="00732EED">
              <w:rPr>
                <w:sz w:val="18"/>
                <w:szCs w:val="18"/>
              </w:rPr>
              <w:t>,</w:t>
            </w:r>
            <w:r w:rsidRPr="00732EED">
              <w:rPr>
                <w:sz w:val="18"/>
                <w:szCs w:val="18"/>
              </w:rPr>
              <w:t xml:space="preserve"> they identified </w:t>
            </w:r>
            <w:r w:rsidR="00EC68D9" w:rsidRPr="00732EED">
              <w:rPr>
                <w:sz w:val="18"/>
                <w:szCs w:val="18"/>
              </w:rPr>
              <w:t xml:space="preserve">the </w:t>
            </w:r>
            <w:r w:rsidRPr="00732EED">
              <w:rPr>
                <w:sz w:val="18"/>
                <w:szCs w:val="18"/>
              </w:rPr>
              <w:t>narratives of finding a</w:t>
            </w:r>
            <w:r w:rsidR="00EC68D9" w:rsidRPr="00732EED">
              <w:rPr>
                <w:sz w:val="18"/>
                <w:szCs w:val="18"/>
              </w:rPr>
              <w:t>n approach</w:t>
            </w:r>
            <w:r w:rsidRPr="00732EED">
              <w:rPr>
                <w:sz w:val="18"/>
                <w:szCs w:val="18"/>
              </w:rPr>
              <w:t xml:space="preserve"> to a functioning everyday life with pain and being stuck and finding no way out.</w:t>
            </w:r>
          </w:p>
        </w:tc>
      </w:tr>
      <w:tr w:rsidR="00E31AA5" w:rsidRPr="00732EED" w14:paraId="22404082"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0B64796E" w14:textId="77777777" w:rsidR="001C33D6" w:rsidRPr="00732EED" w:rsidRDefault="001C33D6" w:rsidP="00F0458C">
            <w:pPr>
              <w:rPr>
                <w:sz w:val="18"/>
                <w:szCs w:val="18"/>
              </w:rPr>
            </w:pPr>
            <w:r w:rsidRPr="00732EED">
              <w:rPr>
                <w:sz w:val="18"/>
                <w:szCs w:val="18"/>
              </w:rPr>
              <w:t>33</w:t>
            </w:r>
          </w:p>
        </w:tc>
        <w:tc>
          <w:tcPr>
            <w:tcW w:w="572" w:type="pct"/>
            <w:gridSpan w:val="3"/>
          </w:tcPr>
          <w:p w14:paraId="2893212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Hassani et al., 2017</w:t>
            </w:r>
          </w:p>
        </w:tc>
        <w:tc>
          <w:tcPr>
            <w:tcW w:w="436" w:type="pct"/>
          </w:tcPr>
          <w:p w14:paraId="2F6B340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476" w:type="pct"/>
            <w:gridSpan w:val="2"/>
          </w:tcPr>
          <w:p w14:paraId="3EB8A59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22 individuals with chronic pain</w:t>
            </w:r>
          </w:p>
        </w:tc>
        <w:tc>
          <w:tcPr>
            <w:tcW w:w="328" w:type="pct"/>
            <w:gridSpan w:val="3"/>
          </w:tcPr>
          <w:p w14:paraId="4CB6A8D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Iran</w:t>
            </w:r>
          </w:p>
        </w:tc>
        <w:tc>
          <w:tcPr>
            <w:tcW w:w="437" w:type="pct"/>
            <w:gridSpan w:val="2"/>
          </w:tcPr>
          <w:p w14:paraId="167919E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Colaizzi nine steps for directing a descriptive</w:t>
            </w:r>
          </w:p>
          <w:p w14:paraId="3EE370C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p w14:paraId="578F01FA" w14:textId="1C667FD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themes and subthemes were developed</w:t>
            </w:r>
          </w:p>
        </w:tc>
        <w:tc>
          <w:tcPr>
            <w:tcW w:w="452" w:type="pct"/>
          </w:tcPr>
          <w:p w14:paraId="244BAFC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Descriptive phenomenology</w:t>
            </w:r>
          </w:p>
        </w:tc>
        <w:tc>
          <w:tcPr>
            <w:tcW w:w="1813" w:type="pct"/>
          </w:tcPr>
          <w:p w14:paraId="06A27A73" w14:textId="3526307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themes for resilience: (1) the art of overcoming suffering, (2) purpose</w:t>
            </w:r>
            <w:r w:rsidR="00EC68D9" w:rsidRPr="00732EED">
              <w:rPr>
                <w:sz w:val="18"/>
                <w:szCs w:val="18"/>
              </w:rPr>
              <w:t>,</w:t>
            </w:r>
            <w:r w:rsidRPr="00732EED">
              <w:rPr>
                <w:sz w:val="18"/>
                <w:szCs w:val="18"/>
              </w:rPr>
              <w:t xml:space="preserve"> (3) spirituality, </w:t>
            </w:r>
            <w:r w:rsidR="00EC68D9" w:rsidRPr="00732EED">
              <w:rPr>
                <w:sz w:val="18"/>
                <w:szCs w:val="18"/>
              </w:rPr>
              <w:t xml:space="preserve">and </w:t>
            </w:r>
            <w:r w:rsidRPr="00732EED">
              <w:rPr>
                <w:sz w:val="18"/>
                <w:szCs w:val="18"/>
              </w:rPr>
              <w:t>(4) support and connection</w:t>
            </w:r>
            <w:r w:rsidR="00EC68D9" w:rsidRPr="00732EED">
              <w:rPr>
                <w:sz w:val="18"/>
                <w:szCs w:val="18"/>
              </w:rPr>
              <w:t>.</w:t>
            </w:r>
          </w:p>
        </w:tc>
      </w:tr>
      <w:tr w:rsidR="00E31AA5" w:rsidRPr="00732EED" w14:paraId="48080BD3"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15F76D95" w14:textId="77777777" w:rsidR="001C33D6" w:rsidRPr="00732EED" w:rsidRDefault="001C33D6" w:rsidP="00F0458C">
            <w:pPr>
              <w:rPr>
                <w:sz w:val="18"/>
                <w:szCs w:val="18"/>
              </w:rPr>
            </w:pPr>
            <w:r w:rsidRPr="00732EED">
              <w:rPr>
                <w:sz w:val="18"/>
                <w:szCs w:val="18"/>
              </w:rPr>
              <w:t>34</w:t>
            </w:r>
          </w:p>
        </w:tc>
        <w:tc>
          <w:tcPr>
            <w:tcW w:w="572" w:type="pct"/>
            <w:gridSpan w:val="3"/>
          </w:tcPr>
          <w:p w14:paraId="5033A30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Morton et al., 2017</w:t>
            </w:r>
          </w:p>
        </w:tc>
        <w:tc>
          <w:tcPr>
            <w:tcW w:w="436" w:type="pct"/>
          </w:tcPr>
          <w:p w14:paraId="680127D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Meta-ethnography</w:t>
            </w:r>
          </w:p>
        </w:tc>
        <w:tc>
          <w:tcPr>
            <w:tcW w:w="476" w:type="pct"/>
            <w:gridSpan w:val="2"/>
          </w:tcPr>
          <w:p w14:paraId="0F62521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Patients with chronic conditions and chronic pain</w:t>
            </w:r>
          </w:p>
        </w:tc>
        <w:tc>
          <w:tcPr>
            <w:tcW w:w="328" w:type="pct"/>
            <w:gridSpan w:val="3"/>
          </w:tcPr>
          <w:p w14:paraId="49F37D1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Studies from multiple countries</w:t>
            </w:r>
          </w:p>
        </w:tc>
        <w:tc>
          <w:tcPr>
            <w:tcW w:w="437" w:type="pct"/>
            <w:gridSpan w:val="2"/>
          </w:tcPr>
          <w:p w14:paraId="1D13B60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Studies were appraised with the multi-dimensional National Institute for Health and</w:t>
            </w:r>
          </w:p>
          <w:p w14:paraId="183BD58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Clinical Excellence (NICE) quality appraisal checklist for qualitative</w:t>
            </w:r>
          </w:p>
          <w:p w14:paraId="4A7AAC5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studies</w:t>
            </w:r>
          </w:p>
          <w:p w14:paraId="5F31CCA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
        </w:tc>
        <w:tc>
          <w:tcPr>
            <w:tcW w:w="452" w:type="pct"/>
          </w:tcPr>
          <w:p w14:paraId="52B66B9B" w14:textId="72C2FC7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Meta-ethnography based on Noblit </w:t>
            </w:r>
            <w:r w:rsidR="00F72C96" w:rsidRPr="00732EED">
              <w:rPr>
                <w:sz w:val="18"/>
                <w:szCs w:val="18"/>
              </w:rPr>
              <w:t xml:space="preserve">and </w:t>
            </w:r>
            <w:r w:rsidRPr="00732EED">
              <w:rPr>
                <w:sz w:val="18"/>
                <w:szCs w:val="18"/>
              </w:rPr>
              <w:t>Hare</w:t>
            </w:r>
          </w:p>
        </w:tc>
        <w:tc>
          <w:tcPr>
            <w:tcW w:w="1813" w:type="pct"/>
          </w:tcPr>
          <w:p w14:paraId="3B4B04E8" w14:textId="151ECC3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Patients using self-management digital interventions often feel well cared for and </w:t>
            </w:r>
            <w:r w:rsidR="00EC68D9" w:rsidRPr="00732EED">
              <w:rPr>
                <w:sz w:val="18"/>
                <w:szCs w:val="18"/>
              </w:rPr>
              <w:t>assume</w:t>
            </w:r>
            <w:r w:rsidRPr="00732EED">
              <w:rPr>
                <w:sz w:val="18"/>
                <w:szCs w:val="18"/>
              </w:rPr>
              <w:t xml:space="preserve"> a more active role. Tele-monitoring physiological data can encourage complex behavioral changes.</w:t>
            </w:r>
          </w:p>
        </w:tc>
      </w:tr>
      <w:tr w:rsidR="00E31AA5" w:rsidRPr="00732EED" w14:paraId="6E371741"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77BA8BCB" w14:textId="77777777" w:rsidR="001C33D6" w:rsidRPr="00732EED" w:rsidRDefault="001C33D6" w:rsidP="00F0458C">
            <w:pPr>
              <w:rPr>
                <w:sz w:val="18"/>
                <w:szCs w:val="18"/>
              </w:rPr>
            </w:pPr>
            <w:r w:rsidRPr="00732EED">
              <w:rPr>
                <w:sz w:val="18"/>
                <w:szCs w:val="18"/>
              </w:rPr>
              <w:t>35</w:t>
            </w:r>
          </w:p>
        </w:tc>
        <w:tc>
          <w:tcPr>
            <w:tcW w:w="572" w:type="pct"/>
            <w:gridSpan w:val="3"/>
          </w:tcPr>
          <w:p w14:paraId="5B007D3F" w14:textId="3D5BA4FD"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Palacios-</w:t>
            </w:r>
            <w:proofErr w:type="spellStart"/>
            <w:r w:rsidRPr="00732EED">
              <w:rPr>
                <w:sz w:val="18"/>
                <w:szCs w:val="18"/>
              </w:rPr>
              <w:t>Ceña</w:t>
            </w:r>
            <w:proofErr w:type="spellEnd"/>
            <w:r w:rsidRPr="00732EED">
              <w:rPr>
                <w:sz w:val="18"/>
                <w:szCs w:val="18"/>
              </w:rPr>
              <w:t xml:space="preserve">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2017</w:t>
            </w:r>
          </w:p>
        </w:tc>
        <w:tc>
          <w:tcPr>
            <w:tcW w:w="436" w:type="pct"/>
          </w:tcPr>
          <w:p w14:paraId="3CD1C7E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476" w:type="pct"/>
            <w:gridSpan w:val="2"/>
          </w:tcPr>
          <w:p w14:paraId="56EDF57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20 women with a history of chronic migraines that presented to a headache clinic</w:t>
            </w:r>
          </w:p>
        </w:tc>
        <w:tc>
          <w:tcPr>
            <w:tcW w:w="328" w:type="pct"/>
            <w:gridSpan w:val="3"/>
          </w:tcPr>
          <w:p w14:paraId="01EE408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Spain</w:t>
            </w:r>
          </w:p>
        </w:tc>
        <w:tc>
          <w:tcPr>
            <w:tcW w:w="437" w:type="pct"/>
            <w:gridSpan w:val="2"/>
          </w:tcPr>
          <w:p w14:paraId="2C2D54C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open coding and thematic synthesis</w:t>
            </w:r>
          </w:p>
        </w:tc>
        <w:tc>
          <w:tcPr>
            <w:tcW w:w="452" w:type="pct"/>
          </w:tcPr>
          <w:p w14:paraId="621A2DC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215C550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identified five main themes regarding the significance of the patients’ suffering: shame of suffering from an invisible condition, treatment need/skepticism/fear, looking for physician support and sincerity/fighting </w:t>
            </w:r>
            <w:r w:rsidRPr="00732EED">
              <w:rPr>
                <w:sz w:val="18"/>
                <w:szCs w:val="18"/>
              </w:rPr>
              <w:lastRenderedPageBreak/>
              <w:t>misconceptions, limiting the impact on daily life through self-control, and understanding/disbelief from family and work</w:t>
            </w:r>
          </w:p>
        </w:tc>
      </w:tr>
      <w:tr w:rsidR="00E31AA5" w:rsidRPr="00732EED" w14:paraId="23FC79B4"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52840269" w14:textId="77777777" w:rsidR="001C33D6" w:rsidRPr="00732EED" w:rsidRDefault="001C33D6" w:rsidP="00F0458C">
            <w:pPr>
              <w:rPr>
                <w:sz w:val="18"/>
                <w:szCs w:val="18"/>
              </w:rPr>
            </w:pPr>
            <w:r w:rsidRPr="00732EED">
              <w:rPr>
                <w:sz w:val="18"/>
                <w:szCs w:val="18"/>
              </w:rPr>
              <w:lastRenderedPageBreak/>
              <w:t>36</w:t>
            </w:r>
          </w:p>
        </w:tc>
        <w:tc>
          <w:tcPr>
            <w:tcW w:w="572" w:type="pct"/>
            <w:gridSpan w:val="3"/>
          </w:tcPr>
          <w:p w14:paraId="728FA8A9" w14:textId="7FD5563F"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Schütze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2017</w:t>
            </w:r>
          </w:p>
        </w:tc>
        <w:tc>
          <w:tcPr>
            <w:tcW w:w="436" w:type="pct"/>
          </w:tcPr>
          <w:p w14:paraId="0C46530F" w14:textId="50DEECF6"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Qualitative </w:t>
            </w:r>
            <w:r w:rsidR="00F72C96" w:rsidRPr="00732EED">
              <w:rPr>
                <w:sz w:val="18"/>
                <w:szCs w:val="18"/>
              </w:rPr>
              <w:t>i</w:t>
            </w:r>
            <w:r w:rsidRPr="00732EED">
              <w:rPr>
                <w:sz w:val="18"/>
                <w:szCs w:val="18"/>
              </w:rPr>
              <w:t xml:space="preserve">nterview </w:t>
            </w:r>
            <w:r w:rsidR="00F72C96" w:rsidRPr="00732EED">
              <w:rPr>
                <w:sz w:val="18"/>
                <w:szCs w:val="18"/>
              </w:rPr>
              <w:t>s</w:t>
            </w:r>
            <w:r w:rsidRPr="00732EED">
              <w:rPr>
                <w:sz w:val="18"/>
                <w:szCs w:val="18"/>
              </w:rPr>
              <w:t>tudy</w:t>
            </w:r>
          </w:p>
        </w:tc>
        <w:tc>
          <w:tcPr>
            <w:tcW w:w="476" w:type="pct"/>
            <w:gridSpan w:val="2"/>
          </w:tcPr>
          <w:p w14:paraId="00ED1D1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15 adults with chronic low back pain that scored highly on the pain catastrophizing scale</w:t>
            </w:r>
          </w:p>
        </w:tc>
        <w:tc>
          <w:tcPr>
            <w:tcW w:w="328" w:type="pct"/>
            <w:gridSpan w:val="3"/>
          </w:tcPr>
          <w:p w14:paraId="2381255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Australia</w:t>
            </w:r>
          </w:p>
        </w:tc>
        <w:tc>
          <w:tcPr>
            <w:tcW w:w="437" w:type="pct"/>
            <w:gridSpan w:val="2"/>
          </w:tcPr>
          <w:p w14:paraId="2C82405E" w14:textId="4C71ED7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w:t>
            </w:r>
            <w:r w:rsidR="00E35EDA" w:rsidRPr="00732EED">
              <w:rPr>
                <w:sz w:val="18"/>
                <w:szCs w:val="18"/>
              </w:rPr>
              <w:t>-</w:t>
            </w:r>
            <w:r w:rsidRPr="00732EED">
              <w:rPr>
                <w:sz w:val="18"/>
                <w:szCs w:val="18"/>
              </w:rPr>
              <w:t>structured interviews with independent analysis</w:t>
            </w:r>
          </w:p>
        </w:tc>
        <w:tc>
          <w:tcPr>
            <w:tcW w:w="452" w:type="pct"/>
          </w:tcPr>
          <w:p w14:paraId="1BEC194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Analysis of metacognition based on the interview data </w:t>
            </w:r>
          </w:p>
        </w:tc>
        <w:tc>
          <w:tcPr>
            <w:tcW w:w="1813" w:type="pct"/>
          </w:tcPr>
          <w:p w14:paraId="4B9165D5" w14:textId="49AF6CF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several characteristic metacognitions in patients with pain catastrophizing</w:t>
            </w:r>
            <w:r w:rsidR="007D09EE" w:rsidRPr="00732EED">
              <w:rPr>
                <w:sz w:val="18"/>
                <w:szCs w:val="18"/>
              </w:rPr>
              <w:t>,</w:t>
            </w:r>
            <w:r w:rsidRPr="00732EED">
              <w:rPr>
                <w:sz w:val="18"/>
                <w:szCs w:val="18"/>
              </w:rPr>
              <w:t xml:space="preserve"> including thinking helps me to cope, rumination is uncontrollable, and worry is pointless. Often, these </w:t>
            </w:r>
            <w:r w:rsidR="00EC68D9" w:rsidRPr="00732EED">
              <w:rPr>
                <w:sz w:val="18"/>
                <w:szCs w:val="18"/>
              </w:rPr>
              <w:t>occurred</w:t>
            </w:r>
            <w:r w:rsidRPr="00732EED">
              <w:rPr>
                <w:sz w:val="18"/>
                <w:szCs w:val="18"/>
              </w:rPr>
              <w:t xml:space="preserve"> at the same time, creating significant internal conflict. </w:t>
            </w:r>
          </w:p>
        </w:tc>
      </w:tr>
      <w:tr w:rsidR="00E31AA5" w:rsidRPr="00732EED" w14:paraId="1ADC5699"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27D5BDF7" w14:textId="77777777" w:rsidR="001C33D6" w:rsidRPr="00732EED" w:rsidRDefault="001C33D6" w:rsidP="00F0458C">
            <w:pPr>
              <w:rPr>
                <w:sz w:val="18"/>
                <w:szCs w:val="18"/>
              </w:rPr>
            </w:pPr>
            <w:r w:rsidRPr="00732EED">
              <w:rPr>
                <w:sz w:val="18"/>
                <w:szCs w:val="18"/>
              </w:rPr>
              <w:t>37</w:t>
            </w:r>
          </w:p>
        </w:tc>
        <w:tc>
          <w:tcPr>
            <w:tcW w:w="572" w:type="pct"/>
            <w:gridSpan w:val="3"/>
          </w:tcPr>
          <w:p w14:paraId="4DE582D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Toye et al., 2017</w:t>
            </w:r>
          </w:p>
        </w:tc>
        <w:tc>
          <w:tcPr>
            <w:tcW w:w="436" w:type="pct"/>
          </w:tcPr>
          <w:p w14:paraId="78D8A72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Mega-ethnography</w:t>
            </w:r>
          </w:p>
        </w:tc>
        <w:tc>
          <w:tcPr>
            <w:tcW w:w="476" w:type="pct"/>
            <w:gridSpan w:val="2"/>
          </w:tcPr>
          <w:p w14:paraId="2A9250F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Lived experiences of patients with chronic pain</w:t>
            </w:r>
          </w:p>
        </w:tc>
        <w:tc>
          <w:tcPr>
            <w:tcW w:w="328" w:type="pct"/>
            <w:gridSpan w:val="3"/>
          </w:tcPr>
          <w:p w14:paraId="4A39426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Studies from multiple countries</w:t>
            </w:r>
          </w:p>
        </w:tc>
        <w:tc>
          <w:tcPr>
            <w:tcW w:w="437" w:type="pct"/>
            <w:gridSpan w:val="2"/>
          </w:tcPr>
          <w:p w14:paraId="11B4B95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Authors did not formally appraise the quality of included 11 qualitative studies</w:t>
            </w:r>
          </w:p>
        </w:tc>
        <w:tc>
          <w:tcPr>
            <w:tcW w:w="452" w:type="pct"/>
          </w:tcPr>
          <w:p w14:paraId="5D361AB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Meta-ethnography, synthesis of qualitative evidence syntheses, the authors coin mega-ethnography</w:t>
            </w:r>
          </w:p>
        </w:tc>
        <w:tc>
          <w:tcPr>
            <w:tcW w:w="1813" w:type="pct"/>
          </w:tcPr>
          <w:p w14:paraId="7FAC94FB" w14:textId="4884F1F6"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Development of seven themes: (1) my life is impoverished and confined; (2) struggling against my body to be me; (3) the quest for the diagnostic </w:t>
            </w:r>
            <w:r w:rsidR="00EC68D9" w:rsidRPr="00732EED">
              <w:rPr>
                <w:sz w:val="18"/>
                <w:szCs w:val="18"/>
              </w:rPr>
              <w:t>“</w:t>
            </w:r>
            <w:r w:rsidRPr="00732EED">
              <w:rPr>
                <w:sz w:val="18"/>
                <w:szCs w:val="18"/>
              </w:rPr>
              <w:t>holy grail</w:t>
            </w:r>
            <w:r w:rsidR="00EC68D9" w:rsidRPr="00732EED">
              <w:rPr>
                <w:sz w:val="18"/>
                <w:szCs w:val="18"/>
              </w:rPr>
              <w:t>”</w:t>
            </w:r>
            <w:r w:rsidRPr="00732EED">
              <w:rPr>
                <w:sz w:val="18"/>
                <w:szCs w:val="18"/>
              </w:rPr>
              <w:t>; (4) lost personal credibility; (5) trying to keep up appearances; (6) need to be treated with dignity; and (7) deciding to end the quest for the grail is not easy.</w:t>
            </w:r>
          </w:p>
        </w:tc>
      </w:tr>
      <w:tr w:rsidR="00E31AA5" w:rsidRPr="00732EED" w14:paraId="4039F109"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11F2F756" w14:textId="77777777" w:rsidR="001C33D6" w:rsidRPr="00732EED" w:rsidRDefault="001C33D6" w:rsidP="00F0458C">
            <w:pPr>
              <w:rPr>
                <w:sz w:val="18"/>
                <w:szCs w:val="18"/>
              </w:rPr>
            </w:pPr>
            <w:r w:rsidRPr="00732EED">
              <w:rPr>
                <w:sz w:val="18"/>
                <w:szCs w:val="18"/>
              </w:rPr>
              <w:t>38</w:t>
            </w:r>
          </w:p>
        </w:tc>
        <w:tc>
          <w:tcPr>
            <w:tcW w:w="572" w:type="pct"/>
            <w:gridSpan w:val="3"/>
          </w:tcPr>
          <w:p w14:paraId="0482C73B" w14:textId="13356E0A"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Twiddy </w:t>
            </w:r>
            <w:r w:rsidR="00F94452" w:rsidRPr="00732EED">
              <w:rPr>
                <w:sz w:val="18"/>
                <w:szCs w:val="18"/>
              </w:rPr>
              <w:t>et</w:t>
            </w:r>
            <w:r w:rsidRPr="00732EED">
              <w:rPr>
                <w:sz w:val="18"/>
                <w:szCs w:val="18"/>
              </w:rPr>
              <w:t xml:space="preserve"> </w:t>
            </w:r>
            <w:r w:rsidR="00F94452" w:rsidRPr="00732EED">
              <w:rPr>
                <w:sz w:val="18"/>
                <w:szCs w:val="18"/>
              </w:rPr>
              <w:t>al.,</w:t>
            </w:r>
            <w:r w:rsidR="00A96D33" w:rsidRPr="00732EED">
              <w:rPr>
                <w:sz w:val="18"/>
                <w:szCs w:val="18"/>
              </w:rPr>
              <w:t xml:space="preserve"> </w:t>
            </w:r>
            <w:r w:rsidRPr="00732EED">
              <w:rPr>
                <w:sz w:val="18"/>
                <w:szCs w:val="18"/>
              </w:rPr>
              <w:t>2017</w:t>
            </w:r>
          </w:p>
        </w:tc>
        <w:tc>
          <w:tcPr>
            <w:tcW w:w="436" w:type="pct"/>
          </w:tcPr>
          <w:p w14:paraId="2821D097" w14:textId="256A980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Qualitative </w:t>
            </w:r>
            <w:r w:rsidR="00F72C96" w:rsidRPr="00732EED">
              <w:rPr>
                <w:sz w:val="18"/>
                <w:szCs w:val="18"/>
              </w:rPr>
              <w:t>i</w:t>
            </w:r>
            <w:r w:rsidRPr="00732EED">
              <w:rPr>
                <w:sz w:val="18"/>
                <w:szCs w:val="18"/>
              </w:rPr>
              <w:t xml:space="preserve">nterview </w:t>
            </w:r>
            <w:r w:rsidR="00F72C96" w:rsidRPr="00732EED">
              <w:rPr>
                <w:sz w:val="18"/>
                <w:szCs w:val="18"/>
              </w:rPr>
              <w:t>s</w:t>
            </w:r>
            <w:r w:rsidRPr="00732EED">
              <w:rPr>
                <w:sz w:val="18"/>
                <w:szCs w:val="18"/>
              </w:rPr>
              <w:t>tudy</w:t>
            </w:r>
          </w:p>
        </w:tc>
        <w:tc>
          <w:tcPr>
            <w:tcW w:w="476" w:type="pct"/>
            <w:gridSpan w:val="2"/>
          </w:tcPr>
          <w:p w14:paraId="344C0680" w14:textId="055745A6"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18 adults aged 18</w:t>
            </w:r>
            <w:r w:rsidR="00EC68D9" w:rsidRPr="00732EED">
              <w:rPr>
                <w:sz w:val="18"/>
                <w:szCs w:val="18"/>
              </w:rPr>
              <w:t>–</w:t>
            </w:r>
            <w:r w:rsidRPr="00732EED">
              <w:rPr>
                <w:sz w:val="18"/>
                <w:szCs w:val="18"/>
              </w:rPr>
              <w:t xml:space="preserve">30 </w:t>
            </w:r>
            <w:r w:rsidR="007D09EE" w:rsidRPr="00732EED">
              <w:rPr>
                <w:sz w:val="18"/>
                <w:szCs w:val="18"/>
              </w:rPr>
              <w:t xml:space="preserve">years </w:t>
            </w:r>
            <w:r w:rsidRPr="00732EED">
              <w:rPr>
                <w:sz w:val="18"/>
                <w:szCs w:val="18"/>
              </w:rPr>
              <w:t>in focus groups at a pain clinic in the UK</w:t>
            </w:r>
          </w:p>
        </w:tc>
        <w:tc>
          <w:tcPr>
            <w:tcW w:w="328" w:type="pct"/>
            <w:gridSpan w:val="3"/>
          </w:tcPr>
          <w:p w14:paraId="63A2279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UK</w:t>
            </w:r>
          </w:p>
        </w:tc>
        <w:tc>
          <w:tcPr>
            <w:tcW w:w="437" w:type="pct"/>
            <w:gridSpan w:val="2"/>
          </w:tcPr>
          <w:p w14:paraId="5ED532C1"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Semi-structured interviews </w:t>
            </w:r>
          </w:p>
        </w:tc>
        <w:tc>
          <w:tcPr>
            <w:tcW w:w="452" w:type="pct"/>
          </w:tcPr>
          <w:p w14:paraId="3408F5B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Descriptive phenomenology</w:t>
            </w:r>
          </w:p>
        </w:tc>
        <w:tc>
          <w:tcPr>
            <w:tcW w:w="1813" w:type="pct"/>
          </w:tcPr>
          <w:p w14:paraId="56C78B5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four main themes from the interviews: thwarted opportunities, peer separation, illness validity in the context of age, and dependency/parental enmeshment.</w:t>
            </w:r>
          </w:p>
        </w:tc>
      </w:tr>
      <w:tr w:rsidR="00E31AA5" w:rsidRPr="00732EED" w14:paraId="543F0687"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09E0AAFB" w14:textId="77777777" w:rsidR="001C33D6" w:rsidRPr="00732EED" w:rsidRDefault="001C33D6" w:rsidP="00F0458C">
            <w:pPr>
              <w:rPr>
                <w:sz w:val="18"/>
                <w:szCs w:val="18"/>
              </w:rPr>
            </w:pPr>
            <w:r w:rsidRPr="00732EED">
              <w:rPr>
                <w:sz w:val="18"/>
                <w:szCs w:val="18"/>
              </w:rPr>
              <w:t>39</w:t>
            </w:r>
          </w:p>
        </w:tc>
        <w:tc>
          <w:tcPr>
            <w:tcW w:w="572" w:type="pct"/>
            <w:gridSpan w:val="3"/>
          </w:tcPr>
          <w:p w14:paraId="6C7369B0" w14:textId="0017A38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Cooper et al., 2018</w:t>
            </w:r>
          </w:p>
        </w:tc>
        <w:tc>
          <w:tcPr>
            <w:tcW w:w="436" w:type="pct"/>
          </w:tcPr>
          <w:p w14:paraId="22AA82F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interview study</w:t>
            </w:r>
          </w:p>
        </w:tc>
        <w:tc>
          <w:tcPr>
            <w:tcW w:w="476" w:type="pct"/>
            <w:gridSpan w:val="2"/>
          </w:tcPr>
          <w:p w14:paraId="026F2BA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18 adults BMI &gt;=25-46 with chronic musculoskeletal pain</w:t>
            </w:r>
          </w:p>
        </w:tc>
        <w:tc>
          <w:tcPr>
            <w:tcW w:w="328" w:type="pct"/>
            <w:gridSpan w:val="3"/>
          </w:tcPr>
          <w:p w14:paraId="7DEA6B0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UK</w:t>
            </w:r>
          </w:p>
        </w:tc>
        <w:tc>
          <w:tcPr>
            <w:tcW w:w="437" w:type="pct"/>
            <w:gridSpan w:val="2"/>
          </w:tcPr>
          <w:p w14:paraId="2519B33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thematic synthesis and open coding</w:t>
            </w:r>
          </w:p>
        </w:tc>
        <w:tc>
          <w:tcPr>
            <w:tcW w:w="452" w:type="pct"/>
          </w:tcPr>
          <w:p w14:paraId="65FCCEC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2E963A1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Three superordinate themes: pain as a motivator and barrier to weight loss, fear of weight causing more damage, and activity is positive. Highlights the dichotomy of pain being both a motivator and a barrier to healthy weight loss. </w:t>
            </w:r>
          </w:p>
        </w:tc>
      </w:tr>
      <w:tr w:rsidR="00E31AA5" w:rsidRPr="00732EED" w14:paraId="140D9A29"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10EA4D26" w14:textId="77777777" w:rsidR="001C33D6" w:rsidRPr="00732EED" w:rsidRDefault="001C33D6" w:rsidP="00F0458C">
            <w:pPr>
              <w:rPr>
                <w:sz w:val="18"/>
                <w:szCs w:val="18"/>
              </w:rPr>
            </w:pPr>
            <w:r w:rsidRPr="00732EED">
              <w:rPr>
                <w:sz w:val="18"/>
                <w:szCs w:val="18"/>
              </w:rPr>
              <w:t>40</w:t>
            </w:r>
          </w:p>
        </w:tc>
        <w:tc>
          <w:tcPr>
            <w:tcW w:w="572" w:type="pct"/>
            <w:gridSpan w:val="3"/>
          </w:tcPr>
          <w:p w14:paraId="65709557" w14:textId="25E8808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Gutke et al., 2018</w:t>
            </w:r>
          </w:p>
        </w:tc>
        <w:tc>
          <w:tcPr>
            <w:tcW w:w="436" w:type="pct"/>
          </w:tcPr>
          <w:p w14:paraId="2B1E05CB" w14:textId="63978DC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39D118C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nine women with chronic pelvic girdle pain after childbirth</w:t>
            </w:r>
          </w:p>
        </w:tc>
        <w:tc>
          <w:tcPr>
            <w:tcW w:w="328" w:type="pct"/>
            <w:gridSpan w:val="3"/>
          </w:tcPr>
          <w:p w14:paraId="25AFA66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Sweden</w:t>
            </w:r>
          </w:p>
        </w:tc>
        <w:tc>
          <w:tcPr>
            <w:tcW w:w="437" w:type="pct"/>
            <w:gridSpan w:val="2"/>
          </w:tcPr>
          <w:p w14:paraId="5E90057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Open-ended interviews and thematic synthesis </w:t>
            </w:r>
          </w:p>
        </w:tc>
        <w:tc>
          <w:tcPr>
            <w:tcW w:w="452" w:type="pct"/>
          </w:tcPr>
          <w:p w14:paraId="562EF269" w14:textId="0BCCE20F"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w:t>
            </w:r>
            <w:r w:rsidR="00F72C96" w:rsidRPr="00732EED">
              <w:rPr>
                <w:sz w:val="18"/>
                <w:szCs w:val="18"/>
              </w:rPr>
              <w:t>e</w:t>
            </w:r>
            <w:r w:rsidRPr="00732EED">
              <w:rPr>
                <w:sz w:val="18"/>
                <w:szCs w:val="18"/>
              </w:rPr>
              <w:t xml:space="preserve">mpirical </w:t>
            </w:r>
            <w:r w:rsidR="00F72C96" w:rsidRPr="00732EED">
              <w:rPr>
                <w:sz w:val="18"/>
                <w:szCs w:val="18"/>
              </w:rPr>
              <w:t>p</w:t>
            </w:r>
            <w:r w:rsidRPr="00732EED">
              <w:rPr>
                <w:sz w:val="18"/>
                <w:szCs w:val="18"/>
              </w:rPr>
              <w:t xml:space="preserve">henomenological </w:t>
            </w:r>
            <w:r w:rsidR="00F72C96" w:rsidRPr="00732EED">
              <w:rPr>
                <w:sz w:val="18"/>
                <w:szCs w:val="18"/>
              </w:rPr>
              <w:t>p</w:t>
            </w:r>
            <w:r w:rsidRPr="00732EED">
              <w:rPr>
                <w:sz w:val="18"/>
                <w:szCs w:val="18"/>
              </w:rPr>
              <w:t xml:space="preserve">sychological </w:t>
            </w:r>
            <w:r w:rsidR="00F72C96" w:rsidRPr="00732EED">
              <w:rPr>
                <w:sz w:val="18"/>
                <w:szCs w:val="18"/>
              </w:rPr>
              <w:t>m</w:t>
            </w:r>
            <w:r w:rsidRPr="00732EED">
              <w:rPr>
                <w:sz w:val="18"/>
                <w:szCs w:val="18"/>
              </w:rPr>
              <w:t>ethod</w:t>
            </w:r>
          </w:p>
        </w:tc>
        <w:tc>
          <w:tcPr>
            <w:tcW w:w="1813" w:type="pct"/>
          </w:tcPr>
          <w:p w14:paraId="62167EDC" w14:textId="77365B3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three constituent themes as central to the experience: importance of the body for identity, understanding of pain, and </w:t>
            </w:r>
            <w:r w:rsidR="00B93F1C" w:rsidRPr="00732EED">
              <w:rPr>
                <w:sz w:val="18"/>
                <w:szCs w:val="18"/>
              </w:rPr>
              <w:t>Phase</w:t>
            </w:r>
            <w:r w:rsidRPr="00732EED">
              <w:rPr>
                <w:sz w:val="18"/>
                <w:szCs w:val="18"/>
              </w:rPr>
              <w:t>s of change.</w:t>
            </w:r>
          </w:p>
        </w:tc>
      </w:tr>
      <w:tr w:rsidR="00E31AA5" w:rsidRPr="00732EED" w14:paraId="337EDD4A"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68DFE15F" w14:textId="77777777" w:rsidR="001C33D6" w:rsidRPr="00732EED" w:rsidRDefault="001C33D6" w:rsidP="00F0458C">
            <w:pPr>
              <w:rPr>
                <w:sz w:val="18"/>
                <w:szCs w:val="18"/>
              </w:rPr>
            </w:pPr>
            <w:r w:rsidRPr="00732EED">
              <w:rPr>
                <w:sz w:val="18"/>
                <w:szCs w:val="18"/>
              </w:rPr>
              <w:t>41</w:t>
            </w:r>
          </w:p>
        </w:tc>
        <w:tc>
          <w:tcPr>
            <w:tcW w:w="572" w:type="pct"/>
            <w:gridSpan w:val="3"/>
          </w:tcPr>
          <w:p w14:paraId="7C4490E5" w14:textId="4E090B4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Hearn </w:t>
            </w:r>
            <w:r w:rsidR="00F94452" w:rsidRPr="00732EED">
              <w:rPr>
                <w:sz w:val="18"/>
                <w:szCs w:val="18"/>
              </w:rPr>
              <w:t>et</w:t>
            </w:r>
            <w:r w:rsidRPr="00732EED">
              <w:rPr>
                <w:sz w:val="18"/>
                <w:szCs w:val="18"/>
              </w:rPr>
              <w:t xml:space="preserve"> </w:t>
            </w:r>
            <w:r w:rsidR="00F94452" w:rsidRPr="00732EED">
              <w:rPr>
                <w:sz w:val="18"/>
                <w:szCs w:val="18"/>
              </w:rPr>
              <w:t>al.,</w:t>
            </w:r>
            <w:r w:rsidRPr="00732EED">
              <w:rPr>
                <w:sz w:val="18"/>
                <w:szCs w:val="18"/>
              </w:rPr>
              <w:t xml:space="preserve"> 2018</w:t>
            </w:r>
          </w:p>
        </w:tc>
        <w:tc>
          <w:tcPr>
            <w:tcW w:w="436" w:type="pct"/>
          </w:tcPr>
          <w:p w14:paraId="6D7795B4" w14:textId="1540925D"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1FB7059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8 patients with history of spinal cord injury and chronic neuropathic pain </w:t>
            </w:r>
          </w:p>
        </w:tc>
        <w:tc>
          <w:tcPr>
            <w:tcW w:w="328" w:type="pct"/>
            <w:gridSpan w:val="3"/>
          </w:tcPr>
          <w:p w14:paraId="4B5F2F2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UK</w:t>
            </w:r>
          </w:p>
        </w:tc>
        <w:tc>
          <w:tcPr>
            <w:tcW w:w="437" w:type="pct"/>
            <w:gridSpan w:val="2"/>
          </w:tcPr>
          <w:p w14:paraId="1DA1B4B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Semi-structured interviews, open coding, and thematic synthesis </w:t>
            </w:r>
          </w:p>
        </w:tc>
        <w:tc>
          <w:tcPr>
            <w:tcW w:w="452" w:type="pct"/>
          </w:tcPr>
          <w:p w14:paraId="5F9E31A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52E4EDA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identified three supraordinate themes mediating pain and adherence: the dichotomy of safety perceptions, adherence despite adversity, and fighting the future. </w:t>
            </w:r>
          </w:p>
        </w:tc>
      </w:tr>
      <w:tr w:rsidR="00E31AA5" w:rsidRPr="00732EED" w14:paraId="3CF87E67"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24FC38C0" w14:textId="77777777" w:rsidR="001C33D6" w:rsidRPr="00732EED" w:rsidRDefault="001C33D6" w:rsidP="00F0458C">
            <w:pPr>
              <w:rPr>
                <w:sz w:val="18"/>
                <w:szCs w:val="18"/>
              </w:rPr>
            </w:pPr>
            <w:r w:rsidRPr="00732EED">
              <w:rPr>
                <w:sz w:val="18"/>
                <w:szCs w:val="18"/>
              </w:rPr>
              <w:t>42</w:t>
            </w:r>
          </w:p>
        </w:tc>
        <w:tc>
          <w:tcPr>
            <w:tcW w:w="572" w:type="pct"/>
            <w:gridSpan w:val="3"/>
          </w:tcPr>
          <w:p w14:paraId="7B19E18F" w14:textId="656EA8C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Lee et </w:t>
            </w:r>
            <w:r w:rsidR="00F94452" w:rsidRPr="00732EED">
              <w:rPr>
                <w:sz w:val="18"/>
                <w:szCs w:val="18"/>
              </w:rPr>
              <w:t>al.,</w:t>
            </w:r>
            <w:r w:rsidRPr="00732EED">
              <w:rPr>
                <w:sz w:val="18"/>
                <w:szCs w:val="18"/>
              </w:rPr>
              <w:t xml:space="preserve"> 2018</w:t>
            </w:r>
          </w:p>
        </w:tc>
        <w:tc>
          <w:tcPr>
            <w:tcW w:w="436" w:type="pct"/>
          </w:tcPr>
          <w:p w14:paraId="2AEF138D" w14:textId="3438B51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 (IPA)</w:t>
            </w:r>
          </w:p>
        </w:tc>
        <w:tc>
          <w:tcPr>
            <w:tcW w:w="476" w:type="pct"/>
            <w:gridSpan w:val="2"/>
          </w:tcPr>
          <w:p w14:paraId="30CDD194" w14:textId="5C98F92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8 patients diagnosed with </w:t>
            </w:r>
            <w:r w:rsidR="00AA5D05" w:rsidRPr="00732EED">
              <w:rPr>
                <w:sz w:val="18"/>
                <w:szCs w:val="18"/>
              </w:rPr>
              <w:t xml:space="preserve">chronic obstructive </w:t>
            </w:r>
            <w:r w:rsidR="00AA5D05" w:rsidRPr="00732EED">
              <w:rPr>
                <w:sz w:val="18"/>
                <w:szCs w:val="18"/>
              </w:rPr>
              <w:lastRenderedPageBreak/>
              <w:t>pulmonary disorder (</w:t>
            </w:r>
            <w:r w:rsidRPr="00732EED">
              <w:rPr>
                <w:sz w:val="18"/>
                <w:szCs w:val="18"/>
              </w:rPr>
              <w:t>COPD</w:t>
            </w:r>
            <w:r w:rsidR="00AA5D05" w:rsidRPr="00732EED">
              <w:rPr>
                <w:sz w:val="18"/>
                <w:szCs w:val="18"/>
              </w:rPr>
              <w:t>)</w:t>
            </w:r>
            <w:r w:rsidRPr="00732EED">
              <w:rPr>
                <w:sz w:val="18"/>
                <w:szCs w:val="18"/>
              </w:rPr>
              <w:t xml:space="preserve"> experiencing moderate to severe COPD pain</w:t>
            </w:r>
          </w:p>
        </w:tc>
        <w:tc>
          <w:tcPr>
            <w:tcW w:w="328" w:type="pct"/>
            <w:gridSpan w:val="3"/>
          </w:tcPr>
          <w:p w14:paraId="62EDEDE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Canada</w:t>
            </w:r>
          </w:p>
        </w:tc>
        <w:tc>
          <w:tcPr>
            <w:tcW w:w="437" w:type="pct"/>
            <w:gridSpan w:val="2"/>
          </w:tcPr>
          <w:p w14:paraId="5CCDDB7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606A394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66253894" w14:textId="614CB22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five core themes: the pain complicates the clinical profile of COPD, uncertainty of the pain experience: frustrations related to </w:t>
            </w:r>
            <w:r w:rsidRPr="00732EED">
              <w:rPr>
                <w:sz w:val="18"/>
                <w:szCs w:val="18"/>
              </w:rPr>
              <w:lastRenderedPageBreak/>
              <w:t>healthcare professionals’ explanation of the pain and need to legitimize, language and the behavior of pain, psychological reactions toward pain including depression and fear-avoidance behavior and altered identity perception and guilt.</w:t>
            </w:r>
          </w:p>
        </w:tc>
      </w:tr>
      <w:tr w:rsidR="00E31AA5" w:rsidRPr="00732EED" w14:paraId="65358B12"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2415F9D4" w14:textId="77777777" w:rsidR="001C33D6" w:rsidRPr="00732EED" w:rsidRDefault="001C33D6" w:rsidP="00F0458C">
            <w:pPr>
              <w:rPr>
                <w:sz w:val="18"/>
                <w:szCs w:val="18"/>
              </w:rPr>
            </w:pPr>
            <w:r w:rsidRPr="00732EED">
              <w:rPr>
                <w:sz w:val="18"/>
                <w:szCs w:val="18"/>
              </w:rPr>
              <w:lastRenderedPageBreak/>
              <w:t>43</w:t>
            </w:r>
          </w:p>
        </w:tc>
        <w:tc>
          <w:tcPr>
            <w:tcW w:w="572" w:type="pct"/>
            <w:gridSpan w:val="3"/>
          </w:tcPr>
          <w:p w14:paraId="6DFDF4F6" w14:textId="7E873878"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732EED">
              <w:rPr>
                <w:sz w:val="18"/>
                <w:szCs w:val="18"/>
              </w:rPr>
              <w:t>Hazaveh</w:t>
            </w:r>
            <w:proofErr w:type="spellEnd"/>
            <w:r w:rsidRPr="00732EED">
              <w:rPr>
                <w:sz w:val="18"/>
                <w:szCs w:val="18"/>
              </w:rPr>
              <w:t xml:space="preserve"> and Hovey, 2018</w:t>
            </w:r>
          </w:p>
        </w:tc>
        <w:tc>
          <w:tcPr>
            <w:tcW w:w="436" w:type="pct"/>
          </w:tcPr>
          <w:p w14:paraId="42AB7DF9" w14:textId="03D2839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Qualitative </w:t>
            </w:r>
            <w:r w:rsidR="00F72C96" w:rsidRPr="00732EED">
              <w:rPr>
                <w:sz w:val="18"/>
                <w:szCs w:val="18"/>
              </w:rPr>
              <w:t>i</w:t>
            </w:r>
            <w:r w:rsidRPr="00732EED">
              <w:rPr>
                <w:sz w:val="18"/>
                <w:szCs w:val="18"/>
              </w:rPr>
              <w:t xml:space="preserve">nterview </w:t>
            </w:r>
            <w:r w:rsidR="00F72C96" w:rsidRPr="00732EED">
              <w:rPr>
                <w:sz w:val="18"/>
                <w:szCs w:val="18"/>
              </w:rPr>
              <w:t>s</w:t>
            </w:r>
            <w:r w:rsidRPr="00732EED">
              <w:rPr>
                <w:sz w:val="18"/>
                <w:szCs w:val="18"/>
              </w:rPr>
              <w:t>tudy</w:t>
            </w:r>
          </w:p>
        </w:tc>
        <w:tc>
          <w:tcPr>
            <w:tcW w:w="476" w:type="pct"/>
            <w:gridSpan w:val="2"/>
          </w:tcPr>
          <w:p w14:paraId="480C95F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6 patients living with chronic orofacial pain who were undergoing treatment at a pain clinic</w:t>
            </w:r>
          </w:p>
        </w:tc>
        <w:tc>
          <w:tcPr>
            <w:tcW w:w="328" w:type="pct"/>
            <w:gridSpan w:val="3"/>
          </w:tcPr>
          <w:p w14:paraId="25E317A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Montreal</w:t>
            </w:r>
          </w:p>
        </w:tc>
        <w:tc>
          <w:tcPr>
            <w:tcW w:w="437" w:type="pct"/>
            <w:gridSpan w:val="2"/>
          </w:tcPr>
          <w:p w14:paraId="140E339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Open interviews with qualitative analysis</w:t>
            </w:r>
          </w:p>
        </w:tc>
        <w:tc>
          <w:tcPr>
            <w:tcW w:w="452" w:type="pct"/>
          </w:tcPr>
          <w:p w14:paraId="7FDEC36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Descriptive phenomenological analysis as defined by van Manen and Laverty (2003)</w:t>
            </w:r>
          </w:p>
        </w:tc>
        <w:tc>
          <w:tcPr>
            <w:tcW w:w="1813" w:type="pct"/>
          </w:tcPr>
          <w:p w14:paraId="1FFA6D08" w14:textId="5D33BFA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consistency in the experiences of these patients</w:t>
            </w:r>
            <w:r w:rsidR="003E6EE4" w:rsidRPr="00732EED">
              <w:rPr>
                <w:sz w:val="18"/>
                <w:szCs w:val="18"/>
              </w:rPr>
              <w:t>,</w:t>
            </w:r>
            <w:r w:rsidRPr="00732EED">
              <w:rPr>
                <w:sz w:val="18"/>
                <w:szCs w:val="18"/>
              </w:rPr>
              <w:t xml:space="preserve"> including dissatisfaction with their journey through the healthcare system and loss of self-identity, ability to enjoy eating or engaging in social activities due to their chronic pain. </w:t>
            </w:r>
          </w:p>
        </w:tc>
      </w:tr>
      <w:tr w:rsidR="00E31AA5" w:rsidRPr="00732EED" w14:paraId="3E451D31"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52251019" w14:textId="77777777" w:rsidR="001C33D6" w:rsidRPr="00732EED" w:rsidRDefault="001C33D6" w:rsidP="00F0458C">
            <w:pPr>
              <w:rPr>
                <w:sz w:val="18"/>
                <w:szCs w:val="18"/>
              </w:rPr>
            </w:pPr>
            <w:r w:rsidRPr="00732EED">
              <w:rPr>
                <w:sz w:val="18"/>
                <w:szCs w:val="18"/>
              </w:rPr>
              <w:t>44</w:t>
            </w:r>
          </w:p>
        </w:tc>
        <w:tc>
          <w:tcPr>
            <w:tcW w:w="572" w:type="pct"/>
            <w:gridSpan w:val="3"/>
          </w:tcPr>
          <w:p w14:paraId="34042826" w14:textId="3E0FFDC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McGeechan et al.,</w:t>
            </w:r>
            <w:r w:rsidR="00A96D33" w:rsidRPr="00732EED">
              <w:rPr>
                <w:sz w:val="18"/>
                <w:szCs w:val="18"/>
              </w:rPr>
              <w:t xml:space="preserve"> </w:t>
            </w:r>
            <w:r w:rsidRPr="00732EED">
              <w:rPr>
                <w:sz w:val="18"/>
                <w:szCs w:val="18"/>
              </w:rPr>
              <w:t>2018</w:t>
            </w:r>
          </w:p>
        </w:tc>
        <w:tc>
          <w:tcPr>
            <w:tcW w:w="436" w:type="pct"/>
          </w:tcPr>
          <w:p w14:paraId="1E84F945" w14:textId="3239391D"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F72C96" w:rsidRPr="00732EED">
              <w:rPr>
                <w:sz w:val="18"/>
                <w:szCs w:val="18"/>
              </w:rPr>
              <w:t>p</w:t>
            </w:r>
            <w:r w:rsidRPr="00732EED">
              <w:rPr>
                <w:sz w:val="18"/>
                <w:szCs w:val="18"/>
              </w:rPr>
              <w:t xml:space="preserve">henomenological </w:t>
            </w:r>
            <w:r w:rsidR="00F72C96" w:rsidRPr="00732EED">
              <w:rPr>
                <w:sz w:val="18"/>
                <w:szCs w:val="18"/>
              </w:rPr>
              <w:t>a</w:t>
            </w:r>
            <w:r w:rsidRPr="00732EED">
              <w:rPr>
                <w:sz w:val="18"/>
                <w:szCs w:val="18"/>
              </w:rPr>
              <w:t>nalysis</w:t>
            </w:r>
          </w:p>
        </w:tc>
        <w:tc>
          <w:tcPr>
            <w:tcW w:w="476" w:type="pct"/>
            <w:gridSpan w:val="2"/>
          </w:tcPr>
          <w:p w14:paraId="6E5BA02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6 participants attending oncology follow-up for colonic cancer</w:t>
            </w:r>
          </w:p>
        </w:tc>
        <w:tc>
          <w:tcPr>
            <w:tcW w:w="328" w:type="pct"/>
            <w:gridSpan w:val="3"/>
          </w:tcPr>
          <w:p w14:paraId="4C1B30E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England</w:t>
            </w:r>
          </w:p>
        </w:tc>
        <w:tc>
          <w:tcPr>
            <w:tcW w:w="437" w:type="pct"/>
            <w:gridSpan w:val="2"/>
          </w:tcPr>
          <w:p w14:paraId="4A303E8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37DB7964" w14:textId="5850D2F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a</w:t>
            </w:r>
            <w:r w:rsidRPr="00732EED">
              <w:rPr>
                <w:sz w:val="18"/>
                <w:szCs w:val="18"/>
              </w:rPr>
              <w:t>nalysis</w:t>
            </w:r>
          </w:p>
        </w:tc>
        <w:tc>
          <w:tcPr>
            <w:tcW w:w="1813" w:type="pct"/>
          </w:tcPr>
          <w:p w14:paraId="79CCBB94" w14:textId="72612FD6"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two superordinate themes</w:t>
            </w:r>
            <w:r w:rsidR="00F53FE8" w:rsidRPr="00732EED">
              <w:rPr>
                <w:sz w:val="18"/>
                <w:szCs w:val="18"/>
              </w:rPr>
              <w:t>,</w:t>
            </w:r>
            <w:r w:rsidRPr="00732EED">
              <w:rPr>
                <w:sz w:val="18"/>
                <w:szCs w:val="18"/>
              </w:rPr>
              <w:t xml:space="preserve"> including physical and psychological consequences of cancer and adapting to life after treatment. </w:t>
            </w:r>
          </w:p>
        </w:tc>
      </w:tr>
      <w:tr w:rsidR="00E31AA5" w:rsidRPr="00732EED" w14:paraId="34A205AB"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7C7DC786" w14:textId="77777777" w:rsidR="001C33D6" w:rsidRPr="00732EED" w:rsidRDefault="001C33D6" w:rsidP="00F0458C">
            <w:pPr>
              <w:rPr>
                <w:sz w:val="18"/>
                <w:szCs w:val="18"/>
              </w:rPr>
            </w:pPr>
            <w:r w:rsidRPr="00732EED">
              <w:rPr>
                <w:sz w:val="18"/>
                <w:szCs w:val="18"/>
              </w:rPr>
              <w:t>45</w:t>
            </w:r>
          </w:p>
        </w:tc>
        <w:tc>
          <w:tcPr>
            <w:tcW w:w="572" w:type="pct"/>
            <w:gridSpan w:val="3"/>
          </w:tcPr>
          <w:p w14:paraId="005C610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732EED">
              <w:rPr>
                <w:sz w:val="18"/>
                <w:szCs w:val="18"/>
              </w:rPr>
              <w:t>Mengshoel</w:t>
            </w:r>
            <w:proofErr w:type="spellEnd"/>
            <w:r w:rsidRPr="00732EED">
              <w:rPr>
                <w:sz w:val="18"/>
                <w:szCs w:val="18"/>
              </w:rPr>
              <w:t xml:space="preserve"> et al., 2018</w:t>
            </w:r>
          </w:p>
        </w:tc>
        <w:tc>
          <w:tcPr>
            <w:tcW w:w="436" w:type="pct"/>
          </w:tcPr>
          <w:p w14:paraId="730250F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Meta-ethnography</w:t>
            </w:r>
          </w:p>
        </w:tc>
        <w:tc>
          <w:tcPr>
            <w:tcW w:w="476" w:type="pct"/>
            <w:gridSpan w:val="2"/>
          </w:tcPr>
          <w:p w14:paraId="1FBFAA51" w14:textId="3DFB94FD"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Patient’s experiences with the process and consequences of</w:t>
            </w:r>
            <w:r w:rsidR="00F72C96" w:rsidRPr="00732EED">
              <w:rPr>
                <w:sz w:val="18"/>
                <w:szCs w:val="18"/>
              </w:rPr>
              <w:t xml:space="preserve"> </w:t>
            </w:r>
            <w:r w:rsidRPr="00732EED">
              <w:rPr>
                <w:sz w:val="18"/>
                <w:szCs w:val="18"/>
              </w:rPr>
              <w:t>receiving the diagnosis of Fibromyalgia</w:t>
            </w:r>
          </w:p>
        </w:tc>
        <w:tc>
          <w:tcPr>
            <w:tcW w:w="328" w:type="pct"/>
            <w:gridSpan w:val="3"/>
          </w:tcPr>
          <w:p w14:paraId="16F5B69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Global (various countries and cultural settings)</w:t>
            </w:r>
          </w:p>
        </w:tc>
        <w:tc>
          <w:tcPr>
            <w:tcW w:w="437" w:type="pct"/>
            <w:gridSpan w:val="2"/>
          </w:tcPr>
          <w:p w14:paraId="5AD0F1F2" w14:textId="778F8952"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Synthesis of 27 studies using criteria to appraise the quality of primary studies by the Joanna Briggs Institute instrument (JBI-QUARI).</w:t>
            </w:r>
          </w:p>
        </w:tc>
        <w:tc>
          <w:tcPr>
            <w:tcW w:w="452" w:type="pct"/>
          </w:tcPr>
          <w:p w14:paraId="7B7C0FB3" w14:textId="768E567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Meta-ethnography based on Noblit </w:t>
            </w:r>
            <w:r w:rsidR="00F72C96" w:rsidRPr="00732EED">
              <w:rPr>
                <w:sz w:val="18"/>
                <w:szCs w:val="18"/>
              </w:rPr>
              <w:t xml:space="preserve">and </w:t>
            </w:r>
            <w:r w:rsidRPr="00732EED">
              <w:rPr>
                <w:sz w:val="18"/>
                <w:szCs w:val="18"/>
              </w:rPr>
              <w:t>Hare</w:t>
            </w:r>
          </w:p>
        </w:tc>
        <w:tc>
          <w:tcPr>
            <w:tcW w:w="1813" w:type="pct"/>
          </w:tcPr>
          <w:p w14:paraId="30F1504A" w14:textId="6D1D6F1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Two broad concepts relating to the role of the </w:t>
            </w:r>
            <w:r w:rsidR="00AA5D05" w:rsidRPr="00732EED">
              <w:rPr>
                <w:sz w:val="18"/>
                <w:szCs w:val="18"/>
              </w:rPr>
              <w:t>f</w:t>
            </w:r>
            <w:r w:rsidRPr="00732EED">
              <w:rPr>
                <w:sz w:val="18"/>
                <w:szCs w:val="18"/>
              </w:rPr>
              <w:t>ibromyalgia diagnosis in</w:t>
            </w:r>
            <w:r w:rsidR="00F72C96" w:rsidRPr="00732EED">
              <w:rPr>
                <w:sz w:val="18"/>
                <w:szCs w:val="18"/>
              </w:rPr>
              <w:t xml:space="preserve"> </w:t>
            </w:r>
            <w:r w:rsidRPr="00732EED">
              <w:rPr>
                <w:sz w:val="18"/>
                <w:szCs w:val="18"/>
              </w:rPr>
              <w:t>(1) validating and making sense of bodily experiences and its (2) role in legitimating sickness personally and socially</w:t>
            </w:r>
            <w:r w:rsidR="00AA5D05" w:rsidRPr="00732EED">
              <w:rPr>
                <w:sz w:val="18"/>
                <w:szCs w:val="18"/>
              </w:rPr>
              <w:t xml:space="preserve"> were developed.</w:t>
            </w:r>
          </w:p>
        </w:tc>
      </w:tr>
      <w:tr w:rsidR="00E31AA5" w:rsidRPr="00732EED" w14:paraId="5E670367"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46C04258" w14:textId="77777777" w:rsidR="001C33D6" w:rsidRPr="00732EED" w:rsidRDefault="001C33D6" w:rsidP="00F0458C">
            <w:pPr>
              <w:rPr>
                <w:sz w:val="18"/>
                <w:szCs w:val="18"/>
              </w:rPr>
            </w:pPr>
            <w:r w:rsidRPr="00732EED">
              <w:rPr>
                <w:sz w:val="18"/>
                <w:szCs w:val="18"/>
              </w:rPr>
              <w:t>46</w:t>
            </w:r>
          </w:p>
        </w:tc>
        <w:tc>
          <w:tcPr>
            <w:tcW w:w="572" w:type="pct"/>
            <w:gridSpan w:val="3"/>
          </w:tcPr>
          <w:p w14:paraId="0C0F7499" w14:textId="72906C56"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Stensland </w:t>
            </w:r>
            <w:r w:rsidR="00F72C96" w:rsidRPr="00732EED">
              <w:rPr>
                <w:sz w:val="18"/>
                <w:szCs w:val="18"/>
              </w:rPr>
              <w:t>and</w:t>
            </w:r>
            <w:r w:rsidRPr="00732EED">
              <w:rPr>
                <w:sz w:val="18"/>
                <w:szCs w:val="18"/>
              </w:rPr>
              <w:t xml:space="preserve"> Sanders, 2018</w:t>
            </w:r>
          </w:p>
        </w:tc>
        <w:tc>
          <w:tcPr>
            <w:tcW w:w="436" w:type="pct"/>
          </w:tcPr>
          <w:p w14:paraId="47F8DB16" w14:textId="29990E4A"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30F9BC1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21 clinic patients with chronic low back pain</w:t>
            </w:r>
          </w:p>
        </w:tc>
        <w:tc>
          <w:tcPr>
            <w:tcW w:w="328" w:type="pct"/>
            <w:gridSpan w:val="3"/>
          </w:tcPr>
          <w:p w14:paraId="77B1F481"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US</w:t>
            </w:r>
          </w:p>
        </w:tc>
        <w:tc>
          <w:tcPr>
            <w:tcW w:w="437" w:type="pct"/>
            <w:gridSpan w:val="2"/>
          </w:tcPr>
          <w:p w14:paraId="00FDE88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line-by-line thematic coding</w:t>
            </w:r>
          </w:p>
        </w:tc>
        <w:tc>
          <w:tcPr>
            <w:tcW w:w="452" w:type="pct"/>
          </w:tcPr>
          <w:p w14:paraId="27CD8F9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1409FE21" w14:textId="744D810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sub-study focused on one main theme of “it changed my whole life</w:t>
            </w:r>
            <w:r w:rsidR="00AA5D05" w:rsidRPr="00732EED">
              <w:rPr>
                <w:sz w:val="18"/>
                <w:szCs w:val="18"/>
              </w:rPr>
              <w:t>,</w:t>
            </w:r>
            <w:r w:rsidRPr="00732EED">
              <w:rPr>
                <w:sz w:val="18"/>
                <w:szCs w:val="18"/>
              </w:rPr>
              <w:t>” with subthemes</w:t>
            </w:r>
            <w:r w:rsidR="00F53FE8" w:rsidRPr="00732EED">
              <w:rPr>
                <w:sz w:val="18"/>
                <w:szCs w:val="18"/>
              </w:rPr>
              <w:t>,</w:t>
            </w:r>
            <w:r w:rsidRPr="00732EED">
              <w:rPr>
                <w:sz w:val="18"/>
                <w:szCs w:val="18"/>
              </w:rPr>
              <w:t xml:space="preserve"> including pain damages the sense of self, trapped in a body that does</w:t>
            </w:r>
            <w:r w:rsidR="00AA5D05" w:rsidRPr="00732EED">
              <w:rPr>
                <w:sz w:val="18"/>
                <w:szCs w:val="18"/>
              </w:rPr>
              <w:t xml:space="preserve"> </w:t>
            </w:r>
            <w:r w:rsidRPr="00732EED">
              <w:rPr>
                <w:sz w:val="18"/>
                <w:szCs w:val="18"/>
              </w:rPr>
              <w:t>n</w:t>
            </w:r>
            <w:r w:rsidR="00AA5D05" w:rsidRPr="00732EED">
              <w:rPr>
                <w:sz w:val="18"/>
                <w:szCs w:val="18"/>
              </w:rPr>
              <w:t>o</w:t>
            </w:r>
            <w:r w:rsidRPr="00732EED">
              <w:rPr>
                <w:sz w:val="18"/>
                <w:szCs w:val="18"/>
              </w:rPr>
              <w:t>t work anymore; me, my partner, and my pain; pain complicates family relationships, painfully employed, and socially and recreationally repressed.</w:t>
            </w:r>
          </w:p>
        </w:tc>
      </w:tr>
      <w:tr w:rsidR="00E31AA5" w:rsidRPr="00732EED" w14:paraId="3721217E"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30FA6C95" w14:textId="77777777" w:rsidR="001C33D6" w:rsidRPr="00732EED" w:rsidRDefault="001C33D6" w:rsidP="00F0458C">
            <w:pPr>
              <w:rPr>
                <w:sz w:val="18"/>
                <w:szCs w:val="18"/>
              </w:rPr>
            </w:pPr>
            <w:r w:rsidRPr="00732EED">
              <w:rPr>
                <w:sz w:val="18"/>
                <w:szCs w:val="18"/>
              </w:rPr>
              <w:t>47</w:t>
            </w:r>
          </w:p>
        </w:tc>
        <w:tc>
          <w:tcPr>
            <w:tcW w:w="572" w:type="pct"/>
            <w:gridSpan w:val="3"/>
          </w:tcPr>
          <w:p w14:paraId="12247057" w14:textId="6FC5E7D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Stensland </w:t>
            </w:r>
            <w:r w:rsidR="00F72C96" w:rsidRPr="00732EED">
              <w:rPr>
                <w:sz w:val="18"/>
                <w:szCs w:val="18"/>
              </w:rPr>
              <w:t>and</w:t>
            </w:r>
            <w:r w:rsidRPr="00732EED">
              <w:rPr>
                <w:sz w:val="18"/>
                <w:szCs w:val="18"/>
              </w:rPr>
              <w:t xml:space="preserve"> Sanders, 2018</w:t>
            </w:r>
          </w:p>
        </w:tc>
        <w:tc>
          <w:tcPr>
            <w:tcW w:w="436" w:type="pct"/>
          </w:tcPr>
          <w:p w14:paraId="1AF675C7" w14:textId="165C6E2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7C11014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21 patients with chronic lower back pain</w:t>
            </w:r>
          </w:p>
        </w:tc>
        <w:tc>
          <w:tcPr>
            <w:tcW w:w="328" w:type="pct"/>
            <w:gridSpan w:val="3"/>
          </w:tcPr>
          <w:p w14:paraId="336BAEA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US</w:t>
            </w:r>
          </w:p>
        </w:tc>
        <w:tc>
          <w:tcPr>
            <w:tcW w:w="437" w:type="pct"/>
            <w:gridSpan w:val="2"/>
          </w:tcPr>
          <w:p w14:paraId="45191C9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6F6B468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017D187D" w14:textId="5B8C85A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sub-study focused on the theme of living a life full of pain, with subthemes of corporeality, temporality, relationality, and spatiality</w:t>
            </w:r>
            <w:r w:rsidR="00AA5D05" w:rsidRPr="00732EED">
              <w:rPr>
                <w:sz w:val="18"/>
                <w:szCs w:val="18"/>
              </w:rPr>
              <w:t>.</w:t>
            </w:r>
          </w:p>
        </w:tc>
      </w:tr>
      <w:tr w:rsidR="00E31AA5" w:rsidRPr="00732EED" w14:paraId="4C82A42C"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0D0EAD74" w14:textId="77777777" w:rsidR="001C33D6" w:rsidRPr="00732EED" w:rsidRDefault="001C33D6" w:rsidP="00F0458C">
            <w:pPr>
              <w:rPr>
                <w:sz w:val="18"/>
                <w:szCs w:val="18"/>
              </w:rPr>
            </w:pPr>
            <w:r w:rsidRPr="00732EED">
              <w:rPr>
                <w:sz w:val="18"/>
                <w:szCs w:val="18"/>
              </w:rPr>
              <w:t>48</w:t>
            </w:r>
          </w:p>
        </w:tc>
        <w:tc>
          <w:tcPr>
            <w:tcW w:w="572" w:type="pct"/>
            <w:gridSpan w:val="3"/>
          </w:tcPr>
          <w:p w14:paraId="0720EF72" w14:textId="72FAFE5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Stensland </w:t>
            </w:r>
            <w:r w:rsidR="00F72C96" w:rsidRPr="00732EED">
              <w:rPr>
                <w:sz w:val="18"/>
                <w:szCs w:val="18"/>
              </w:rPr>
              <w:t>and</w:t>
            </w:r>
            <w:r w:rsidRPr="00732EED">
              <w:rPr>
                <w:sz w:val="18"/>
                <w:szCs w:val="18"/>
              </w:rPr>
              <w:t xml:space="preserve"> Sanders, 2018</w:t>
            </w:r>
          </w:p>
        </w:tc>
        <w:tc>
          <w:tcPr>
            <w:tcW w:w="436" w:type="pct"/>
          </w:tcPr>
          <w:p w14:paraId="158E93A7" w14:textId="21FB916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F72C96" w:rsidRPr="00732EED">
              <w:rPr>
                <w:sz w:val="18"/>
                <w:szCs w:val="18"/>
              </w:rPr>
              <w:t>s</w:t>
            </w:r>
            <w:r w:rsidRPr="00732EED">
              <w:rPr>
                <w:sz w:val="18"/>
                <w:szCs w:val="18"/>
              </w:rPr>
              <w:t>tudy</w:t>
            </w:r>
          </w:p>
        </w:tc>
        <w:tc>
          <w:tcPr>
            <w:tcW w:w="476" w:type="pct"/>
            <w:gridSpan w:val="2"/>
          </w:tcPr>
          <w:p w14:paraId="19C319B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21 patients with chronic lower back pain</w:t>
            </w:r>
          </w:p>
        </w:tc>
        <w:tc>
          <w:tcPr>
            <w:tcW w:w="328" w:type="pct"/>
            <w:gridSpan w:val="3"/>
          </w:tcPr>
          <w:p w14:paraId="6CBEC6E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US</w:t>
            </w:r>
          </w:p>
        </w:tc>
        <w:tc>
          <w:tcPr>
            <w:tcW w:w="437" w:type="pct"/>
            <w:gridSpan w:val="2"/>
          </w:tcPr>
          <w:p w14:paraId="6DE1F0B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0FDDC56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49EAB731" w14:textId="64016F5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sub-study focused on the theme “not so golden after all</w:t>
            </w:r>
            <w:r w:rsidR="00AA5D05" w:rsidRPr="00732EED">
              <w:rPr>
                <w:sz w:val="18"/>
                <w:szCs w:val="18"/>
              </w:rPr>
              <w:t>,</w:t>
            </w:r>
            <w:r w:rsidRPr="00732EED">
              <w:rPr>
                <w:sz w:val="18"/>
                <w:szCs w:val="18"/>
              </w:rPr>
              <w:t xml:space="preserve">” relating patient’s pain and their experience with aging, including subthemes such as falling apart, pain stigmatizes aging, hurting slowly but aging quickly, pain </w:t>
            </w:r>
            <w:r w:rsidRPr="00732EED">
              <w:rPr>
                <w:sz w:val="18"/>
                <w:szCs w:val="18"/>
              </w:rPr>
              <w:lastRenderedPageBreak/>
              <w:t>threatens independence, and the reality of unrealized futures.</w:t>
            </w:r>
          </w:p>
        </w:tc>
      </w:tr>
      <w:tr w:rsidR="00E31AA5" w:rsidRPr="00732EED" w14:paraId="489E024C"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4AE10FDD" w14:textId="77777777" w:rsidR="001C33D6" w:rsidRPr="00732EED" w:rsidRDefault="001C33D6" w:rsidP="00F0458C">
            <w:pPr>
              <w:rPr>
                <w:sz w:val="18"/>
                <w:szCs w:val="18"/>
              </w:rPr>
            </w:pPr>
            <w:r w:rsidRPr="00732EED">
              <w:rPr>
                <w:sz w:val="18"/>
                <w:szCs w:val="18"/>
              </w:rPr>
              <w:lastRenderedPageBreak/>
              <w:t>49</w:t>
            </w:r>
          </w:p>
        </w:tc>
        <w:tc>
          <w:tcPr>
            <w:tcW w:w="572" w:type="pct"/>
            <w:gridSpan w:val="3"/>
          </w:tcPr>
          <w:p w14:paraId="721753E3" w14:textId="4B0672A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Bath et al.,</w:t>
            </w:r>
            <w:r w:rsidR="00A96D33" w:rsidRPr="00732EED">
              <w:rPr>
                <w:sz w:val="18"/>
                <w:szCs w:val="18"/>
              </w:rPr>
              <w:t xml:space="preserve"> </w:t>
            </w:r>
            <w:r w:rsidRPr="00732EED">
              <w:rPr>
                <w:sz w:val="18"/>
                <w:szCs w:val="18"/>
              </w:rPr>
              <w:t>2019</w:t>
            </w:r>
          </w:p>
        </w:tc>
        <w:tc>
          <w:tcPr>
            <w:tcW w:w="436" w:type="pct"/>
          </w:tcPr>
          <w:p w14:paraId="03FA2BE5" w14:textId="5168BCF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76" w:type="pct"/>
            <w:gridSpan w:val="2"/>
          </w:tcPr>
          <w:p w14:paraId="2F72B08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12 farmers living with chronic low back pain</w:t>
            </w:r>
          </w:p>
        </w:tc>
        <w:tc>
          <w:tcPr>
            <w:tcW w:w="328" w:type="pct"/>
            <w:gridSpan w:val="3"/>
          </w:tcPr>
          <w:p w14:paraId="5DEC128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Canada</w:t>
            </w:r>
          </w:p>
        </w:tc>
        <w:tc>
          <w:tcPr>
            <w:tcW w:w="437" w:type="pct"/>
            <w:gridSpan w:val="2"/>
          </w:tcPr>
          <w:p w14:paraId="4490725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thematic synthesis</w:t>
            </w:r>
          </w:p>
        </w:tc>
        <w:tc>
          <w:tcPr>
            <w:tcW w:w="452" w:type="pct"/>
          </w:tcPr>
          <w:p w14:paraId="747EE8D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43B66DC5" w14:textId="5C5AD99B"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identified two </w:t>
            </w:r>
            <w:r w:rsidR="00EC68D9" w:rsidRPr="00732EED">
              <w:rPr>
                <w:sz w:val="18"/>
                <w:szCs w:val="18"/>
              </w:rPr>
              <w:t xml:space="preserve">related </w:t>
            </w:r>
            <w:r w:rsidRPr="00732EED">
              <w:rPr>
                <w:sz w:val="18"/>
                <w:szCs w:val="18"/>
              </w:rPr>
              <w:t>overarching themes: seasonality and isolation with subthemes including pushing through, doing less, barriers to healthcare, and self-management.</w:t>
            </w:r>
          </w:p>
        </w:tc>
      </w:tr>
      <w:tr w:rsidR="00E31AA5" w:rsidRPr="00732EED" w14:paraId="56782687" w14:textId="77777777" w:rsidTr="00535921">
        <w:tc>
          <w:tcPr>
            <w:cnfStyle w:val="001000000000" w:firstRow="0" w:lastRow="0" w:firstColumn="1" w:lastColumn="0" w:oddVBand="0" w:evenVBand="0" w:oddHBand="0" w:evenHBand="0" w:firstRowFirstColumn="0" w:firstRowLastColumn="0" w:lastRowFirstColumn="0" w:lastRowLastColumn="0"/>
            <w:tcW w:w="487" w:type="pct"/>
          </w:tcPr>
          <w:p w14:paraId="70CAEE61" w14:textId="77777777" w:rsidR="001C33D6" w:rsidRPr="00732EED" w:rsidRDefault="001C33D6" w:rsidP="00F0458C">
            <w:pPr>
              <w:rPr>
                <w:sz w:val="18"/>
                <w:szCs w:val="18"/>
              </w:rPr>
            </w:pPr>
            <w:r w:rsidRPr="00732EED">
              <w:rPr>
                <w:sz w:val="18"/>
                <w:szCs w:val="18"/>
              </w:rPr>
              <w:t>50</w:t>
            </w:r>
          </w:p>
        </w:tc>
        <w:tc>
          <w:tcPr>
            <w:tcW w:w="572" w:type="pct"/>
            <w:gridSpan w:val="3"/>
          </w:tcPr>
          <w:p w14:paraId="3427F819" w14:textId="245AEBD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Cheng et </w:t>
            </w:r>
            <w:r w:rsidR="00F94452" w:rsidRPr="00732EED">
              <w:rPr>
                <w:sz w:val="18"/>
                <w:szCs w:val="18"/>
              </w:rPr>
              <w:t>al.,</w:t>
            </w:r>
            <w:r w:rsidRPr="00732EED">
              <w:rPr>
                <w:sz w:val="18"/>
                <w:szCs w:val="18"/>
              </w:rPr>
              <w:t xml:space="preserve"> 2019</w:t>
            </w:r>
          </w:p>
        </w:tc>
        <w:tc>
          <w:tcPr>
            <w:tcW w:w="436" w:type="pct"/>
          </w:tcPr>
          <w:p w14:paraId="7C65B07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Meta-ethnography </w:t>
            </w:r>
          </w:p>
        </w:tc>
        <w:tc>
          <w:tcPr>
            <w:tcW w:w="476" w:type="pct"/>
            <w:gridSpan w:val="2"/>
          </w:tcPr>
          <w:p w14:paraId="1BB836D4" w14:textId="3A26433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Patients</w:t>
            </w:r>
            <w:r w:rsidR="00EC68D9" w:rsidRPr="00732EED">
              <w:rPr>
                <w:sz w:val="18"/>
                <w:szCs w:val="18"/>
              </w:rPr>
              <w:t>’</w:t>
            </w:r>
            <w:r w:rsidRPr="00732EED">
              <w:rPr>
                <w:sz w:val="18"/>
                <w:szCs w:val="18"/>
              </w:rPr>
              <w:t xml:space="preserve"> experiences with multiple chronic conditions</w:t>
            </w:r>
          </w:p>
        </w:tc>
        <w:tc>
          <w:tcPr>
            <w:tcW w:w="328" w:type="pct"/>
            <w:gridSpan w:val="3"/>
          </w:tcPr>
          <w:p w14:paraId="051C2EF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Studies from multiple countries and various cultural settings</w:t>
            </w:r>
          </w:p>
        </w:tc>
        <w:tc>
          <w:tcPr>
            <w:tcW w:w="437" w:type="pct"/>
            <w:gridSpan w:val="2"/>
          </w:tcPr>
          <w:p w14:paraId="2F707E0D" w14:textId="68ECAB7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 seven-step analytic</w:t>
            </w:r>
            <w:r w:rsidR="00F53FE8" w:rsidRPr="00732EED">
              <w:rPr>
                <w:sz w:val="18"/>
                <w:szCs w:val="18"/>
              </w:rPr>
              <w:t>al</w:t>
            </w:r>
            <w:r w:rsidRPr="00732EED">
              <w:rPr>
                <w:sz w:val="18"/>
                <w:szCs w:val="18"/>
              </w:rPr>
              <w:t xml:space="preserve"> method was used after a</w:t>
            </w:r>
            <w:r w:rsidR="00AF0FF8" w:rsidRPr="00732EED">
              <w:rPr>
                <w:sz w:val="18"/>
                <w:szCs w:val="18"/>
              </w:rPr>
              <w:t xml:space="preserve"> </w:t>
            </w:r>
            <w:r w:rsidRPr="00732EED">
              <w:rPr>
                <w:sz w:val="18"/>
                <w:szCs w:val="18"/>
              </w:rPr>
              <w:t>quality evaluation based on Joanna Briggs Institute Qualitative Assessment and Review</w:t>
            </w:r>
          </w:p>
          <w:p w14:paraId="09A08E5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Instrument (JBI-QUARI).</w:t>
            </w:r>
          </w:p>
          <w:p w14:paraId="6F82773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
        </w:tc>
        <w:tc>
          <w:tcPr>
            <w:tcW w:w="452" w:type="pct"/>
          </w:tcPr>
          <w:p w14:paraId="3E37A98B" w14:textId="7A55B516"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Meta-ethnography based on Noblit </w:t>
            </w:r>
            <w:r w:rsidR="00F72C96" w:rsidRPr="00732EED">
              <w:rPr>
                <w:sz w:val="18"/>
                <w:szCs w:val="18"/>
              </w:rPr>
              <w:t>and</w:t>
            </w:r>
            <w:r w:rsidR="00AF0FF8" w:rsidRPr="00732EED">
              <w:rPr>
                <w:sz w:val="18"/>
                <w:szCs w:val="18"/>
              </w:rPr>
              <w:t xml:space="preserve"> </w:t>
            </w:r>
            <w:r w:rsidRPr="00732EED">
              <w:rPr>
                <w:sz w:val="18"/>
                <w:szCs w:val="18"/>
              </w:rPr>
              <w:t>Hare</w:t>
            </w:r>
          </w:p>
        </w:tc>
        <w:tc>
          <w:tcPr>
            <w:tcW w:w="1813" w:type="pct"/>
          </w:tcPr>
          <w:p w14:paraId="27D5F72C" w14:textId="39E66C5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coping with multiple chronic conditions were (1) appraisals, (2) strategies to maintain a normal life, (3) strategies to</w:t>
            </w:r>
            <w:r w:rsidR="00F72C96" w:rsidRPr="00732EED">
              <w:rPr>
                <w:sz w:val="18"/>
                <w:szCs w:val="18"/>
              </w:rPr>
              <w:t xml:space="preserve"> </w:t>
            </w:r>
            <w:r w:rsidRPr="00732EED">
              <w:rPr>
                <w:sz w:val="18"/>
                <w:szCs w:val="18"/>
              </w:rPr>
              <w:t>keep the spirits up, and (4) coping in the social context.</w:t>
            </w:r>
          </w:p>
        </w:tc>
      </w:tr>
      <w:tr w:rsidR="00E31AA5" w:rsidRPr="00732EED" w14:paraId="7F351210"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5A6AF730" w14:textId="77777777" w:rsidR="001C33D6" w:rsidRPr="00732EED" w:rsidRDefault="001C33D6" w:rsidP="00F0458C">
            <w:pPr>
              <w:rPr>
                <w:sz w:val="18"/>
                <w:szCs w:val="18"/>
              </w:rPr>
            </w:pPr>
            <w:r w:rsidRPr="00732EED">
              <w:rPr>
                <w:sz w:val="18"/>
                <w:szCs w:val="18"/>
              </w:rPr>
              <w:t>51</w:t>
            </w:r>
          </w:p>
        </w:tc>
        <w:tc>
          <w:tcPr>
            <w:tcW w:w="572" w:type="pct"/>
            <w:gridSpan w:val="3"/>
          </w:tcPr>
          <w:p w14:paraId="2A69A2B1" w14:textId="57D6A81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Hughes et al., 2019</w:t>
            </w:r>
          </w:p>
        </w:tc>
        <w:tc>
          <w:tcPr>
            <w:tcW w:w="436" w:type="pct"/>
          </w:tcPr>
          <w:p w14:paraId="319320F7" w14:textId="1BD87B8F"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Interpretative </w:t>
            </w:r>
            <w:r w:rsidR="00AF0FF8" w:rsidRPr="00732EED">
              <w:rPr>
                <w:sz w:val="18"/>
                <w:szCs w:val="18"/>
              </w:rPr>
              <w:t>p</w:t>
            </w:r>
            <w:r w:rsidRPr="00732EED">
              <w:rPr>
                <w:sz w:val="18"/>
                <w:szCs w:val="18"/>
              </w:rPr>
              <w:t xml:space="preserve">henomenological </w:t>
            </w:r>
            <w:r w:rsidR="00AF0FF8" w:rsidRPr="00732EED">
              <w:rPr>
                <w:sz w:val="18"/>
                <w:szCs w:val="18"/>
              </w:rPr>
              <w:t>a</w:t>
            </w:r>
            <w:r w:rsidRPr="00732EED">
              <w:rPr>
                <w:sz w:val="18"/>
                <w:szCs w:val="18"/>
              </w:rPr>
              <w:t>nalysis (IPA)</w:t>
            </w:r>
          </w:p>
        </w:tc>
        <w:tc>
          <w:tcPr>
            <w:tcW w:w="476" w:type="pct"/>
            <w:gridSpan w:val="2"/>
          </w:tcPr>
          <w:p w14:paraId="7464743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experiences of wheelchair-using individuals with paraplegia and chronic pain relating to quality of life</w:t>
            </w:r>
          </w:p>
        </w:tc>
        <w:tc>
          <w:tcPr>
            <w:tcW w:w="328" w:type="pct"/>
            <w:gridSpan w:val="3"/>
          </w:tcPr>
          <w:p w14:paraId="4CCACBE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UK</w:t>
            </w:r>
          </w:p>
        </w:tc>
        <w:tc>
          <w:tcPr>
            <w:tcW w:w="437" w:type="pct"/>
            <w:gridSpan w:val="2"/>
          </w:tcPr>
          <w:p w14:paraId="1AFC3A4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Participants photographed things that they thought described their daily QoL and were then interviewed over telephone regarding those pictures</w:t>
            </w:r>
          </w:p>
        </w:tc>
        <w:tc>
          <w:tcPr>
            <w:tcW w:w="452" w:type="pct"/>
          </w:tcPr>
          <w:p w14:paraId="595375F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71E1D1A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three superordinate themes: experiencing quality of life through the perception of self and identity, interpersonal relationships as facilitators and barriers to quality of life, and pain and experience management.</w:t>
            </w:r>
          </w:p>
        </w:tc>
      </w:tr>
      <w:tr w:rsidR="00E31AA5" w:rsidRPr="00732EED" w14:paraId="567D0192"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3202EFB7" w14:textId="77777777" w:rsidR="001C33D6" w:rsidRPr="00732EED" w:rsidRDefault="001C33D6" w:rsidP="00F0458C">
            <w:pPr>
              <w:rPr>
                <w:sz w:val="18"/>
                <w:szCs w:val="18"/>
              </w:rPr>
            </w:pPr>
            <w:r w:rsidRPr="00732EED">
              <w:rPr>
                <w:sz w:val="18"/>
                <w:szCs w:val="18"/>
              </w:rPr>
              <w:t>52</w:t>
            </w:r>
          </w:p>
        </w:tc>
        <w:tc>
          <w:tcPr>
            <w:tcW w:w="418" w:type="pct"/>
          </w:tcPr>
          <w:p w14:paraId="35B31BB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Rodríguez et al., 2019</w:t>
            </w:r>
          </w:p>
        </w:tc>
        <w:tc>
          <w:tcPr>
            <w:tcW w:w="488" w:type="pct"/>
            <w:gridSpan w:val="3"/>
          </w:tcPr>
          <w:p w14:paraId="333B2C5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Qualitative interview study</w:t>
            </w:r>
          </w:p>
        </w:tc>
        <w:tc>
          <w:tcPr>
            <w:tcW w:w="488" w:type="pct"/>
            <w:gridSpan w:val="2"/>
          </w:tcPr>
          <w:p w14:paraId="002034C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 adults with chronic pain due to spine deformity</w:t>
            </w:r>
          </w:p>
        </w:tc>
        <w:tc>
          <w:tcPr>
            <w:tcW w:w="279" w:type="pct"/>
          </w:tcPr>
          <w:p w14:paraId="6E94D0B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Chile</w:t>
            </w:r>
          </w:p>
        </w:tc>
        <w:tc>
          <w:tcPr>
            <w:tcW w:w="418" w:type="pct"/>
            <w:gridSpan w:val="2"/>
          </w:tcPr>
          <w:p w14:paraId="5E16E47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open coding, thematic analysis</w:t>
            </w:r>
          </w:p>
        </w:tc>
        <w:tc>
          <w:tcPr>
            <w:tcW w:w="488" w:type="pct"/>
            <w:gridSpan w:val="2"/>
          </w:tcPr>
          <w:p w14:paraId="2F470963" w14:textId="537C046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Grounded </w:t>
            </w:r>
            <w:r w:rsidR="00AF0FF8" w:rsidRPr="00732EED">
              <w:rPr>
                <w:sz w:val="18"/>
                <w:szCs w:val="18"/>
              </w:rPr>
              <w:t>t</w:t>
            </w:r>
            <w:r w:rsidRPr="00732EED">
              <w:rPr>
                <w:sz w:val="18"/>
                <w:szCs w:val="18"/>
              </w:rPr>
              <w:t xml:space="preserve">heory, </w:t>
            </w:r>
            <w:r w:rsidR="00AF0FF8" w:rsidRPr="00732EED">
              <w:rPr>
                <w:sz w:val="18"/>
                <w:szCs w:val="18"/>
              </w:rPr>
              <w:t>c</w:t>
            </w:r>
            <w:r w:rsidRPr="00732EED">
              <w:rPr>
                <w:sz w:val="18"/>
                <w:szCs w:val="18"/>
              </w:rPr>
              <w:t xml:space="preserve">ultural </w:t>
            </w:r>
            <w:r w:rsidR="00AF0FF8" w:rsidRPr="00732EED">
              <w:rPr>
                <w:sz w:val="18"/>
                <w:szCs w:val="18"/>
              </w:rPr>
              <w:t>p</w:t>
            </w:r>
            <w:r w:rsidRPr="00732EED">
              <w:rPr>
                <w:sz w:val="18"/>
                <w:szCs w:val="18"/>
              </w:rPr>
              <w:t xml:space="preserve">erspective on </w:t>
            </w:r>
            <w:r w:rsidR="00AF0FF8" w:rsidRPr="00732EED">
              <w:rPr>
                <w:sz w:val="18"/>
                <w:szCs w:val="18"/>
              </w:rPr>
              <w:t>p</w:t>
            </w:r>
            <w:r w:rsidRPr="00732EED">
              <w:rPr>
                <w:sz w:val="18"/>
                <w:szCs w:val="18"/>
              </w:rPr>
              <w:t>ain</w:t>
            </w:r>
          </w:p>
        </w:tc>
        <w:tc>
          <w:tcPr>
            <w:tcW w:w="1813" w:type="pct"/>
          </w:tcPr>
          <w:p w14:paraId="533FED3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 affects daily activities, requiring adaptations in home environments and physical positions. Social and emotional well-being is impacted, but strong family and community ties in Chile offer support. Public services need improvements for accessibility.</w:t>
            </w:r>
          </w:p>
        </w:tc>
      </w:tr>
      <w:tr w:rsidR="00E31AA5" w:rsidRPr="00732EED" w14:paraId="6F694A14"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14B211A9" w14:textId="77777777" w:rsidR="001C33D6" w:rsidRPr="00732EED" w:rsidRDefault="001C33D6" w:rsidP="00F0458C">
            <w:pPr>
              <w:rPr>
                <w:sz w:val="18"/>
                <w:szCs w:val="18"/>
              </w:rPr>
            </w:pPr>
            <w:r w:rsidRPr="00732EED">
              <w:rPr>
                <w:sz w:val="18"/>
                <w:szCs w:val="18"/>
              </w:rPr>
              <w:t>53</w:t>
            </w:r>
          </w:p>
        </w:tc>
        <w:tc>
          <w:tcPr>
            <w:tcW w:w="418" w:type="pct"/>
          </w:tcPr>
          <w:p w14:paraId="0655149D" w14:textId="57C1C53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Schultz et al.,</w:t>
            </w:r>
            <w:r w:rsidR="00A96D33" w:rsidRPr="00732EED">
              <w:rPr>
                <w:sz w:val="18"/>
                <w:szCs w:val="18"/>
              </w:rPr>
              <w:t xml:space="preserve"> </w:t>
            </w:r>
            <w:r w:rsidRPr="00732EED">
              <w:rPr>
                <w:sz w:val="18"/>
                <w:szCs w:val="18"/>
              </w:rPr>
              <w:t>2019</w:t>
            </w:r>
          </w:p>
        </w:tc>
        <w:tc>
          <w:tcPr>
            <w:tcW w:w="488" w:type="pct"/>
            <w:gridSpan w:val="3"/>
          </w:tcPr>
          <w:p w14:paraId="09047A2B" w14:textId="6D11B81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Interpretative </w:t>
            </w:r>
            <w:r w:rsidR="00AF0FF8" w:rsidRPr="00732EED">
              <w:rPr>
                <w:sz w:val="18"/>
                <w:szCs w:val="18"/>
              </w:rPr>
              <w:t>p</w:t>
            </w:r>
            <w:r w:rsidRPr="00732EED">
              <w:rPr>
                <w:sz w:val="18"/>
                <w:szCs w:val="18"/>
              </w:rPr>
              <w:t xml:space="preserve">henomenological </w:t>
            </w:r>
            <w:r w:rsidR="00AF0FF8" w:rsidRPr="00732EED">
              <w:rPr>
                <w:sz w:val="18"/>
                <w:szCs w:val="18"/>
              </w:rPr>
              <w:t>a</w:t>
            </w:r>
            <w:r w:rsidRPr="00732EED">
              <w:rPr>
                <w:sz w:val="18"/>
                <w:szCs w:val="18"/>
              </w:rPr>
              <w:t>nalysis (IPA)</w:t>
            </w:r>
          </w:p>
        </w:tc>
        <w:tc>
          <w:tcPr>
            <w:tcW w:w="488" w:type="pct"/>
            <w:gridSpan w:val="2"/>
          </w:tcPr>
          <w:p w14:paraId="0BCF80C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10 patients with chronic widespread pain</w:t>
            </w:r>
          </w:p>
        </w:tc>
        <w:tc>
          <w:tcPr>
            <w:tcW w:w="279" w:type="pct"/>
          </w:tcPr>
          <w:p w14:paraId="328B9B1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Denmark</w:t>
            </w:r>
          </w:p>
        </w:tc>
        <w:tc>
          <w:tcPr>
            <w:tcW w:w="418" w:type="pct"/>
            <w:gridSpan w:val="2"/>
          </w:tcPr>
          <w:p w14:paraId="30C8E066"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open coding and thematic synthesis</w:t>
            </w:r>
          </w:p>
        </w:tc>
        <w:tc>
          <w:tcPr>
            <w:tcW w:w="488" w:type="pct"/>
            <w:gridSpan w:val="2"/>
          </w:tcPr>
          <w:p w14:paraId="2555813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5C4C1FB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four superordinate themes: meeting different attitudes, fragmentation of treatment, the importance of time, and feeling trapped.</w:t>
            </w:r>
          </w:p>
        </w:tc>
      </w:tr>
      <w:tr w:rsidR="00E31AA5" w:rsidRPr="00732EED" w14:paraId="3C77F5DA"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354BCD9D" w14:textId="77777777" w:rsidR="001C33D6" w:rsidRPr="00732EED" w:rsidRDefault="001C33D6" w:rsidP="00F0458C">
            <w:pPr>
              <w:rPr>
                <w:sz w:val="18"/>
                <w:szCs w:val="18"/>
              </w:rPr>
            </w:pPr>
            <w:r w:rsidRPr="00732EED">
              <w:rPr>
                <w:sz w:val="18"/>
                <w:szCs w:val="18"/>
              </w:rPr>
              <w:t>54</w:t>
            </w:r>
          </w:p>
        </w:tc>
        <w:tc>
          <w:tcPr>
            <w:tcW w:w="418" w:type="pct"/>
          </w:tcPr>
          <w:p w14:paraId="381BCCB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Toye et al., 2019</w:t>
            </w:r>
          </w:p>
        </w:tc>
        <w:tc>
          <w:tcPr>
            <w:tcW w:w="488" w:type="pct"/>
            <w:gridSpan w:val="3"/>
          </w:tcPr>
          <w:p w14:paraId="1D884ED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Mega-ethnography</w:t>
            </w:r>
          </w:p>
        </w:tc>
        <w:tc>
          <w:tcPr>
            <w:tcW w:w="488" w:type="pct"/>
            <w:gridSpan w:val="2"/>
          </w:tcPr>
          <w:p w14:paraId="0018594B" w14:textId="5BD0B362" w:rsidR="001C33D6" w:rsidRPr="00732EED" w:rsidRDefault="0066302A"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w:t>
            </w:r>
            <w:r w:rsidR="001C33D6" w:rsidRPr="00732EED">
              <w:rPr>
                <w:sz w:val="18"/>
                <w:szCs w:val="18"/>
              </w:rPr>
              <w:t>atients’ experience of living with rheumatoid arthritis symptoms and socio-</w:t>
            </w:r>
            <w:r w:rsidR="001C33D6" w:rsidRPr="00732EED">
              <w:rPr>
                <w:sz w:val="18"/>
                <w:szCs w:val="18"/>
              </w:rPr>
              <w:lastRenderedPageBreak/>
              <w:t>environmental factors</w:t>
            </w:r>
          </w:p>
        </w:tc>
        <w:tc>
          <w:tcPr>
            <w:tcW w:w="279" w:type="pct"/>
          </w:tcPr>
          <w:p w14:paraId="41263DA1"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Studies from multiple countries</w:t>
            </w:r>
          </w:p>
        </w:tc>
        <w:tc>
          <w:tcPr>
            <w:tcW w:w="418" w:type="pct"/>
            <w:gridSpan w:val="2"/>
          </w:tcPr>
          <w:p w14:paraId="731729D8" w14:textId="6EA6FBDD" w:rsidR="001C33D6" w:rsidRPr="00732EED" w:rsidRDefault="007E1199"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w:t>
            </w:r>
            <w:r w:rsidR="001C33D6" w:rsidRPr="00732EED">
              <w:rPr>
                <w:sz w:val="18"/>
                <w:szCs w:val="18"/>
              </w:rPr>
              <w:t xml:space="preserve">ega-ethnography utilized to </w:t>
            </w:r>
            <w:r w:rsidRPr="00732EED">
              <w:rPr>
                <w:sz w:val="18"/>
                <w:szCs w:val="18"/>
              </w:rPr>
              <w:t>obtain</w:t>
            </w:r>
            <w:r w:rsidR="001C33D6" w:rsidRPr="00732EED">
              <w:rPr>
                <w:sz w:val="18"/>
                <w:szCs w:val="18"/>
              </w:rPr>
              <w:t xml:space="preserve"> conceptual findings from </w:t>
            </w:r>
            <w:r w:rsidR="001C33D6" w:rsidRPr="00732EED">
              <w:rPr>
                <w:sz w:val="18"/>
                <w:szCs w:val="18"/>
              </w:rPr>
              <w:lastRenderedPageBreak/>
              <w:t>qualitative evidence syntheses of 9 studies, development of 10 themes</w:t>
            </w:r>
          </w:p>
        </w:tc>
        <w:tc>
          <w:tcPr>
            <w:tcW w:w="488" w:type="pct"/>
            <w:gridSpan w:val="2"/>
          </w:tcPr>
          <w:p w14:paraId="5AAD419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Mega-ethnography,</w:t>
            </w:r>
          </w:p>
        </w:tc>
        <w:tc>
          <w:tcPr>
            <w:tcW w:w="1813" w:type="pct"/>
          </w:tcPr>
          <w:p w14:paraId="43B972DA" w14:textId="5CAE3B5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Ten conceptual categories</w:t>
            </w:r>
            <w:r w:rsidR="007E1199" w:rsidRPr="00732EED">
              <w:rPr>
                <w:sz w:val="18"/>
                <w:szCs w:val="18"/>
              </w:rPr>
              <w:t xml:space="preserve"> were identified</w:t>
            </w:r>
            <w:r w:rsidRPr="00732EED">
              <w:rPr>
                <w:sz w:val="18"/>
                <w:szCs w:val="18"/>
              </w:rPr>
              <w:t xml:space="preserve">: (1) rheumatoid arthritis is in control of my body (2) rheumatoid arthritis alters reciprocity; (3) rheumatoid arthritis is an emotional </w:t>
            </w:r>
            <w:r w:rsidRPr="00732EED">
              <w:rPr>
                <w:sz w:val="18"/>
                <w:szCs w:val="18"/>
              </w:rPr>
              <w:lastRenderedPageBreak/>
              <w:t>challenge; (4) rheumatoid arthritis disrupts my present and future self; (5) the challenge of balancing personal and work life; (6) I am trying to make sense of what is happening; (7) rheumatoid arthritis is variable and unpredictable; (8) rheumatoid arthritis is invisible; (9) I need a positive experience of healthcare, and (10) I need to reframe the situation.</w:t>
            </w:r>
          </w:p>
        </w:tc>
      </w:tr>
      <w:tr w:rsidR="00E31AA5" w:rsidRPr="00732EED" w14:paraId="4D5843D4"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611F922C" w14:textId="77777777" w:rsidR="001C33D6" w:rsidRPr="00732EED" w:rsidRDefault="001C33D6" w:rsidP="00F0458C">
            <w:pPr>
              <w:rPr>
                <w:sz w:val="18"/>
                <w:szCs w:val="18"/>
              </w:rPr>
            </w:pPr>
            <w:r w:rsidRPr="00732EED">
              <w:rPr>
                <w:sz w:val="18"/>
                <w:szCs w:val="18"/>
              </w:rPr>
              <w:lastRenderedPageBreak/>
              <w:t>55</w:t>
            </w:r>
          </w:p>
        </w:tc>
        <w:tc>
          <w:tcPr>
            <w:tcW w:w="418" w:type="pct"/>
          </w:tcPr>
          <w:p w14:paraId="53CF713A" w14:textId="707E8CD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Mustafa et al.,</w:t>
            </w:r>
            <w:r w:rsidR="00A96D33" w:rsidRPr="00732EED">
              <w:rPr>
                <w:sz w:val="18"/>
                <w:szCs w:val="18"/>
              </w:rPr>
              <w:t xml:space="preserve"> </w:t>
            </w:r>
            <w:r w:rsidRPr="00732EED">
              <w:rPr>
                <w:sz w:val="18"/>
                <w:szCs w:val="18"/>
              </w:rPr>
              <w:t>2020</w:t>
            </w:r>
          </w:p>
        </w:tc>
        <w:tc>
          <w:tcPr>
            <w:tcW w:w="488" w:type="pct"/>
            <w:gridSpan w:val="3"/>
          </w:tcPr>
          <w:p w14:paraId="5837A29F" w14:textId="41EE16E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6966A4D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13 Indian Canadian women living with chronic pain</w:t>
            </w:r>
          </w:p>
        </w:tc>
        <w:tc>
          <w:tcPr>
            <w:tcW w:w="279" w:type="pct"/>
          </w:tcPr>
          <w:p w14:paraId="21CDFE2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Canada</w:t>
            </w:r>
          </w:p>
        </w:tc>
        <w:tc>
          <w:tcPr>
            <w:tcW w:w="418" w:type="pct"/>
            <w:gridSpan w:val="2"/>
          </w:tcPr>
          <w:p w14:paraId="769D082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van Manen thematic analysis</w:t>
            </w:r>
          </w:p>
        </w:tc>
        <w:tc>
          <w:tcPr>
            <w:tcW w:w="488" w:type="pct"/>
            <w:gridSpan w:val="2"/>
          </w:tcPr>
          <w:p w14:paraId="014E60B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36E0137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four themes: the body in pain, pain in the context of lived and felt space, pain and relationships, and pain and time. The women in the study attributed this to a “dual-gender role” adopted after immigration where they had to balance traditional household tasks and employment outside the home, which exacerbated their pain.</w:t>
            </w:r>
          </w:p>
        </w:tc>
      </w:tr>
      <w:tr w:rsidR="00E31AA5" w:rsidRPr="00732EED" w14:paraId="3D524A61"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4E2F01C5" w14:textId="77777777" w:rsidR="001C33D6" w:rsidRPr="00732EED" w:rsidRDefault="001C33D6" w:rsidP="00F0458C">
            <w:pPr>
              <w:rPr>
                <w:sz w:val="18"/>
                <w:szCs w:val="18"/>
              </w:rPr>
            </w:pPr>
            <w:r w:rsidRPr="00732EED">
              <w:rPr>
                <w:sz w:val="18"/>
                <w:szCs w:val="18"/>
              </w:rPr>
              <w:t>56</w:t>
            </w:r>
          </w:p>
        </w:tc>
        <w:tc>
          <w:tcPr>
            <w:tcW w:w="418" w:type="pct"/>
          </w:tcPr>
          <w:p w14:paraId="17570971" w14:textId="65F287F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Roenne</w:t>
            </w:r>
            <w:proofErr w:type="spellEnd"/>
            <w:r w:rsidRPr="00732EED">
              <w:rPr>
                <w:sz w:val="18"/>
                <w:szCs w:val="18"/>
              </w:rPr>
              <w:t xml:space="preserve"> et al.,</w:t>
            </w:r>
            <w:r w:rsidR="00A96D33" w:rsidRPr="00732EED">
              <w:rPr>
                <w:sz w:val="18"/>
                <w:szCs w:val="18"/>
              </w:rPr>
              <w:t xml:space="preserve"> </w:t>
            </w:r>
            <w:r w:rsidRPr="00732EED">
              <w:rPr>
                <w:sz w:val="18"/>
                <w:szCs w:val="18"/>
              </w:rPr>
              <w:t>2020</w:t>
            </w:r>
          </w:p>
        </w:tc>
        <w:tc>
          <w:tcPr>
            <w:tcW w:w="488" w:type="pct"/>
            <w:gridSpan w:val="3"/>
          </w:tcPr>
          <w:p w14:paraId="0111F11F" w14:textId="24580BD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285BE72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10 patients with chronic non-malignant pain from three different multidisciplinary pain centers. </w:t>
            </w:r>
          </w:p>
        </w:tc>
        <w:tc>
          <w:tcPr>
            <w:tcW w:w="279" w:type="pct"/>
          </w:tcPr>
          <w:p w14:paraId="68BFF2E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Denmark</w:t>
            </w:r>
          </w:p>
        </w:tc>
        <w:tc>
          <w:tcPr>
            <w:tcW w:w="418" w:type="pct"/>
            <w:gridSpan w:val="2"/>
          </w:tcPr>
          <w:p w14:paraId="26D55EB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Interpretation of the documentation of those pain centers as guided by Paul </w:t>
            </w:r>
            <w:proofErr w:type="spellStart"/>
            <w:r w:rsidRPr="00732EED">
              <w:rPr>
                <w:sz w:val="18"/>
                <w:szCs w:val="18"/>
              </w:rPr>
              <w:t>Ricouer’s</w:t>
            </w:r>
            <w:proofErr w:type="spellEnd"/>
            <w:r w:rsidRPr="00732EED">
              <w:rPr>
                <w:sz w:val="18"/>
                <w:szCs w:val="18"/>
              </w:rPr>
              <w:t xml:space="preserve"> philosophy</w:t>
            </w:r>
          </w:p>
        </w:tc>
        <w:tc>
          <w:tcPr>
            <w:tcW w:w="488" w:type="pct"/>
            <w:gridSpan w:val="2"/>
          </w:tcPr>
          <w:p w14:paraId="629E9041"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7810F34A" w14:textId="14F31DE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This study focused predominantly on the roles of relatives in the patient’s experience of their chronic pain, finding themes of relative involvement being arbitrary, loss of relationships and risk of social isolation, and a profound need </w:t>
            </w:r>
            <w:r w:rsidR="007B1F69" w:rsidRPr="00732EED">
              <w:rPr>
                <w:sz w:val="18"/>
                <w:szCs w:val="18"/>
              </w:rPr>
              <w:t>o</w:t>
            </w:r>
            <w:r w:rsidRPr="00732EED">
              <w:rPr>
                <w:sz w:val="18"/>
                <w:szCs w:val="18"/>
              </w:rPr>
              <w:t>f being understood.</w:t>
            </w:r>
          </w:p>
        </w:tc>
      </w:tr>
      <w:tr w:rsidR="00E31AA5" w:rsidRPr="00732EED" w14:paraId="040A5340"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18FC45AE" w14:textId="77777777" w:rsidR="001C33D6" w:rsidRPr="00732EED" w:rsidRDefault="001C33D6" w:rsidP="00F0458C">
            <w:pPr>
              <w:rPr>
                <w:sz w:val="18"/>
                <w:szCs w:val="18"/>
              </w:rPr>
            </w:pPr>
            <w:r w:rsidRPr="00732EED">
              <w:rPr>
                <w:sz w:val="18"/>
                <w:szCs w:val="18"/>
              </w:rPr>
              <w:t>57</w:t>
            </w:r>
          </w:p>
        </w:tc>
        <w:tc>
          <w:tcPr>
            <w:tcW w:w="418" w:type="pct"/>
          </w:tcPr>
          <w:p w14:paraId="1305DCB5" w14:textId="60CA240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Skúladóttir et al.,</w:t>
            </w:r>
            <w:r w:rsidR="00A96D33" w:rsidRPr="00732EED">
              <w:rPr>
                <w:sz w:val="18"/>
                <w:szCs w:val="18"/>
              </w:rPr>
              <w:t xml:space="preserve"> </w:t>
            </w:r>
            <w:r w:rsidRPr="00732EED">
              <w:rPr>
                <w:sz w:val="18"/>
                <w:szCs w:val="18"/>
              </w:rPr>
              <w:t>2020</w:t>
            </w:r>
          </w:p>
        </w:tc>
        <w:tc>
          <w:tcPr>
            <w:tcW w:w="488" w:type="pct"/>
            <w:gridSpan w:val="3"/>
          </w:tcPr>
          <w:p w14:paraId="62F0B69C" w14:textId="45D4BE84"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479A7AFA" w14:textId="4DCE926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w:t>
            </w:r>
            <w:r w:rsidR="00803BA3" w:rsidRPr="00732EED">
              <w:rPr>
                <w:sz w:val="18"/>
                <w:szCs w:val="18"/>
              </w:rPr>
              <w:t xml:space="preserve">11 </w:t>
            </w:r>
            <w:r w:rsidRPr="00732EED">
              <w:rPr>
                <w:sz w:val="18"/>
                <w:szCs w:val="18"/>
              </w:rPr>
              <w:t xml:space="preserve">participants with chronic pain </w:t>
            </w:r>
          </w:p>
        </w:tc>
        <w:tc>
          <w:tcPr>
            <w:tcW w:w="279" w:type="pct"/>
          </w:tcPr>
          <w:p w14:paraId="0C6CAFC6"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Vancouver</w:t>
            </w:r>
          </w:p>
        </w:tc>
        <w:tc>
          <w:tcPr>
            <w:tcW w:w="418" w:type="pct"/>
            <w:gridSpan w:val="2"/>
          </w:tcPr>
          <w:p w14:paraId="40A0086F" w14:textId="08D2C2A6"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Vancouver School of Phenomenology</w:t>
            </w:r>
          </w:p>
        </w:tc>
        <w:tc>
          <w:tcPr>
            <w:tcW w:w="488" w:type="pct"/>
            <w:gridSpan w:val="2"/>
          </w:tcPr>
          <w:p w14:paraId="56706B6E" w14:textId="0D9D9A9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a</w:t>
            </w:r>
            <w:r w:rsidRPr="00732EED">
              <w:rPr>
                <w:sz w:val="18"/>
                <w:szCs w:val="18"/>
              </w:rPr>
              <w:t>nalysis</w:t>
            </w:r>
          </w:p>
        </w:tc>
        <w:tc>
          <w:tcPr>
            <w:tcW w:w="1813" w:type="pct"/>
          </w:tcPr>
          <w:p w14:paraId="31D64463" w14:textId="519C54B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w:t>
            </w:r>
            <w:r w:rsidR="007B1F69" w:rsidRPr="00732EED">
              <w:rPr>
                <w:sz w:val="18"/>
                <w:szCs w:val="18"/>
              </w:rPr>
              <w:t>d</w:t>
            </w:r>
            <w:r w:rsidRPr="00732EED">
              <w:rPr>
                <w:sz w:val="18"/>
                <w:szCs w:val="18"/>
              </w:rPr>
              <w:t xml:space="preserve"> an overarching theme of “the journey of breaking the vicious circle of chronic pain” and describe</w:t>
            </w:r>
            <w:r w:rsidR="000D17F3" w:rsidRPr="00732EED">
              <w:rPr>
                <w:sz w:val="18"/>
                <w:szCs w:val="18"/>
              </w:rPr>
              <w:t>d</w:t>
            </w:r>
            <w:r w:rsidRPr="00732EED">
              <w:rPr>
                <w:sz w:val="18"/>
                <w:szCs w:val="18"/>
              </w:rPr>
              <w:t xml:space="preserve"> their journey from a position of being in that cycle while simultaneously trying to hide the pain to </w:t>
            </w:r>
            <w:r w:rsidR="007B1F69" w:rsidRPr="00732EED">
              <w:rPr>
                <w:sz w:val="18"/>
                <w:szCs w:val="18"/>
              </w:rPr>
              <w:t xml:space="preserve">a position of </w:t>
            </w:r>
            <w:r w:rsidRPr="00732EED">
              <w:rPr>
                <w:sz w:val="18"/>
                <w:szCs w:val="18"/>
              </w:rPr>
              <w:t>reconstructing their daily lives after the pain rehabilitation program.</w:t>
            </w:r>
          </w:p>
        </w:tc>
      </w:tr>
      <w:tr w:rsidR="00E31AA5" w:rsidRPr="00732EED" w14:paraId="09B68E00"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1B286417" w14:textId="77777777" w:rsidR="001C33D6" w:rsidRPr="00732EED" w:rsidRDefault="001C33D6" w:rsidP="00F0458C">
            <w:pPr>
              <w:rPr>
                <w:sz w:val="18"/>
                <w:szCs w:val="18"/>
              </w:rPr>
            </w:pPr>
            <w:r w:rsidRPr="00732EED">
              <w:rPr>
                <w:sz w:val="18"/>
                <w:szCs w:val="18"/>
              </w:rPr>
              <w:t>58</w:t>
            </w:r>
          </w:p>
        </w:tc>
        <w:tc>
          <w:tcPr>
            <w:tcW w:w="418" w:type="pct"/>
          </w:tcPr>
          <w:p w14:paraId="1A42E1D1" w14:textId="7240FF2D"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Yildirim Duman</w:t>
            </w:r>
            <w:r w:rsidR="00A96D33" w:rsidRPr="00732EED">
              <w:rPr>
                <w:sz w:val="18"/>
                <w:szCs w:val="18"/>
              </w:rPr>
              <w:t xml:space="preserve">, </w:t>
            </w:r>
            <w:r w:rsidRPr="00732EED">
              <w:rPr>
                <w:sz w:val="18"/>
                <w:szCs w:val="18"/>
              </w:rPr>
              <w:t>2020</w:t>
            </w:r>
          </w:p>
        </w:tc>
        <w:tc>
          <w:tcPr>
            <w:tcW w:w="488" w:type="pct"/>
            <w:gridSpan w:val="3"/>
          </w:tcPr>
          <w:p w14:paraId="12DDBF68" w14:textId="428A5D8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6004C04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10 patients with chronic disease who attended two family healthcare centers</w:t>
            </w:r>
          </w:p>
        </w:tc>
        <w:tc>
          <w:tcPr>
            <w:tcW w:w="279" w:type="pct"/>
          </w:tcPr>
          <w:p w14:paraId="3150AF1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Turkey</w:t>
            </w:r>
          </w:p>
        </w:tc>
        <w:tc>
          <w:tcPr>
            <w:tcW w:w="418" w:type="pct"/>
            <w:gridSpan w:val="2"/>
          </w:tcPr>
          <w:p w14:paraId="7F5AF77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and thematic synthesis</w:t>
            </w:r>
          </w:p>
        </w:tc>
        <w:tc>
          <w:tcPr>
            <w:tcW w:w="488" w:type="pct"/>
            <w:gridSpan w:val="2"/>
          </w:tcPr>
          <w:p w14:paraId="5FD5CF0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28741E2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three main themes of social support, disease management, and self-awareness/empowerment</w:t>
            </w:r>
          </w:p>
        </w:tc>
      </w:tr>
      <w:tr w:rsidR="00E31AA5" w:rsidRPr="00732EED" w14:paraId="04BF01B7"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3B724DD2" w14:textId="77777777" w:rsidR="001C33D6" w:rsidRPr="00732EED" w:rsidRDefault="001C33D6" w:rsidP="00F0458C">
            <w:pPr>
              <w:rPr>
                <w:sz w:val="18"/>
                <w:szCs w:val="18"/>
              </w:rPr>
            </w:pPr>
            <w:r w:rsidRPr="00732EED">
              <w:rPr>
                <w:sz w:val="18"/>
                <w:szCs w:val="18"/>
              </w:rPr>
              <w:t>59</w:t>
            </w:r>
          </w:p>
        </w:tc>
        <w:tc>
          <w:tcPr>
            <w:tcW w:w="418" w:type="pct"/>
          </w:tcPr>
          <w:p w14:paraId="2B20577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Andersen et al., 2021</w:t>
            </w:r>
          </w:p>
        </w:tc>
        <w:tc>
          <w:tcPr>
            <w:tcW w:w="488" w:type="pct"/>
            <w:gridSpan w:val="3"/>
          </w:tcPr>
          <w:p w14:paraId="4FA826BE" w14:textId="5131F6F4"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Interpretative phenomenological analysis (IPA)</w:t>
            </w:r>
          </w:p>
        </w:tc>
        <w:tc>
          <w:tcPr>
            <w:tcW w:w="488" w:type="pct"/>
            <w:gridSpan w:val="2"/>
          </w:tcPr>
          <w:p w14:paraId="00E32CB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23 adult patients with chronic illness and chronic pain</w:t>
            </w:r>
          </w:p>
        </w:tc>
        <w:tc>
          <w:tcPr>
            <w:tcW w:w="279" w:type="pct"/>
          </w:tcPr>
          <w:p w14:paraId="2636BB8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Denmark</w:t>
            </w:r>
          </w:p>
        </w:tc>
        <w:tc>
          <w:tcPr>
            <w:tcW w:w="418" w:type="pct"/>
            <w:gridSpan w:val="2"/>
          </w:tcPr>
          <w:p w14:paraId="1CC4DE1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analysis</w:t>
            </w:r>
          </w:p>
        </w:tc>
        <w:tc>
          <w:tcPr>
            <w:tcW w:w="488" w:type="pct"/>
            <w:gridSpan w:val="2"/>
          </w:tcPr>
          <w:p w14:paraId="3D4F7713" w14:textId="73008B1C"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Analysis of Kierkegaardian concepts,</w:t>
            </w:r>
            <w:r w:rsidR="00AF0FF8" w:rsidRPr="00732EED">
              <w:rPr>
                <w:sz w:val="18"/>
                <w:szCs w:val="18"/>
              </w:rPr>
              <w:t xml:space="preserve"> </w:t>
            </w:r>
            <w:r w:rsidRPr="00732EED">
              <w:rPr>
                <w:sz w:val="18"/>
                <w:szCs w:val="18"/>
              </w:rPr>
              <w:t>double hermeneutical-</w:t>
            </w:r>
            <w:r w:rsidR="00AF0FF8" w:rsidRPr="00732EED">
              <w:rPr>
                <w:sz w:val="18"/>
                <w:szCs w:val="18"/>
              </w:rPr>
              <w:t>p</w:t>
            </w:r>
            <w:r w:rsidRPr="00732EED">
              <w:rPr>
                <w:sz w:val="18"/>
                <w:szCs w:val="18"/>
              </w:rPr>
              <w:t>henomenological analysis</w:t>
            </w:r>
          </w:p>
        </w:tc>
        <w:tc>
          <w:tcPr>
            <w:tcW w:w="1813" w:type="pct"/>
          </w:tcPr>
          <w:p w14:paraId="5B772478" w14:textId="76E5996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illness are perceived as an unwelcome</w:t>
            </w:r>
            <w:r w:rsidR="00686BFC" w:rsidRPr="00732EED">
              <w:rPr>
                <w:sz w:val="18"/>
                <w:szCs w:val="18"/>
              </w:rPr>
              <w:t>d</w:t>
            </w:r>
            <w:r w:rsidRPr="00732EED">
              <w:rPr>
                <w:sz w:val="18"/>
                <w:szCs w:val="18"/>
              </w:rPr>
              <w:t xml:space="preserve"> and significant alteration to individuals' lives. Aesthetic, ethical, and religious dimensions, along with adaptive </w:t>
            </w:r>
            <w:r w:rsidRPr="00732EED">
              <w:rPr>
                <w:sz w:val="18"/>
                <w:szCs w:val="18"/>
              </w:rPr>
              <w:lastRenderedPageBreak/>
              <w:t>strategies, have been developed in response</w:t>
            </w:r>
            <w:r w:rsidR="007B1F69" w:rsidRPr="00732EED">
              <w:rPr>
                <w:sz w:val="18"/>
                <w:szCs w:val="18"/>
              </w:rPr>
              <w:t xml:space="preserve"> to these experiences</w:t>
            </w:r>
            <w:r w:rsidRPr="00732EED">
              <w:rPr>
                <w:sz w:val="18"/>
                <w:szCs w:val="18"/>
              </w:rPr>
              <w:t>.</w:t>
            </w:r>
          </w:p>
        </w:tc>
      </w:tr>
      <w:tr w:rsidR="00E31AA5" w:rsidRPr="00732EED" w14:paraId="159E9BDC"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2EB16F19" w14:textId="77777777" w:rsidR="001C33D6" w:rsidRPr="00732EED" w:rsidRDefault="001C33D6" w:rsidP="00F0458C">
            <w:pPr>
              <w:rPr>
                <w:sz w:val="18"/>
                <w:szCs w:val="18"/>
              </w:rPr>
            </w:pPr>
            <w:r w:rsidRPr="00732EED">
              <w:rPr>
                <w:sz w:val="18"/>
                <w:szCs w:val="18"/>
              </w:rPr>
              <w:lastRenderedPageBreak/>
              <w:t>60</w:t>
            </w:r>
          </w:p>
        </w:tc>
        <w:tc>
          <w:tcPr>
            <w:tcW w:w="418" w:type="pct"/>
          </w:tcPr>
          <w:p w14:paraId="5B590477" w14:textId="613AAB0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Fracso</w:t>
            </w:r>
            <w:proofErr w:type="spellEnd"/>
            <w:r w:rsidRPr="00732EED">
              <w:rPr>
                <w:sz w:val="18"/>
                <w:szCs w:val="18"/>
              </w:rPr>
              <w:t xml:space="preserve"> et al.,</w:t>
            </w:r>
            <w:r w:rsidR="00A96D33" w:rsidRPr="00732EED">
              <w:rPr>
                <w:sz w:val="18"/>
                <w:szCs w:val="18"/>
              </w:rPr>
              <w:t xml:space="preserve"> </w:t>
            </w:r>
            <w:r w:rsidRPr="00732EED">
              <w:rPr>
                <w:sz w:val="18"/>
                <w:szCs w:val="18"/>
              </w:rPr>
              <w:t>2021</w:t>
            </w:r>
          </w:p>
        </w:tc>
        <w:tc>
          <w:tcPr>
            <w:tcW w:w="488" w:type="pct"/>
            <w:gridSpan w:val="3"/>
          </w:tcPr>
          <w:p w14:paraId="010D1EE1"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6F66427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20 patients with chronic diseases before and after The Chronic Disease Self-Management Program.</w:t>
            </w:r>
          </w:p>
        </w:tc>
        <w:tc>
          <w:tcPr>
            <w:tcW w:w="279" w:type="pct"/>
          </w:tcPr>
          <w:p w14:paraId="4110362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France</w:t>
            </w:r>
          </w:p>
        </w:tc>
        <w:tc>
          <w:tcPr>
            <w:tcW w:w="418" w:type="pct"/>
            <w:gridSpan w:val="2"/>
          </w:tcPr>
          <w:p w14:paraId="25F97B3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thematic synthesis</w:t>
            </w:r>
          </w:p>
        </w:tc>
        <w:tc>
          <w:tcPr>
            <w:tcW w:w="488" w:type="pct"/>
            <w:gridSpan w:val="2"/>
          </w:tcPr>
          <w:p w14:paraId="6EF89DA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52C61EF6" w14:textId="756AC48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identified areas of thematic improvement for the patients from the program</w:t>
            </w:r>
            <w:r w:rsidR="00B358DA" w:rsidRPr="00732EED">
              <w:rPr>
                <w:sz w:val="18"/>
                <w:szCs w:val="18"/>
              </w:rPr>
              <w:t>,</w:t>
            </w:r>
            <w:r w:rsidRPr="00732EED">
              <w:rPr>
                <w:sz w:val="18"/>
                <w:szCs w:val="18"/>
              </w:rPr>
              <w:t xml:space="preserve"> including self-empowerment, belonging in a community of peers, and becoming involved in their health education.</w:t>
            </w:r>
          </w:p>
        </w:tc>
      </w:tr>
      <w:tr w:rsidR="00E31AA5" w:rsidRPr="00732EED" w14:paraId="45E3F119"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00CE0E42" w14:textId="77777777" w:rsidR="001C33D6" w:rsidRPr="00732EED" w:rsidRDefault="001C33D6" w:rsidP="00F0458C">
            <w:pPr>
              <w:rPr>
                <w:sz w:val="18"/>
                <w:szCs w:val="18"/>
              </w:rPr>
            </w:pPr>
            <w:r w:rsidRPr="00732EED">
              <w:rPr>
                <w:sz w:val="18"/>
                <w:szCs w:val="18"/>
              </w:rPr>
              <w:t>61</w:t>
            </w:r>
          </w:p>
        </w:tc>
        <w:tc>
          <w:tcPr>
            <w:tcW w:w="418" w:type="pct"/>
          </w:tcPr>
          <w:p w14:paraId="006911FE" w14:textId="22BF342F"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Honoré Grauslund et al.,</w:t>
            </w:r>
            <w:r w:rsidR="00A96D33" w:rsidRPr="00732EED">
              <w:rPr>
                <w:sz w:val="18"/>
                <w:szCs w:val="18"/>
              </w:rPr>
              <w:t xml:space="preserve"> </w:t>
            </w:r>
            <w:r w:rsidRPr="00732EED">
              <w:rPr>
                <w:sz w:val="18"/>
                <w:szCs w:val="18"/>
              </w:rPr>
              <w:t>2021</w:t>
            </w:r>
          </w:p>
        </w:tc>
        <w:tc>
          <w:tcPr>
            <w:tcW w:w="488" w:type="pct"/>
            <w:gridSpan w:val="3"/>
          </w:tcPr>
          <w:p w14:paraId="59E3E0DD" w14:textId="1C41BB5B"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163662D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11 Turkish participants with chronic low back pain</w:t>
            </w:r>
          </w:p>
        </w:tc>
        <w:tc>
          <w:tcPr>
            <w:tcW w:w="279" w:type="pct"/>
          </w:tcPr>
          <w:p w14:paraId="3F7AB13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Denmark</w:t>
            </w:r>
          </w:p>
        </w:tc>
        <w:tc>
          <w:tcPr>
            <w:tcW w:w="418" w:type="pct"/>
            <w:gridSpan w:val="2"/>
          </w:tcPr>
          <w:p w14:paraId="60EC6B8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and Giorgi’s phenomenological analysis</w:t>
            </w:r>
          </w:p>
        </w:tc>
        <w:tc>
          <w:tcPr>
            <w:tcW w:w="488" w:type="pct"/>
            <w:gridSpan w:val="2"/>
          </w:tcPr>
          <w:p w14:paraId="68E62C3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613B958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three superordinate themes from their analysis: overwhelming and prevailing pain, being distressed in community life, and looking for a way out of pain.</w:t>
            </w:r>
          </w:p>
        </w:tc>
      </w:tr>
      <w:tr w:rsidR="00E31AA5" w:rsidRPr="00732EED" w14:paraId="449197AD"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54A5277E" w14:textId="77777777" w:rsidR="001C33D6" w:rsidRPr="00732EED" w:rsidRDefault="001C33D6" w:rsidP="00F0458C">
            <w:pPr>
              <w:rPr>
                <w:sz w:val="18"/>
                <w:szCs w:val="18"/>
              </w:rPr>
            </w:pPr>
            <w:r w:rsidRPr="00732EED">
              <w:rPr>
                <w:sz w:val="18"/>
                <w:szCs w:val="18"/>
              </w:rPr>
              <w:t>62</w:t>
            </w:r>
          </w:p>
        </w:tc>
        <w:tc>
          <w:tcPr>
            <w:tcW w:w="418" w:type="pct"/>
          </w:tcPr>
          <w:p w14:paraId="5EE8FDB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Keen et al., 2021</w:t>
            </w:r>
          </w:p>
        </w:tc>
        <w:tc>
          <w:tcPr>
            <w:tcW w:w="488" w:type="pct"/>
            <w:gridSpan w:val="3"/>
          </w:tcPr>
          <w:p w14:paraId="2B593EE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Qualitative interview study</w:t>
            </w:r>
          </w:p>
        </w:tc>
        <w:tc>
          <w:tcPr>
            <w:tcW w:w="488" w:type="pct"/>
            <w:gridSpan w:val="2"/>
          </w:tcPr>
          <w:p w14:paraId="19CDED7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12 UK adults with chronic pain</w:t>
            </w:r>
          </w:p>
        </w:tc>
        <w:tc>
          <w:tcPr>
            <w:tcW w:w="279" w:type="pct"/>
          </w:tcPr>
          <w:p w14:paraId="0C1BE31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United Kingdom</w:t>
            </w:r>
          </w:p>
        </w:tc>
        <w:tc>
          <w:tcPr>
            <w:tcW w:w="418" w:type="pct"/>
            <w:gridSpan w:val="2"/>
          </w:tcPr>
          <w:p w14:paraId="24E4DD8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Grid Elaboration Method (GEM), Pain Neurophysiology Education (PNE) article review</w:t>
            </w:r>
          </w:p>
        </w:tc>
        <w:tc>
          <w:tcPr>
            <w:tcW w:w="488" w:type="pct"/>
            <w:gridSpan w:val="2"/>
          </w:tcPr>
          <w:p w14:paraId="7B133F88" w14:textId="0456437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Social </w:t>
            </w:r>
            <w:r w:rsidR="00AF0FF8" w:rsidRPr="00732EED">
              <w:rPr>
                <w:sz w:val="18"/>
                <w:szCs w:val="18"/>
              </w:rPr>
              <w:t>r</w:t>
            </w:r>
            <w:r w:rsidRPr="00732EED">
              <w:rPr>
                <w:sz w:val="18"/>
                <w:szCs w:val="18"/>
              </w:rPr>
              <w:t xml:space="preserve">epresentations </w:t>
            </w:r>
            <w:r w:rsidR="00AF0FF8" w:rsidRPr="00732EED">
              <w:rPr>
                <w:sz w:val="18"/>
                <w:szCs w:val="18"/>
              </w:rPr>
              <w:t>t</w:t>
            </w:r>
            <w:r w:rsidRPr="00732EED">
              <w:rPr>
                <w:sz w:val="18"/>
                <w:szCs w:val="18"/>
              </w:rPr>
              <w:t xml:space="preserve">heory (SRT), </w:t>
            </w:r>
            <w:r w:rsidR="00AF0FF8" w:rsidRPr="00732EED">
              <w:rPr>
                <w:sz w:val="18"/>
                <w:szCs w:val="18"/>
              </w:rPr>
              <w:t>p</w:t>
            </w:r>
            <w:r w:rsidRPr="00732EED">
              <w:rPr>
                <w:sz w:val="18"/>
                <w:szCs w:val="18"/>
              </w:rPr>
              <w:t>ain conceptualization models</w:t>
            </w:r>
          </w:p>
        </w:tc>
        <w:tc>
          <w:tcPr>
            <w:tcW w:w="1813" w:type="pct"/>
          </w:tcPr>
          <w:p w14:paraId="2C794D27" w14:textId="6CDEB55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Chronic pain is understood through inconsistent experiential models; PNE was intellectually engaging but perceived as practically inadequate. Participants found PNE </w:t>
            </w:r>
            <w:r w:rsidR="0045503D" w:rsidRPr="00732EED">
              <w:rPr>
                <w:sz w:val="18"/>
                <w:szCs w:val="18"/>
              </w:rPr>
              <w:t xml:space="preserve">as </w:t>
            </w:r>
            <w:r w:rsidRPr="00732EED">
              <w:rPr>
                <w:sz w:val="18"/>
                <w:szCs w:val="18"/>
              </w:rPr>
              <w:t>validat</w:t>
            </w:r>
            <w:r w:rsidR="0045503D" w:rsidRPr="00732EED">
              <w:rPr>
                <w:sz w:val="18"/>
                <w:szCs w:val="18"/>
              </w:rPr>
              <w:t>ed</w:t>
            </w:r>
            <w:r w:rsidRPr="00732EED">
              <w:rPr>
                <w:sz w:val="18"/>
                <w:szCs w:val="18"/>
              </w:rPr>
              <w:t xml:space="preserve"> but questioned its impact on behavior change.</w:t>
            </w:r>
          </w:p>
        </w:tc>
      </w:tr>
      <w:tr w:rsidR="00E31AA5" w:rsidRPr="00732EED" w14:paraId="3725A113" w14:textId="77777777" w:rsidTr="00535921">
        <w:trPr>
          <w:cnfStyle w:val="000000100000" w:firstRow="0" w:lastRow="0" w:firstColumn="0" w:lastColumn="0" w:oddVBand="0" w:evenVBand="0" w:oddHBand="1" w:evenHBand="0" w:firstRowFirstColumn="0" w:firstRowLastColumn="0" w:lastRowFirstColumn="0" w:lastRowLastColumn="0"/>
          <w:trHeight w:val="2735"/>
        </w:trPr>
        <w:tc>
          <w:tcPr>
            <w:cnfStyle w:val="001000000000" w:firstRow="0" w:lastRow="0" w:firstColumn="1" w:lastColumn="0" w:oddVBand="0" w:evenVBand="0" w:oddHBand="0" w:evenHBand="0" w:firstRowFirstColumn="0" w:firstRowLastColumn="0" w:lastRowFirstColumn="0" w:lastRowLastColumn="0"/>
            <w:tcW w:w="608" w:type="pct"/>
            <w:gridSpan w:val="2"/>
          </w:tcPr>
          <w:p w14:paraId="20749EC4" w14:textId="77777777" w:rsidR="001C33D6" w:rsidRPr="00732EED" w:rsidRDefault="001C33D6" w:rsidP="00F0458C">
            <w:pPr>
              <w:rPr>
                <w:sz w:val="18"/>
                <w:szCs w:val="18"/>
              </w:rPr>
            </w:pPr>
            <w:r w:rsidRPr="00732EED">
              <w:rPr>
                <w:sz w:val="18"/>
                <w:szCs w:val="18"/>
              </w:rPr>
              <w:t>63</w:t>
            </w:r>
          </w:p>
        </w:tc>
        <w:tc>
          <w:tcPr>
            <w:tcW w:w="418" w:type="pct"/>
          </w:tcPr>
          <w:p w14:paraId="325C4E54" w14:textId="7C6735F2"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Stensland</w:t>
            </w:r>
            <w:r w:rsidR="00F47F4F" w:rsidRPr="00732EED">
              <w:rPr>
                <w:sz w:val="18"/>
                <w:szCs w:val="18"/>
              </w:rPr>
              <w:t>,</w:t>
            </w:r>
            <w:r w:rsidR="00A96D33" w:rsidRPr="00732EED">
              <w:rPr>
                <w:sz w:val="18"/>
                <w:szCs w:val="18"/>
              </w:rPr>
              <w:t xml:space="preserve"> </w:t>
            </w:r>
            <w:r w:rsidRPr="00732EED">
              <w:rPr>
                <w:sz w:val="18"/>
                <w:szCs w:val="18"/>
              </w:rPr>
              <w:t>2021</w:t>
            </w:r>
          </w:p>
        </w:tc>
        <w:tc>
          <w:tcPr>
            <w:tcW w:w="488" w:type="pct"/>
            <w:gridSpan w:val="3"/>
          </w:tcPr>
          <w:p w14:paraId="1A35AC22" w14:textId="1E8D7F9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18194FF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21 patients with treatment-resistant chronic low back pain</w:t>
            </w:r>
          </w:p>
        </w:tc>
        <w:tc>
          <w:tcPr>
            <w:tcW w:w="279" w:type="pct"/>
          </w:tcPr>
          <w:p w14:paraId="1E1EB39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US</w:t>
            </w:r>
          </w:p>
        </w:tc>
        <w:tc>
          <w:tcPr>
            <w:tcW w:w="418" w:type="pct"/>
            <w:gridSpan w:val="2"/>
          </w:tcPr>
          <w:p w14:paraId="1ADC8C69"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and van Manen guided analysis</w:t>
            </w:r>
          </w:p>
        </w:tc>
        <w:tc>
          <w:tcPr>
            <w:tcW w:w="488" w:type="pct"/>
            <w:gridSpan w:val="2"/>
          </w:tcPr>
          <w:p w14:paraId="1A0368D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0FD9F200" w14:textId="07101C20" w:rsidR="001C33D6" w:rsidRPr="00732EED" w:rsidRDefault="0045503D"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m</w:t>
            </w:r>
            <w:r w:rsidR="001C33D6" w:rsidRPr="00732EED">
              <w:rPr>
                <w:sz w:val="18"/>
                <w:szCs w:val="18"/>
              </w:rPr>
              <w:t xml:space="preserve">ain theme </w:t>
            </w:r>
            <w:r w:rsidRPr="00732EED">
              <w:rPr>
                <w:sz w:val="18"/>
                <w:szCs w:val="18"/>
              </w:rPr>
              <w:t>was</w:t>
            </w:r>
            <w:r w:rsidR="001C33D6" w:rsidRPr="00732EED">
              <w:rPr>
                <w:sz w:val="18"/>
                <w:szCs w:val="18"/>
              </w:rPr>
              <w:t xml:space="preserve"> managing the incurable with four subthemes</w:t>
            </w:r>
            <w:r w:rsidR="00B358DA" w:rsidRPr="00732EED">
              <w:rPr>
                <w:sz w:val="18"/>
                <w:szCs w:val="18"/>
              </w:rPr>
              <w:t>,</w:t>
            </w:r>
            <w:r w:rsidR="001C33D6" w:rsidRPr="00732EED">
              <w:rPr>
                <w:sz w:val="18"/>
                <w:szCs w:val="18"/>
              </w:rPr>
              <w:t xml:space="preserve"> including a quest for relief, spinal procedures offering only temporary relief yet ongoing disappointment, apprehension of medication, and making things work for me.</w:t>
            </w:r>
          </w:p>
        </w:tc>
      </w:tr>
      <w:tr w:rsidR="00E31AA5" w:rsidRPr="00732EED" w14:paraId="6839E33C" w14:textId="77777777" w:rsidTr="00535921">
        <w:trPr>
          <w:trHeight w:val="2735"/>
        </w:trPr>
        <w:tc>
          <w:tcPr>
            <w:cnfStyle w:val="001000000000" w:firstRow="0" w:lastRow="0" w:firstColumn="1" w:lastColumn="0" w:oddVBand="0" w:evenVBand="0" w:oddHBand="0" w:evenHBand="0" w:firstRowFirstColumn="0" w:firstRowLastColumn="0" w:lastRowFirstColumn="0" w:lastRowLastColumn="0"/>
            <w:tcW w:w="608" w:type="pct"/>
            <w:gridSpan w:val="2"/>
          </w:tcPr>
          <w:p w14:paraId="39A11CC9" w14:textId="77777777" w:rsidR="001C33D6" w:rsidRPr="00732EED" w:rsidRDefault="001C33D6" w:rsidP="00F0458C">
            <w:pPr>
              <w:rPr>
                <w:sz w:val="18"/>
                <w:szCs w:val="18"/>
              </w:rPr>
            </w:pPr>
            <w:r w:rsidRPr="00732EED">
              <w:rPr>
                <w:sz w:val="18"/>
                <w:szCs w:val="18"/>
              </w:rPr>
              <w:lastRenderedPageBreak/>
              <w:t>64</w:t>
            </w:r>
          </w:p>
        </w:tc>
        <w:tc>
          <w:tcPr>
            <w:tcW w:w="418" w:type="pct"/>
          </w:tcPr>
          <w:p w14:paraId="62CE5702" w14:textId="55437B6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Stensland</w:t>
            </w:r>
            <w:r w:rsidR="00F47F4F" w:rsidRPr="00732EED">
              <w:rPr>
                <w:sz w:val="18"/>
                <w:szCs w:val="18"/>
              </w:rPr>
              <w:t>,</w:t>
            </w:r>
            <w:r w:rsidRPr="00732EED">
              <w:rPr>
                <w:sz w:val="18"/>
                <w:szCs w:val="18"/>
              </w:rPr>
              <w:t xml:space="preserve"> 2021</w:t>
            </w:r>
            <w:r w:rsidR="00A96D33" w:rsidRPr="00732EED">
              <w:rPr>
                <w:sz w:val="18"/>
                <w:szCs w:val="18"/>
              </w:rPr>
              <w:t xml:space="preserve"> </w:t>
            </w:r>
            <w:r w:rsidRPr="00732EED">
              <w:rPr>
                <w:sz w:val="18"/>
                <w:szCs w:val="18"/>
              </w:rPr>
              <w:t>(independent of previously listed)</w:t>
            </w:r>
          </w:p>
        </w:tc>
        <w:tc>
          <w:tcPr>
            <w:tcW w:w="488" w:type="pct"/>
            <w:gridSpan w:val="3"/>
          </w:tcPr>
          <w:p w14:paraId="20ECE28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3ABB707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21 patients with treatment-resistant chronic low back pain</w:t>
            </w:r>
          </w:p>
        </w:tc>
        <w:tc>
          <w:tcPr>
            <w:tcW w:w="279" w:type="pct"/>
          </w:tcPr>
          <w:p w14:paraId="43D5949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US</w:t>
            </w:r>
          </w:p>
        </w:tc>
        <w:tc>
          <w:tcPr>
            <w:tcW w:w="418" w:type="pct"/>
            <w:gridSpan w:val="2"/>
          </w:tcPr>
          <w:p w14:paraId="73B324A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and van Manen guided analysis</w:t>
            </w:r>
          </w:p>
        </w:tc>
        <w:tc>
          <w:tcPr>
            <w:tcW w:w="488" w:type="pct"/>
            <w:gridSpan w:val="2"/>
          </w:tcPr>
          <w:p w14:paraId="3A91D76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0802A328" w14:textId="7D17E52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Findings focused on the overarching theme of helplessness and perseverance, with subthemes</w:t>
            </w:r>
            <w:r w:rsidR="00D611C9" w:rsidRPr="00732EED">
              <w:rPr>
                <w:sz w:val="18"/>
                <w:szCs w:val="18"/>
              </w:rPr>
              <w:t>,</w:t>
            </w:r>
            <w:r w:rsidRPr="00732EED">
              <w:rPr>
                <w:sz w:val="18"/>
                <w:szCs w:val="18"/>
              </w:rPr>
              <w:t xml:space="preserve"> including feeling helpless because nothing works, feeling down and depressed, distantly wishing for an end, accepting the reality of my pain, and the pain stays, I keep going</w:t>
            </w:r>
            <w:r w:rsidR="0045503D" w:rsidRPr="00732EED">
              <w:rPr>
                <w:sz w:val="18"/>
                <w:szCs w:val="18"/>
              </w:rPr>
              <w:t>.</w:t>
            </w:r>
          </w:p>
        </w:tc>
      </w:tr>
      <w:tr w:rsidR="00E31AA5" w:rsidRPr="00732EED" w14:paraId="6237CA0B" w14:textId="77777777" w:rsidTr="00535921">
        <w:trPr>
          <w:cnfStyle w:val="000000100000" w:firstRow="0" w:lastRow="0" w:firstColumn="0" w:lastColumn="0" w:oddVBand="0" w:evenVBand="0" w:oddHBand="1" w:evenHBand="0" w:firstRowFirstColumn="0" w:firstRowLastColumn="0" w:lastRowFirstColumn="0" w:lastRowLastColumn="0"/>
          <w:trHeight w:val="2735"/>
        </w:trPr>
        <w:tc>
          <w:tcPr>
            <w:cnfStyle w:val="001000000000" w:firstRow="0" w:lastRow="0" w:firstColumn="1" w:lastColumn="0" w:oddVBand="0" w:evenVBand="0" w:oddHBand="0" w:evenHBand="0" w:firstRowFirstColumn="0" w:firstRowLastColumn="0" w:lastRowFirstColumn="0" w:lastRowLastColumn="0"/>
            <w:tcW w:w="608" w:type="pct"/>
            <w:gridSpan w:val="2"/>
          </w:tcPr>
          <w:p w14:paraId="0FCF6D5C" w14:textId="77777777" w:rsidR="001C33D6" w:rsidRPr="00732EED" w:rsidRDefault="001C33D6" w:rsidP="00F0458C">
            <w:pPr>
              <w:rPr>
                <w:sz w:val="18"/>
                <w:szCs w:val="18"/>
              </w:rPr>
            </w:pPr>
            <w:r w:rsidRPr="00732EED">
              <w:rPr>
                <w:sz w:val="18"/>
                <w:szCs w:val="18"/>
              </w:rPr>
              <w:t>65</w:t>
            </w:r>
          </w:p>
        </w:tc>
        <w:tc>
          <w:tcPr>
            <w:tcW w:w="418" w:type="pct"/>
          </w:tcPr>
          <w:p w14:paraId="23A31FD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Toye et al., 2021</w:t>
            </w:r>
          </w:p>
        </w:tc>
        <w:tc>
          <w:tcPr>
            <w:tcW w:w="488" w:type="pct"/>
            <w:gridSpan w:val="3"/>
          </w:tcPr>
          <w:p w14:paraId="440A390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Meta-ethnography</w:t>
            </w:r>
          </w:p>
        </w:tc>
        <w:tc>
          <w:tcPr>
            <w:tcW w:w="488" w:type="pct"/>
            <w:gridSpan w:val="2"/>
          </w:tcPr>
          <w:p w14:paraId="573A8FE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Healing and recovering from chronic pain</w:t>
            </w:r>
          </w:p>
        </w:tc>
        <w:tc>
          <w:tcPr>
            <w:tcW w:w="279" w:type="pct"/>
          </w:tcPr>
          <w:p w14:paraId="7CB0040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Studies from multiple countries</w:t>
            </w:r>
          </w:p>
        </w:tc>
        <w:tc>
          <w:tcPr>
            <w:tcW w:w="418" w:type="pct"/>
            <w:gridSpan w:val="2"/>
          </w:tcPr>
          <w:p w14:paraId="07989D8D" w14:textId="5DA075B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Utilization of </w:t>
            </w:r>
            <w:proofErr w:type="spellStart"/>
            <w:r w:rsidRPr="00732EED">
              <w:rPr>
                <w:sz w:val="18"/>
                <w:szCs w:val="18"/>
              </w:rPr>
              <w:t>eMERGe</w:t>
            </w:r>
            <w:proofErr w:type="spellEnd"/>
            <w:r w:rsidRPr="00732EED">
              <w:rPr>
                <w:sz w:val="18"/>
                <w:szCs w:val="18"/>
              </w:rPr>
              <w:t xml:space="preserve"> meta-ethnography reporting guidance, synthesis of 195 studies, development of 10 themes</w:t>
            </w:r>
          </w:p>
        </w:tc>
        <w:tc>
          <w:tcPr>
            <w:tcW w:w="488" w:type="pct"/>
            <w:gridSpan w:val="2"/>
          </w:tcPr>
          <w:p w14:paraId="04E0E57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Meta-ethnography</w:t>
            </w:r>
          </w:p>
        </w:tc>
        <w:tc>
          <w:tcPr>
            <w:tcW w:w="1813" w:type="pct"/>
          </w:tcPr>
          <w:p w14:paraId="42D0E04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 interventions for chronic pain should focus on 1) validating pain through clear and rational explanations; 2) validating patients by listening to and considering their experiences; 3) encouraging patients to connect with a sense of self, practice self-kindness, and explore future possibilities; and 4) facilitating safe reconnection with the social world.</w:t>
            </w:r>
          </w:p>
        </w:tc>
      </w:tr>
      <w:tr w:rsidR="00E31AA5" w:rsidRPr="00732EED" w14:paraId="52CE33B1"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114EFD30" w14:textId="77777777" w:rsidR="001C33D6" w:rsidRPr="00732EED" w:rsidRDefault="001C33D6" w:rsidP="00F0458C">
            <w:pPr>
              <w:rPr>
                <w:sz w:val="18"/>
                <w:szCs w:val="18"/>
              </w:rPr>
            </w:pPr>
            <w:r w:rsidRPr="00732EED">
              <w:rPr>
                <w:sz w:val="18"/>
                <w:szCs w:val="18"/>
              </w:rPr>
              <w:t>66</w:t>
            </w:r>
          </w:p>
        </w:tc>
        <w:tc>
          <w:tcPr>
            <w:tcW w:w="418" w:type="pct"/>
          </w:tcPr>
          <w:p w14:paraId="108DD5FE" w14:textId="18E1801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Chala et al., 2022</w:t>
            </w:r>
          </w:p>
        </w:tc>
        <w:tc>
          <w:tcPr>
            <w:tcW w:w="488" w:type="pct"/>
            <w:gridSpan w:val="3"/>
          </w:tcPr>
          <w:p w14:paraId="2C572ECB" w14:textId="4597BA1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Interpretive </w:t>
            </w:r>
            <w:r w:rsidR="00AF0FF8" w:rsidRPr="00732EED">
              <w:rPr>
                <w:sz w:val="18"/>
                <w:szCs w:val="18"/>
              </w:rPr>
              <w:t>p</w:t>
            </w:r>
            <w:r w:rsidRPr="00732EED">
              <w:rPr>
                <w:sz w:val="18"/>
                <w:szCs w:val="18"/>
              </w:rPr>
              <w:t xml:space="preserve">henomenological </w:t>
            </w:r>
            <w:r w:rsidR="00AF0FF8" w:rsidRPr="00732EED">
              <w:rPr>
                <w:sz w:val="18"/>
                <w:szCs w:val="18"/>
              </w:rPr>
              <w:t>a</w:t>
            </w:r>
            <w:r w:rsidRPr="00732EED">
              <w:rPr>
                <w:sz w:val="18"/>
                <w:szCs w:val="18"/>
              </w:rPr>
              <w:t>nalysis (IPA)</w:t>
            </w:r>
          </w:p>
        </w:tc>
        <w:tc>
          <w:tcPr>
            <w:tcW w:w="488" w:type="pct"/>
            <w:gridSpan w:val="2"/>
          </w:tcPr>
          <w:p w14:paraId="27AADA1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15 participants with chronic low back pain</w:t>
            </w:r>
          </w:p>
        </w:tc>
        <w:tc>
          <w:tcPr>
            <w:tcW w:w="279" w:type="pct"/>
          </w:tcPr>
          <w:p w14:paraId="607D94F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Ethiopia</w:t>
            </w:r>
          </w:p>
        </w:tc>
        <w:tc>
          <w:tcPr>
            <w:tcW w:w="418" w:type="pct"/>
            <w:gridSpan w:val="2"/>
          </w:tcPr>
          <w:p w14:paraId="4CC8EE8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open coding and thematic analysis</w:t>
            </w:r>
          </w:p>
        </w:tc>
        <w:tc>
          <w:tcPr>
            <w:tcW w:w="488" w:type="pct"/>
            <w:gridSpan w:val="2"/>
          </w:tcPr>
          <w:p w14:paraId="53734AE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090D0039" w14:textId="701A1CAA"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Main themes included chronic low back pain affects life on a day-to-day basis</w:t>
            </w:r>
            <w:r w:rsidR="0045503D" w:rsidRPr="00732EED">
              <w:rPr>
                <w:sz w:val="18"/>
                <w:szCs w:val="18"/>
              </w:rPr>
              <w:t>;</w:t>
            </w:r>
            <w:r w:rsidRPr="00732EED">
              <w:rPr>
                <w:sz w:val="18"/>
                <w:szCs w:val="18"/>
              </w:rPr>
              <w:t xml:space="preserve"> the invisibility of pain results in misunderstanding, misjudgment, and loneliness</w:t>
            </w:r>
            <w:r w:rsidR="0045503D" w:rsidRPr="00732EED">
              <w:rPr>
                <w:sz w:val="18"/>
                <w:szCs w:val="18"/>
              </w:rPr>
              <w:t>;</w:t>
            </w:r>
            <w:r w:rsidRPr="00732EED">
              <w:rPr>
                <w:sz w:val="18"/>
                <w:szCs w:val="18"/>
              </w:rPr>
              <w:t xml:space="preserve"> the cause of pain is a mystery</w:t>
            </w:r>
            <w:r w:rsidR="0045503D" w:rsidRPr="00732EED">
              <w:rPr>
                <w:sz w:val="18"/>
                <w:szCs w:val="18"/>
              </w:rPr>
              <w:t>;</w:t>
            </w:r>
            <w:r w:rsidRPr="00732EED">
              <w:rPr>
                <w:sz w:val="18"/>
                <w:szCs w:val="18"/>
              </w:rPr>
              <w:t xml:space="preserve"> the search for a cure is a quest</w:t>
            </w:r>
            <w:r w:rsidR="0045503D" w:rsidRPr="00732EED">
              <w:rPr>
                <w:sz w:val="18"/>
                <w:szCs w:val="18"/>
              </w:rPr>
              <w:t>;</w:t>
            </w:r>
            <w:r w:rsidRPr="00732EED">
              <w:rPr>
                <w:sz w:val="18"/>
                <w:szCs w:val="18"/>
              </w:rPr>
              <w:t xml:space="preserve"> and each person has their own ways of managing, coping, and living with the pain.</w:t>
            </w:r>
          </w:p>
        </w:tc>
      </w:tr>
      <w:tr w:rsidR="00E31AA5" w:rsidRPr="00732EED" w14:paraId="2D14BC42"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4BA1F4DA" w14:textId="77777777" w:rsidR="001C33D6" w:rsidRPr="00732EED" w:rsidRDefault="001C33D6" w:rsidP="00F0458C">
            <w:pPr>
              <w:rPr>
                <w:sz w:val="18"/>
                <w:szCs w:val="18"/>
              </w:rPr>
            </w:pPr>
            <w:r w:rsidRPr="00732EED">
              <w:rPr>
                <w:sz w:val="18"/>
                <w:szCs w:val="18"/>
              </w:rPr>
              <w:t>67</w:t>
            </w:r>
          </w:p>
        </w:tc>
        <w:tc>
          <w:tcPr>
            <w:tcW w:w="418" w:type="pct"/>
          </w:tcPr>
          <w:p w14:paraId="3BCA4E22" w14:textId="68CA1FA6"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732EED">
              <w:rPr>
                <w:sz w:val="18"/>
                <w:szCs w:val="18"/>
              </w:rPr>
              <w:t>Kahere</w:t>
            </w:r>
            <w:proofErr w:type="spellEnd"/>
            <w:r w:rsidRPr="00732EED">
              <w:rPr>
                <w:sz w:val="18"/>
                <w:szCs w:val="18"/>
              </w:rPr>
              <w:t xml:space="preserve"> et </w:t>
            </w:r>
            <w:r w:rsidR="00F94452" w:rsidRPr="00732EED">
              <w:rPr>
                <w:sz w:val="18"/>
                <w:szCs w:val="18"/>
              </w:rPr>
              <w:t>al.,</w:t>
            </w:r>
            <w:r w:rsidR="00A96D33" w:rsidRPr="00732EED">
              <w:rPr>
                <w:sz w:val="18"/>
                <w:szCs w:val="18"/>
              </w:rPr>
              <w:t xml:space="preserve"> </w:t>
            </w:r>
            <w:r w:rsidRPr="00732EED">
              <w:rPr>
                <w:sz w:val="18"/>
                <w:szCs w:val="18"/>
              </w:rPr>
              <w:t>2022</w:t>
            </w:r>
          </w:p>
        </w:tc>
        <w:tc>
          <w:tcPr>
            <w:tcW w:w="488" w:type="pct"/>
            <w:gridSpan w:val="3"/>
          </w:tcPr>
          <w:p w14:paraId="5B243468" w14:textId="2D2D1EB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00B4033F" w:rsidRPr="00732EED">
              <w:rPr>
                <w:sz w:val="18"/>
                <w:szCs w:val="18"/>
              </w:rPr>
              <w:t>t</w:t>
            </w:r>
            <w:r w:rsidRPr="00732EED">
              <w:rPr>
                <w:sz w:val="18"/>
                <w:szCs w:val="18"/>
              </w:rPr>
              <w:t>udy</w:t>
            </w:r>
          </w:p>
        </w:tc>
        <w:tc>
          <w:tcPr>
            <w:tcW w:w="488" w:type="pct"/>
            <w:gridSpan w:val="2"/>
          </w:tcPr>
          <w:p w14:paraId="16FB739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15 participants on the barriers of accessing low back pain health services</w:t>
            </w:r>
          </w:p>
        </w:tc>
        <w:tc>
          <w:tcPr>
            <w:tcW w:w="279" w:type="pct"/>
          </w:tcPr>
          <w:p w14:paraId="478F3536"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South Africa</w:t>
            </w:r>
          </w:p>
        </w:tc>
        <w:tc>
          <w:tcPr>
            <w:tcW w:w="418" w:type="pct"/>
            <w:gridSpan w:val="2"/>
          </w:tcPr>
          <w:p w14:paraId="5BF9370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barrier-focused analysis</w:t>
            </w:r>
          </w:p>
        </w:tc>
        <w:tc>
          <w:tcPr>
            <w:tcW w:w="488" w:type="pct"/>
            <w:gridSpan w:val="2"/>
          </w:tcPr>
          <w:p w14:paraId="02C0DC4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3BCFC711" w14:textId="1426B2F8"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Barriers identified included travel, long waiting periods, shortage of personnel, poor infrastructural development, inadequate healthcare personnel, communication barrier</w:t>
            </w:r>
            <w:r w:rsidR="0045503D" w:rsidRPr="00732EED">
              <w:rPr>
                <w:sz w:val="18"/>
                <w:szCs w:val="18"/>
              </w:rPr>
              <w:t>s</w:t>
            </w:r>
            <w:r w:rsidRPr="00732EED">
              <w:rPr>
                <w:sz w:val="18"/>
                <w:szCs w:val="18"/>
              </w:rPr>
              <w:t>, social influence, beliefs around cause and effect, misdiagnosis, and inappropriate and/or ineffective treatment approaches.</w:t>
            </w:r>
          </w:p>
        </w:tc>
      </w:tr>
      <w:tr w:rsidR="00E31AA5" w:rsidRPr="00732EED" w14:paraId="621218A5"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0F86FBBB" w14:textId="77777777" w:rsidR="001C33D6" w:rsidRPr="00732EED" w:rsidRDefault="001C33D6" w:rsidP="00F0458C">
            <w:pPr>
              <w:rPr>
                <w:sz w:val="18"/>
                <w:szCs w:val="18"/>
              </w:rPr>
            </w:pPr>
            <w:r w:rsidRPr="00732EED">
              <w:rPr>
                <w:sz w:val="18"/>
                <w:szCs w:val="18"/>
              </w:rPr>
              <w:t>68</w:t>
            </w:r>
          </w:p>
        </w:tc>
        <w:tc>
          <w:tcPr>
            <w:tcW w:w="418" w:type="pct"/>
          </w:tcPr>
          <w:p w14:paraId="2553CB87" w14:textId="37000C2D"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Altun et al.,</w:t>
            </w:r>
            <w:r w:rsidR="00A96D33" w:rsidRPr="00732EED">
              <w:rPr>
                <w:sz w:val="18"/>
                <w:szCs w:val="18"/>
              </w:rPr>
              <w:t xml:space="preserve"> </w:t>
            </w:r>
            <w:r w:rsidRPr="00732EED">
              <w:rPr>
                <w:sz w:val="18"/>
                <w:szCs w:val="18"/>
              </w:rPr>
              <w:t>2023</w:t>
            </w:r>
          </w:p>
        </w:tc>
        <w:tc>
          <w:tcPr>
            <w:tcW w:w="488" w:type="pct"/>
            <w:gridSpan w:val="3"/>
          </w:tcPr>
          <w:p w14:paraId="1AB3CE91" w14:textId="17DFEEF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7F083FF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10 Assyrian women of a refugee background </w:t>
            </w:r>
            <w:r w:rsidRPr="00732EED">
              <w:rPr>
                <w:sz w:val="18"/>
                <w:szCs w:val="18"/>
              </w:rPr>
              <w:lastRenderedPageBreak/>
              <w:t>living with chronic pain</w:t>
            </w:r>
          </w:p>
        </w:tc>
        <w:tc>
          <w:tcPr>
            <w:tcW w:w="279" w:type="pct"/>
          </w:tcPr>
          <w:p w14:paraId="7A8A651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Australia</w:t>
            </w:r>
          </w:p>
        </w:tc>
        <w:tc>
          <w:tcPr>
            <w:tcW w:w="418" w:type="pct"/>
            <w:gridSpan w:val="2"/>
          </w:tcPr>
          <w:p w14:paraId="2A54B0C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Semi-structured interviews and review of field </w:t>
            </w:r>
            <w:r w:rsidRPr="00732EED">
              <w:rPr>
                <w:sz w:val="18"/>
                <w:szCs w:val="18"/>
              </w:rPr>
              <w:lastRenderedPageBreak/>
              <w:t xml:space="preserve">notes with thematic synthesis </w:t>
            </w:r>
          </w:p>
        </w:tc>
        <w:tc>
          <w:tcPr>
            <w:tcW w:w="488" w:type="pct"/>
            <w:gridSpan w:val="2"/>
          </w:tcPr>
          <w:p w14:paraId="0E0E3CD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Phenomenological analysis</w:t>
            </w:r>
          </w:p>
        </w:tc>
        <w:tc>
          <w:tcPr>
            <w:tcW w:w="1813" w:type="pct"/>
          </w:tcPr>
          <w:p w14:paraId="53403A8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five major themes: the story of pain, the experience of help seeking in Australia and their home </w:t>
            </w:r>
            <w:r w:rsidRPr="00732EED">
              <w:rPr>
                <w:sz w:val="18"/>
                <w:szCs w:val="18"/>
              </w:rPr>
              <w:lastRenderedPageBreak/>
              <w:t>country, factors shaping the ability to access appropriate care, support seeking systems, and influence of culture and gender roles.</w:t>
            </w:r>
          </w:p>
        </w:tc>
      </w:tr>
      <w:tr w:rsidR="00E31AA5" w:rsidRPr="00732EED" w14:paraId="5D3D5ECC"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6B485658" w14:textId="77777777" w:rsidR="001C33D6" w:rsidRPr="00732EED" w:rsidRDefault="001C33D6" w:rsidP="00F0458C">
            <w:pPr>
              <w:rPr>
                <w:sz w:val="18"/>
                <w:szCs w:val="18"/>
              </w:rPr>
            </w:pPr>
            <w:r w:rsidRPr="00732EED">
              <w:rPr>
                <w:sz w:val="18"/>
                <w:szCs w:val="18"/>
              </w:rPr>
              <w:lastRenderedPageBreak/>
              <w:t>69</w:t>
            </w:r>
          </w:p>
        </w:tc>
        <w:tc>
          <w:tcPr>
            <w:tcW w:w="418" w:type="pct"/>
          </w:tcPr>
          <w:p w14:paraId="5125571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Joyce et al., 2023</w:t>
            </w:r>
          </w:p>
        </w:tc>
        <w:tc>
          <w:tcPr>
            <w:tcW w:w="488" w:type="pct"/>
            <w:gridSpan w:val="3"/>
          </w:tcPr>
          <w:p w14:paraId="208B079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interview study</w:t>
            </w:r>
          </w:p>
        </w:tc>
        <w:tc>
          <w:tcPr>
            <w:tcW w:w="488" w:type="pct"/>
            <w:gridSpan w:val="2"/>
          </w:tcPr>
          <w:p w14:paraId="10AE02F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12 underserved adults with chronic low back pain </w:t>
            </w:r>
          </w:p>
        </w:tc>
        <w:tc>
          <w:tcPr>
            <w:tcW w:w="279" w:type="pct"/>
          </w:tcPr>
          <w:p w14:paraId="7EB4ADE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United States</w:t>
            </w:r>
          </w:p>
        </w:tc>
        <w:tc>
          <w:tcPr>
            <w:tcW w:w="418" w:type="pct"/>
            <w:gridSpan w:val="2"/>
          </w:tcPr>
          <w:p w14:paraId="7480272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analysis</w:t>
            </w:r>
          </w:p>
        </w:tc>
        <w:tc>
          <w:tcPr>
            <w:tcW w:w="488" w:type="pct"/>
            <w:gridSpan w:val="2"/>
          </w:tcPr>
          <w:p w14:paraId="736B9BEC" w14:textId="61049258"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Bandura’s </w:t>
            </w:r>
            <w:r w:rsidR="00AF0FF8" w:rsidRPr="00732EED">
              <w:rPr>
                <w:sz w:val="18"/>
                <w:szCs w:val="18"/>
              </w:rPr>
              <w:t>s</w:t>
            </w:r>
            <w:r w:rsidRPr="00732EED">
              <w:rPr>
                <w:sz w:val="18"/>
                <w:szCs w:val="18"/>
              </w:rPr>
              <w:t>elf-</w:t>
            </w:r>
            <w:r w:rsidR="00AF0FF8" w:rsidRPr="00732EED">
              <w:rPr>
                <w:sz w:val="18"/>
                <w:szCs w:val="18"/>
              </w:rPr>
              <w:t>e</w:t>
            </w:r>
            <w:r w:rsidRPr="00732EED">
              <w:rPr>
                <w:sz w:val="18"/>
                <w:szCs w:val="18"/>
              </w:rPr>
              <w:t xml:space="preserve">fficacy </w:t>
            </w:r>
            <w:r w:rsidR="00AF0FF8" w:rsidRPr="00732EED">
              <w:rPr>
                <w:sz w:val="18"/>
                <w:szCs w:val="18"/>
              </w:rPr>
              <w:t>t</w:t>
            </w:r>
            <w:r w:rsidRPr="00732EED">
              <w:rPr>
                <w:sz w:val="18"/>
                <w:szCs w:val="18"/>
              </w:rPr>
              <w:t>heory, identification of key themes</w:t>
            </w:r>
          </w:p>
        </w:tc>
        <w:tc>
          <w:tcPr>
            <w:tcW w:w="1813" w:type="pct"/>
          </w:tcPr>
          <w:p w14:paraId="02499DF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Identified three major themes: 1) Empowerment through education and exercise, 2) Interconnectedness with providers and other patients, and 3) Improvements in pain, body mechanics, and mood. Some participants experienced limited improvement due to therapist disengagement.</w:t>
            </w:r>
          </w:p>
        </w:tc>
      </w:tr>
      <w:tr w:rsidR="00E31AA5" w:rsidRPr="00732EED" w14:paraId="4FCF716A"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166AAB0E" w14:textId="77777777" w:rsidR="001C33D6" w:rsidRPr="00732EED" w:rsidRDefault="001C33D6" w:rsidP="00F0458C">
            <w:pPr>
              <w:rPr>
                <w:sz w:val="18"/>
                <w:szCs w:val="18"/>
              </w:rPr>
            </w:pPr>
            <w:r w:rsidRPr="00732EED">
              <w:rPr>
                <w:sz w:val="18"/>
                <w:szCs w:val="18"/>
              </w:rPr>
              <w:t>70</w:t>
            </w:r>
          </w:p>
        </w:tc>
        <w:tc>
          <w:tcPr>
            <w:tcW w:w="418" w:type="pct"/>
          </w:tcPr>
          <w:p w14:paraId="12259557" w14:textId="076F160F"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Peppard et al.,</w:t>
            </w:r>
            <w:r w:rsidR="00A96D33" w:rsidRPr="00732EED">
              <w:rPr>
                <w:sz w:val="18"/>
                <w:szCs w:val="18"/>
              </w:rPr>
              <w:t xml:space="preserve"> </w:t>
            </w:r>
            <w:r w:rsidRPr="00732EED">
              <w:rPr>
                <w:sz w:val="18"/>
                <w:szCs w:val="18"/>
              </w:rPr>
              <w:t>2023</w:t>
            </w:r>
          </w:p>
        </w:tc>
        <w:tc>
          <w:tcPr>
            <w:tcW w:w="488" w:type="pct"/>
            <w:gridSpan w:val="3"/>
          </w:tcPr>
          <w:p w14:paraId="46DEDDB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6EEC3DF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13 active duty, retired, and veteran women dealing with chronic pain</w:t>
            </w:r>
          </w:p>
        </w:tc>
        <w:tc>
          <w:tcPr>
            <w:tcW w:w="279" w:type="pct"/>
          </w:tcPr>
          <w:p w14:paraId="78115AE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US</w:t>
            </w:r>
          </w:p>
        </w:tc>
        <w:tc>
          <w:tcPr>
            <w:tcW w:w="418" w:type="pct"/>
            <w:gridSpan w:val="2"/>
          </w:tcPr>
          <w:p w14:paraId="4CD968F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with van Manen’s approach</w:t>
            </w:r>
          </w:p>
        </w:tc>
        <w:tc>
          <w:tcPr>
            <w:tcW w:w="488" w:type="pct"/>
            <w:gridSpan w:val="2"/>
          </w:tcPr>
          <w:p w14:paraId="4B9DDC1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02108BCA" w14:textId="4BADF9F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Eight themes</w:t>
            </w:r>
            <w:r w:rsidR="0045503D" w:rsidRPr="00732EED">
              <w:rPr>
                <w:sz w:val="18"/>
                <w:szCs w:val="18"/>
              </w:rPr>
              <w:t xml:space="preserve"> were reported as follows</w:t>
            </w:r>
            <w:r w:rsidRPr="00732EED">
              <w:rPr>
                <w:sz w:val="18"/>
                <w:szCs w:val="18"/>
              </w:rPr>
              <w:t>: (1) chronic pain is a frustrating, persistent, daily, and hourly struggle; (2) resilience in living with chronic pain is the new normal; (3) mission first and the impact of invisible pain; (4) self-care management and internal locus of control with nonpharmacological therapies; (5) pain accepted and managed to improve quality of life; (6) coronavirus disease 2019 diminished social interactions; (7) pain of sexual trauma is not reported; and (8) disparities in health care due to self-perception of provider bias as pain is not understood.</w:t>
            </w:r>
          </w:p>
        </w:tc>
      </w:tr>
      <w:tr w:rsidR="00E31AA5" w:rsidRPr="00732EED" w14:paraId="5500299B"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643ECFB7" w14:textId="77777777" w:rsidR="001C33D6" w:rsidRPr="00732EED" w:rsidRDefault="001C33D6" w:rsidP="00F0458C">
            <w:pPr>
              <w:rPr>
                <w:sz w:val="18"/>
                <w:szCs w:val="18"/>
              </w:rPr>
            </w:pPr>
            <w:r w:rsidRPr="00732EED">
              <w:rPr>
                <w:sz w:val="18"/>
                <w:szCs w:val="18"/>
              </w:rPr>
              <w:t>71</w:t>
            </w:r>
          </w:p>
        </w:tc>
        <w:tc>
          <w:tcPr>
            <w:tcW w:w="418" w:type="pct"/>
          </w:tcPr>
          <w:p w14:paraId="58B39903" w14:textId="6C5C561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Sun </w:t>
            </w:r>
            <w:r w:rsidR="00F72C96" w:rsidRPr="00732EED">
              <w:rPr>
                <w:sz w:val="18"/>
                <w:szCs w:val="18"/>
              </w:rPr>
              <w:t xml:space="preserve">et al., </w:t>
            </w:r>
            <w:r w:rsidRPr="00732EED">
              <w:rPr>
                <w:sz w:val="18"/>
                <w:szCs w:val="18"/>
              </w:rPr>
              <w:t>2023</w:t>
            </w:r>
          </w:p>
        </w:tc>
        <w:tc>
          <w:tcPr>
            <w:tcW w:w="488" w:type="pct"/>
            <w:gridSpan w:val="3"/>
          </w:tcPr>
          <w:p w14:paraId="7D01F9C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Meta-ethnography</w:t>
            </w:r>
          </w:p>
        </w:tc>
        <w:tc>
          <w:tcPr>
            <w:tcW w:w="488" w:type="pct"/>
            <w:gridSpan w:val="2"/>
          </w:tcPr>
          <w:p w14:paraId="4FD7500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Individuals with chronic illnesses and their caregivers regarding hospital-to-home transitions</w:t>
            </w:r>
          </w:p>
        </w:tc>
        <w:tc>
          <w:tcPr>
            <w:tcW w:w="279" w:type="pct"/>
          </w:tcPr>
          <w:p w14:paraId="12252FF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Studies from multiple countries</w:t>
            </w:r>
          </w:p>
        </w:tc>
        <w:tc>
          <w:tcPr>
            <w:tcW w:w="418" w:type="pct"/>
            <w:gridSpan w:val="2"/>
          </w:tcPr>
          <w:p w14:paraId="37AE35B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Thematic synthesis of seventeen qualitative studies; (CASP) qualitative research appraisal tool.</w:t>
            </w:r>
          </w:p>
        </w:tc>
        <w:tc>
          <w:tcPr>
            <w:tcW w:w="488" w:type="pct"/>
            <w:gridSpan w:val="2"/>
          </w:tcPr>
          <w:p w14:paraId="31500B5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A narrative synthesis was conducted informed by </w:t>
            </w:r>
            <w:proofErr w:type="spellStart"/>
            <w:r w:rsidRPr="00732EED">
              <w:rPr>
                <w:sz w:val="18"/>
                <w:szCs w:val="18"/>
              </w:rPr>
              <w:t>Meleis's</w:t>
            </w:r>
            <w:proofErr w:type="spellEnd"/>
            <w:r w:rsidRPr="00732EED">
              <w:rPr>
                <w:sz w:val="18"/>
                <w:szCs w:val="18"/>
              </w:rPr>
              <w:t xml:space="preserve"> Theory of Transition.</w:t>
            </w:r>
          </w:p>
        </w:tc>
        <w:tc>
          <w:tcPr>
            <w:tcW w:w="1813" w:type="pct"/>
          </w:tcPr>
          <w:p w14:paraId="66D00296" w14:textId="2966A2B4"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Identified three barriers to transitional care</w:t>
            </w:r>
            <w:r w:rsidR="0045503D" w:rsidRPr="00732EED">
              <w:rPr>
                <w:sz w:val="18"/>
                <w:szCs w:val="18"/>
              </w:rPr>
              <w:t xml:space="preserve"> as follows</w:t>
            </w:r>
            <w:r w:rsidRPr="00732EED">
              <w:rPr>
                <w:sz w:val="18"/>
                <w:szCs w:val="18"/>
              </w:rPr>
              <w:t xml:space="preserve">: (1) communication barriers, (2) location and rural areas, </w:t>
            </w:r>
            <w:r w:rsidR="0045503D" w:rsidRPr="00732EED">
              <w:rPr>
                <w:sz w:val="18"/>
                <w:szCs w:val="18"/>
              </w:rPr>
              <w:t xml:space="preserve">and </w:t>
            </w:r>
            <w:r w:rsidRPr="00732EED">
              <w:rPr>
                <w:sz w:val="18"/>
                <w:szCs w:val="18"/>
              </w:rPr>
              <w:t xml:space="preserve">(3) psychological stress and </w:t>
            </w:r>
            <w:r w:rsidR="0045503D" w:rsidRPr="00732EED">
              <w:rPr>
                <w:sz w:val="18"/>
                <w:szCs w:val="18"/>
              </w:rPr>
              <w:t xml:space="preserve">two </w:t>
            </w:r>
            <w:r w:rsidRPr="00732EED">
              <w:rPr>
                <w:sz w:val="18"/>
                <w:szCs w:val="18"/>
              </w:rPr>
              <w:t>facilitators</w:t>
            </w:r>
            <w:r w:rsidR="0045503D" w:rsidRPr="00732EED">
              <w:rPr>
                <w:sz w:val="18"/>
                <w:szCs w:val="18"/>
              </w:rPr>
              <w:t xml:space="preserve"> as follows</w:t>
            </w:r>
            <w:r w:rsidRPr="00732EED">
              <w:rPr>
                <w:sz w:val="18"/>
                <w:szCs w:val="18"/>
              </w:rPr>
              <w:t xml:space="preserve"> (1) family caregiver support and (2) nurse-provided patient-centered care and care coordination</w:t>
            </w:r>
          </w:p>
        </w:tc>
      </w:tr>
      <w:tr w:rsidR="00E31AA5" w:rsidRPr="00732EED" w14:paraId="513AA560"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0248F57B" w14:textId="77777777" w:rsidR="001C33D6" w:rsidRPr="00732EED" w:rsidRDefault="001C33D6" w:rsidP="00F0458C">
            <w:pPr>
              <w:rPr>
                <w:sz w:val="18"/>
                <w:szCs w:val="18"/>
              </w:rPr>
            </w:pPr>
            <w:r w:rsidRPr="00732EED">
              <w:rPr>
                <w:sz w:val="18"/>
                <w:szCs w:val="18"/>
              </w:rPr>
              <w:t>72</w:t>
            </w:r>
          </w:p>
        </w:tc>
        <w:tc>
          <w:tcPr>
            <w:tcW w:w="418" w:type="pct"/>
          </w:tcPr>
          <w:p w14:paraId="43FE1ED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van Rysewyk et al., 2023</w:t>
            </w:r>
          </w:p>
        </w:tc>
        <w:tc>
          <w:tcPr>
            <w:tcW w:w="488" w:type="pct"/>
            <w:gridSpan w:val="3"/>
          </w:tcPr>
          <w:p w14:paraId="06F0F51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Meta-ethnography</w:t>
            </w:r>
          </w:p>
        </w:tc>
        <w:tc>
          <w:tcPr>
            <w:tcW w:w="488" w:type="pct"/>
            <w:gridSpan w:val="2"/>
          </w:tcPr>
          <w:p w14:paraId="64F6866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Individuals with chronic non-cancer pain (CNCP)</w:t>
            </w:r>
          </w:p>
        </w:tc>
        <w:tc>
          <w:tcPr>
            <w:tcW w:w="279" w:type="pct"/>
          </w:tcPr>
          <w:p w14:paraId="608F3FF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United Kingdom</w:t>
            </w:r>
          </w:p>
        </w:tc>
        <w:tc>
          <w:tcPr>
            <w:tcW w:w="418" w:type="pct"/>
            <w:gridSpan w:val="2"/>
          </w:tcPr>
          <w:p w14:paraId="7294B333" w14:textId="52B602DE" w:rsidR="001C33D6" w:rsidRPr="00732EED" w:rsidRDefault="00D611C9"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w:t>
            </w:r>
            <w:r w:rsidR="001C33D6" w:rsidRPr="00732EED">
              <w:rPr>
                <w:sz w:val="18"/>
                <w:szCs w:val="18"/>
              </w:rPr>
              <w:t>hematic qualitative analysis, lived experience, pain perception, and patient-centered perspectives</w:t>
            </w:r>
          </w:p>
        </w:tc>
        <w:tc>
          <w:tcPr>
            <w:tcW w:w="488" w:type="pct"/>
            <w:gridSpan w:val="2"/>
          </w:tcPr>
          <w:p w14:paraId="4DABA3A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Mega-ethnography,</w:t>
            </w:r>
          </w:p>
        </w:tc>
        <w:tc>
          <w:tcPr>
            <w:tcW w:w="1813" w:type="pct"/>
          </w:tcPr>
          <w:p w14:paraId="4CB184A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Identified eight key themes related to the experience of chronic pain, including emotional burden, identity changes, social implications, and struggles with pain management. A survey validated these themes among UK pain community members.</w:t>
            </w:r>
          </w:p>
        </w:tc>
      </w:tr>
      <w:tr w:rsidR="00E31AA5" w:rsidRPr="00732EED" w14:paraId="3DC8932F"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51E7423E" w14:textId="77777777" w:rsidR="001C33D6" w:rsidRPr="00732EED" w:rsidRDefault="001C33D6" w:rsidP="00F0458C">
            <w:pPr>
              <w:rPr>
                <w:sz w:val="18"/>
                <w:szCs w:val="18"/>
              </w:rPr>
            </w:pPr>
            <w:r w:rsidRPr="00732EED">
              <w:rPr>
                <w:sz w:val="18"/>
                <w:szCs w:val="18"/>
              </w:rPr>
              <w:t>73</w:t>
            </w:r>
          </w:p>
        </w:tc>
        <w:tc>
          <w:tcPr>
            <w:tcW w:w="418" w:type="pct"/>
          </w:tcPr>
          <w:p w14:paraId="06FDE29A" w14:textId="2D60BCB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Albán-Reyes et al.,</w:t>
            </w:r>
            <w:r w:rsidR="00A96D33" w:rsidRPr="00732EED">
              <w:rPr>
                <w:sz w:val="18"/>
                <w:szCs w:val="18"/>
              </w:rPr>
              <w:t xml:space="preserve"> </w:t>
            </w:r>
            <w:r w:rsidRPr="00732EED">
              <w:rPr>
                <w:sz w:val="18"/>
                <w:szCs w:val="18"/>
              </w:rPr>
              <w:t>2024</w:t>
            </w:r>
          </w:p>
        </w:tc>
        <w:tc>
          <w:tcPr>
            <w:tcW w:w="488" w:type="pct"/>
            <w:gridSpan w:val="3"/>
          </w:tcPr>
          <w:p w14:paraId="54EAEFB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interview study</w:t>
            </w:r>
          </w:p>
        </w:tc>
        <w:tc>
          <w:tcPr>
            <w:tcW w:w="488" w:type="pct"/>
            <w:gridSpan w:val="2"/>
          </w:tcPr>
          <w:p w14:paraId="53FBC53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17 professional ballet dancers from </w:t>
            </w:r>
            <w:r w:rsidRPr="00732EED">
              <w:rPr>
                <w:sz w:val="18"/>
                <w:szCs w:val="18"/>
              </w:rPr>
              <w:lastRenderedPageBreak/>
              <w:t>Colombia with chronic pain and their coping strategies</w:t>
            </w:r>
          </w:p>
        </w:tc>
        <w:tc>
          <w:tcPr>
            <w:tcW w:w="279" w:type="pct"/>
          </w:tcPr>
          <w:p w14:paraId="7CC947C9"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Colombia</w:t>
            </w:r>
          </w:p>
        </w:tc>
        <w:tc>
          <w:tcPr>
            <w:tcW w:w="418" w:type="pct"/>
            <w:gridSpan w:val="2"/>
          </w:tcPr>
          <w:p w14:paraId="50D3D97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w:t>
            </w:r>
          </w:p>
        </w:tc>
        <w:tc>
          <w:tcPr>
            <w:tcW w:w="488" w:type="pct"/>
            <w:gridSpan w:val="2"/>
          </w:tcPr>
          <w:p w14:paraId="6A497B6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Interview analysis</w:t>
            </w:r>
          </w:p>
        </w:tc>
        <w:tc>
          <w:tcPr>
            <w:tcW w:w="1813" w:type="pct"/>
          </w:tcPr>
          <w:p w14:paraId="2010C0FE" w14:textId="04AD1D8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dancers reported frequent injuries resulting in chronic sprains, back pain, disc herniation, and other pains often </w:t>
            </w:r>
            <w:r w:rsidRPr="00732EED">
              <w:rPr>
                <w:sz w:val="18"/>
                <w:szCs w:val="18"/>
              </w:rPr>
              <w:lastRenderedPageBreak/>
              <w:t>attributed to poor strengthening and imposition of high physical loads. To cope with the pain</w:t>
            </w:r>
            <w:r w:rsidR="0045503D" w:rsidRPr="00732EED">
              <w:rPr>
                <w:sz w:val="18"/>
                <w:szCs w:val="18"/>
              </w:rPr>
              <w:t>,</w:t>
            </w:r>
            <w:r w:rsidRPr="00732EED">
              <w:rPr>
                <w:sz w:val="18"/>
                <w:szCs w:val="18"/>
              </w:rPr>
              <w:t xml:space="preserve"> the dancers </w:t>
            </w:r>
            <w:r w:rsidR="0045503D" w:rsidRPr="00732EED">
              <w:rPr>
                <w:sz w:val="18"/>
                <w:szCs w:val="18"/>
              </w:rPr>
              <w:t>mostly sought</w:t>
            </w:r>
            <w:r w:rsidRPr="00732EED">
              <w:rPr>
                <w:sz w:val="18"/>
                <w:szCs w:val="18"/>
              </w:rPr>
              <w:t xml:space="preserve"> strategies for self-affirmation and motivation to continue their profession.</w:t>
            </w:r>
          </w:p>
        </w:tc>
      </w:tr>
      <w:tr w:rsidR="00E31AA5" w:rsidRPr="00732EED" w14:paraId="5D494E20"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52C353C8" w14:textId="77777777" w:rsidR="001C33D6" w:rsidRPr="00732EED" w:rsidRDefault="001C33D6" w:rsidP="00F0458C">
            <w:pPr>
              <w:rPr>
                <w:sz w:val="18"/>
                <w:szCs w:val="18"/>
              </w:rPr>
            </w:pPr>
            <w:r w:rsidRPr="00732EED">
              <w:rPr>
                <w:sz w:val="18"/>
                <w:szCs w:val="18"/>
              </w:rPr>
              <w:lastRenderedPageBreak/>
              <w:t>74</w:t>
            </w:r>
          </w:p>
        </w:tc>
        <w:tc>
          <w:tcPr>
            <w:tcW w:w="418" w:type="pct"/>
          </w:tcPr>
          <w:p w14:paraId="70AE581E" w14:textId="733500E9"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Bruger et al.,</w:t>
            </w:r>
            <w:r w:rsidR="00A96D33" w:rsidRPr="00732EED">
              <w:rPr>
                <w:sz w:val="18"/>
                <w:szCs w:val="18"/>
              </w:rPr>
              <w:t xml:space="preserve"> </w:t>
            </w:r>
            <w:r w:rsidRPr="00732EED">
              <w:rPr>
                <w:sz w:val="18"/>
                <w:szCs w:val="18"/>
              </w:rPr>
              <w:t>2024</w:t>
            </w:r>
          </w:p>
        </w:tc>
        <w:tc>
          <w:tcPr>
            <w:tcW w:w="488" w:type="pct"/>
            <w:gridSpan w:val="3"/>
          </w:tcPr>
          <w:p w14:paraId="6B776C75" w14:textId="2D4A800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Interpretative </w:t>
            </w:r>
            <w:r w:rsidR="00AF0FF8" w:rsidRPr="00732EED">
              <w:rPr>
                <w:sz w:val="18"/>
                <w:szCs w:val="18"/>
              </w:rPr>
              <w:t>p</w:t>
            </w:r>
            <w:r w:rsidRPr="00732EED">
              <w:rPr>
                <w:sz w:val="18"/>
                <w:szCs w:val="18"/>
              </w:rPr>
              <w:t xml:space="preserve">henomenological </w:t>
            </w:r>
            <w:r w:rsidR="00AF0FF8" w:rsidRPr="00732EED">
              <w:rPr>
                <w:sz w:val="18"/>
                <w:szCs w:val="18"/>
              </w:rPr>
              <w:t>a</w:t>
            </w:r>
            <w:r w:rsidRPr="00732EED">
              <w:rPr>
                <w:sz w:val="18"/>
                <w:szCs w:val="18"/>
              </w:rPr>
              <w:t>nalysis (IPA)</w:t>
            </w:r>
          </w:p>
        </w:tc>
        <w:tc>
          <w:tcPr>
            <w:tcW w:w="488" w:type="pct"/>
            <w:gridSpan w:val="2"/>
          </w:tcPr>
          <w:p w14:paraId="5F88C48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8 working age UK stroke survivors with chronic post-stroke pain</w:t>
            </w:r>
          </w:p>
        </w:tc>
        <w:tc>
          <w:tcPr>
            <w:tcW w:w="279" w:type="pct"/>
          </w:tcPr>
          <w:p w14:paraId="1CE965C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UK</w:t>
            </w:r>
          </w:p>
        </w:tc>
        <w:tc>
          <w:tcPr>
            <w:tcW w:w="418" w:type="pct"/>
            <w:gridSpan w:val="2"/>
          </w:tcPr>
          <w:p w14:paraId="40F1AC1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Semi-structured interviews with thematic synthesis </w:t>
            </w:r>
          </w:p>
        </w:tc>
        <w:tc>
          <w:tcPr>
            <w:tcW w:w="488" w:type="pct"/>
            <w:gridSpan w:val="2"/>
          </w:tcPr>
          <w:p w14:paraId="126344A0" w14:textId="1E1E523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a</w:t>
            </w:r>
            <w:r w:rsidRPr="00732EED">
              <w:rPr>
                <w:sz w:val="18"/>
                <w:szCs w:val="18"/>
              </w:rPr>
              <w:t>nalysis</w:t>
            </w:r>
          </w:p>
        </w:tc>
        <w:tc>
          <w:tcPr>
            <w:tcW w:w="1813" w:type="pct"/>
          </w:tcPr>
          <w:p w14:paraId="054C5AF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identified three group experiential themes: the solitude of the pain experience, unsatisfactory healthcare and the need for self-care, and development of pain acceptance. </w:t>
            </w:r>
          </w:p>
        </w:tc>
      </w:tr>
      <w:tr w:rsidR="00E31AA5" w:rsidRPr="00732EED" w14:paraId="18B63760"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60471084" w14:textId="77777777" w:rsidR="001C33D6" w:rsidRPr="00732EED" w:rsidRDefault="001C33D6" w:rsidP="00F0458C">
            <w:pPr>
              <w:rPr>
                <w:sz w:val="18"/>
                <w:szCs w:val="18"/>
              </w:rPr>
            </w:pPr>
            <w:r w:rsidRPr="00732EED">
              <w:rPr>
                <w:sz w:val="18"/>
                <w:szCs w:val="18"/>
              </w:rPr>
              <w:t>75</w:t>
            </w:r>
          </w:p>
        </w:tc>
        <w:tc>
          <w:tcPr>
            <w:tcW w:w="418" w:type="pct"/>
          </w:tcPr>
          <w:p w14:paraId="514A1395" w14:textId="0C45521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Bullo et al.,</w:t>
            </w:r>
            <w:r w:rsidR="00A96D33" w:rsidRPr="00732EED">
              <w:rPr>
                <w:sz w:val="18"/>
                <w:szCs w:val="18"/>
              </w:rPr>
              <w:t xml:space="preserve"> </w:t>
            </w:r>
            <w:r w:rsidRPr="00732EED">
              <w:rPr>
                <w:sz w:val="18"/>
                <w:szCs w:val="18"/>
              </w:rPr>
              <w:t>2024</w:t>
            </w:r>
          </w:p>
        </w:tc>
        <w:tc>
          <w:tcPr>
            <w:tcW w:w="488" w:type="pct"/>
            <w:gridSpan w:val="3"/>
          </w:tcPr>
          <w:p w14:paraId="21DE25E7" w14:textId="305784F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Interpretive </w:t>
            </w:r>
            <w:r w:rsidR="00AF0FF8" w:rsidRPr="00732EED">
              <w:rPr>
                <w:sz w:val="18"/>
                <w:szCs w:val="18"/>
              </w:rPr>
              <w:t>p</w:t>
            </w:r>
            <w:r w:rsidRPr="00732EED">
              <w:rPr>
                <w:sz w:val="18"/>
                <w:szCs w:val="18"/>
              </w:rPr>
              <w:t xml:space="preserve">henomenological </w:t>
            </w:r>
            <w:r w:rsidR="00AF0FF8" w:rsidRPr="00732EED">
              <w:rPr>
                <w:sz w:val="18"/>
                <w:szCs w:val="18"/>
              </w:rPr>
              <w:t>a</w:t>
            </w:r>
            <w:r w:rsidRPr="00732EED">
              <w:rPr>
                <w:sz w:val="18"/>
                <w:szCs w:val="18"/>
              </w:rPr>
              <w:t>nalysis (IPA)</w:t>
            </w:r>
          </w:p>
        </w:tc>
        <w:tc>
          <w:tcPr>
            <w:tcW w:w="488" w:type="pct"/>
            <w:gridSpan w:val="2"/>
          </w:tcPr>
          <w:p w14:paraId="6260E289"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10 women in two focus groups experiencing chronic pain secondary to endometriosis</w:t>
            </w:r>
          </w:p>
        </w:tc>
        <w:tc>
          <w:tcPr>
            <w:tcW w:w="279" w:type="pct"/>
          </w:tcPr>
          <w:p w14:paraId="39DF96E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UK</w:t>
            </w:r>
          </w:p>
        </w:tc>
        <w:tc>
          <w:tcPr>
            <w:tcW w:w="418" w:type="pct"/>
            <w:gridSpan w:val="2"/>
          </w:tcPr>
          <w:p w14:paraId="51AC324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conceptual metaphor and metonymy analysis to examine visual representations of endometriosis pain</w:t>
            </w:r>
          </w:p>
        </w:tc>
        <w:tc>
          <w:tcPr>
            <w:tcW w:w="488" w:type="pct"/>
            <w:gridSpan w:val="2"/>
          </w:tcPr>
          <w:p w14:paraId="5611568F" w14:textId="2895047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a</w:t>
            </w:r>
            <w:r w:rsidRPr="00732EED">
              <w:rPr>
                <w:sz w:val="18"/>
                <w:szCs w:val="18"/>
              </w:rPr>
              <w:t>nalysis</w:t>
            </w:r>
          </w:p>
        </w:tc>
        <w:tc>
          <w:tcPr>
            <w:tcW w:w="1813" w:type="pct"/>
          </w:tcPr>
          <w:p w14:paraId="72328F74" w14:textId="64A7A50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identified the overarching theme being </w:t>
            </w:r>
            <w:r w:rsidR="0045503D" w:rsidRPr="00732EED">
              <w:rPr>
                <w:sz w:val="18"/>
                <w:szCs w:val="18"/>
              </w:rPr>
              <w:t>“</w:t>
            </w:r>
            <w:r w:rsidRPr="00732EED">
              <w:rPr>
                <w:sz w:val="18"/>
                <w:szCs w:val="18"/>
              </w:rPr>
              <w:t>Pain as physical violence</w:t>
            </w:r>
            <w:r w:rsidR="0045503D" w:rsidRPr="00732EED">
              <w:rPr>
                <w:sz w:val="18"/>
                <w:szCs w:val="18"/>
              </w:rPr>
              <w:t>”</w:t>
            </w:r>
            <w:r w:rsidRPr="00732EED">
              <w:rPr>
                <w:sz w:val="18"/>
                <w:szCs w:val="18"/>
              </w:rPr>
              <w:t xml:space="preserve"> with subthemes including color as emotional representation, texture as sensory qualities, and materials as sensation. </w:t>
            </w:r>
          </w:p>
        </w:tc>
      </w:tr>
      <w:tr w:rsidR="00E31AA5" w:rsidRPr="00732EED" w14:paraId="0A50BE25"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21771673" w14:textId="77777777" w:rsidR="001C33D6" w:rsidRPr="00732EED" w:rsidRDefault="001C33D6" w:rsidP="00F0458C">
            <w:pPr>
              <w:rPr>
                <w:sz w:val="18"/>
                <w:szCs w:val="18"/>
              </w:rPr>
            </w:pPr>
            <w:r w:rsidRPr="00732EED">
              <w:rPr>
                <w:sz w:val="18"/>
                <w:szCs w:val="18"/>
              </w:rPr>
              <w:t>76</w:t>
            </w:r>
          </w:p>
        </w:tc>
        <w:tc>
          <w:tcPr>
            <w:tcW w:w="418" w:type="pct"/>
          </w:tcPr>
          <w:p w14:paraId="70A4F29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Gaber et al., 2024</w:t>
            </w:r>
          </w:p>
        </w:tc>
        <w:tc>
          <w:tcPr>
            <w:tcW w:w="488" w:type="pct"/>
            <w:gridSpan w:val="3"/>
          </w:tcPr>
          <w:p w14:paraId="02FABF1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Meta-ethnography</w:t>
            </w:r>
          </w:p>
        </w:tc>
        <w:tc>
          <w:tcPr>
            <w:tcW w:w="488" w:type="pct"/>
            <w:gridSpan w:val="2"/>
          </w:tcPr>
          <w:p w14:paraId="17F163DC" w14:textId="4416BE4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Older adults living in long-term care facilities</w:t>
            </w:r>
          </w:p>
        </w:tc>
        <w:tc>
          <w:tcPr>
            <w:tcW w:w="279" w:type="pct"/>
          </w:tcPr>
          <w:p w14:paraId="2290AD0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Studies from multiple countries</w:t>
            </w:r>
          </w:p>
        </w:tc>
        <w:tc>
          <w:tcPr>
            <w:tcW w:w="418" w:type="pct"/>
            <w:gridSpan w:val="2"/>
          </w:tcPr>
          <w:p w14:paraId="14721970" w14:textId="378E1D22"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Studies were appraised for their quality and validation using the Critical Appraisal Skill Program (CASP), followed </w:t>
            </w:r>
            <w:proofErr w:type="spellStart"/>
            <w:r w:rsidRPr="00732EED">
              <w:rPr>
                <w:sz w:val="18"/>
                <w:szCs w:val="18"/>
              </w:rPr>
              <w:t>eMERGe</w:t>
            </w:r>
            <w:proofErr w:type="spellEnd"/>
            <w:r w:rsidRPr="00732EED">
              <w:rPr>
                <w:sz w:val="18"/>
                <w:szCs w:val="18"/>
              </w:rPr>
              <w:t xml:space="preserve"> guidelines</w:t>
            </w:r>
          </w:p>
        </w:tc>
        <w:tc>
          <w:tcPr>
            <w:tcW w:w="488" w:type="pct"/>
            <w:gridSpan w:val="2"/>
          </w:tcPr>
          <w:p w14:paraId="46B7645E" w14:textId="4380A6A4"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Meta-ethnography based on Noblit </w:t>
            </w:r>
            <w:r w:rsidR="00F72C96" w:rsidRPr="00732EED">
              <w:rPr>
                <w:sz w:val="18"/>
                <w:szCs w:val="18"/>
              </w:rPr>
              <w:t>and</w:t>
            </w:r>
            <w:r w:rsidR="00AF0FF8" w:rsidRPr="00732EED">
              <w:rPr>
                <w:sz w:val="18"/>
                <w:szCs w:val="18"/>
              </w:rPr>
              <w:t xml:space="preserve"> </w:t>
            </w:r>
            <w:r w:rsidRPr="00732EED">
              <w:rPr>
                <w:sz w:val="18"/>
                <w:szCs w:val="18"/>
              </w:rPr>
              <w:t>Hare</w:t>
            </w:r>
          </w:p>
        </w:tc>
        <w:tc>
          <w:tcPr>
            <w:tcW w:w="1813" w:type="pct"/>
          </w:tcPr>
          <w:p w14:paraId="6BE34EBE" w14:textId="5C65132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conceptualization of participatory research approaches in long-term care facilities for older adults provides practical insights into (1) empowerment, (2) growth, (3) cultural change, and (4) social change, which have emerged from these methodologies. The epistemology of participatory research is aimed at enhancing everyday life rather than just studying it.</w:t>
            </w:r>
          </w:p>
        </w:tc>
      </w:tr>
      <w:tr w:rsidR="00E31AA5" w:rsidRPr="00732EED" w14:paraId="070CDEB4"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569B534D" w14:textId="77777777" w:rsidR="001C33D6" w:rsidRPr="00732EED" w:rsidRDefault="001C33D6" w:rsidP="00F0458C">
            <w:pPr>
              <w:rPr>
                <w:sz w:val="18"/>
                <w:szCs w:val="18"/>
              </w:rPr>
            </w:pPr>
            <w:r w:rsidRPr="00732EED">
              <w:rPr>
                <w:sz w:val="18"/>
                <w:szCs w:val="18"/>
              </w:rPr>
              <w:t>77</w:t>
            </w:r>
          </w:p>
        </w:tc>
        <w:tc>
          <w:tcPr>
            <w:tcW w:w="418" w:type="pct"/>
          </w:tcPr>
          <w:p w14:paraId="2EC39365" w14:textId="2C9D41F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Lilja et al.,</w:t>
            </w:r>
            <w:r w:rsidR="00A96D33" w:rsidRPr="00732EED">
              <w:rPr>
                <w:sz w:val="18"/>
                <w:szCs w:val="18"/>
              </w:rPr>
              <w:t xml:space="preserve"> </w:t>
            </w:r>
            <w:r w:rsidRPr="00732EED">
              <w:rPr>
                <w:sz w:val="18"/>
                <w:szCs w:val="18"/>
              </w:rPr>
              <w:t>2024</w:t>
            </w:r>
          </w:p>
        </w:tc>
        <w:tc>
          <w:tcPr>
            <w:tcW w:w="488" w:type="pct"/>
            <w:gridSpan w:val="3"/>
          </w:tcPr>
          <w:p w14:paraId="1FFA532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6153A666" w14:textId="00526E62"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w:t>
            </w:r>
            <w:r w:rsidR="00E0324F" w:rsidRPr="00732EED">
              <w:rPr>
                <w:sz w:val="18"/>
                <w:szCs w:val="18"/>
              </w:rPr>
              <w:t xml:space="preserve">10 </w:t>
            </w:r>
            <w:r w:rsidRPr="00732EED">
              <w:rPr>
                <w:sz w:val="18"/>
                <w:szCs w:val="18"/>
              </w:rPr>
              <w:t>individuals with chronic musculoskeletal pain</w:t>
            </w:r>
          </w:p>
        </w:tc>
        <w:tc>
          <w:tcPr>
            <w:tcW w:w="279" w:type="pct"/>
          </w:tcPr>
          <w:p w14:paraId="61238499"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Sweden</w:t>
            </w:r>
          </w:p>
        </w:tc>
        <w:tc>
          <w:tcPr>
            <w:tcW w:w="418" w:type="pct"/>
            <w:gridSpan w:val="2"/>
          </w:tcPr>
          <w:p w14:paraId="2AA2D0D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guide derived from Brinkmann and Kvale focusing on support in the management of chronic pain</w:t>
            </w:r>
          </w:p>
        </w:tc>
        <w:tc>
          <w:tcPr>
            <w:tcW w:w="488" w:type="pct"/>
            <w:gridSpan w:val="2"/>
          </w:tcPr>
          <w:p w14:paraId="43330AE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1836BD67" w14:textId="75614AC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predominant two themes identified </w:t>
            </w:r>
            <w:r w:rsidR="00A11532" w:rsidRPr="00732EED">
              <w:rPr>
                <w:sz w:val="18"/>
                <w:szCs w:val="18"/>
              </w:rPr>
              <w:t>in</w:t>
            </w:r>
            <w:r w:rsidRPr="00732EED">
              <w:rPr>
                <w:sz w:val="18"/>
                <w:szCs w:val="18"/>
              </w:rPr>
              <w:t xml:space="preserve"> the study were balancing being the most valuable player and accepting the support required to be that capable person. The study stressed </w:t>
            </w:r>
            <w:r w:rsidR="00A11532" w:rsidRPr="00732EED">
              <w:rPr>
                <w:sz w:val="18"/>
                <w:szCs w:val="18"/>
              </w:rPr>
              <w:t xml:space="preserve">on </w:t>
            </w:r>
            <w:r w:rsidRPr="00732EED">
              <w:rPr>
                <w:sz w:val="18"/>
                <w:szCs w:val="18"/>
              </w:rPr>
              <w:t>the importance of both maintaining independence and personal care</w:t>
            </w:r>
            <w:r w:rsidR="00A11532" w:rsidRPr="00732EED">
              <w:rPr>
                <w:sz w:val="18"/>
                <w:szCs w:val="18"/>
              </w:rPr>
              <w:t>,</w:t>
            </w:r>
            <w:r w:rsidRPr="00732EED">
              <w:rPr>
                <w:sz w:val="18"/>
                <w:szCs w:val="18"/>
              </w:rPr>
              <w:t xml:space="preserve"> as well as being able to defer some decision-making and independence to healthcare systems when appropriate. </w:t>
            </w:r>
          </w:p>
        </w:tc>
      </w:tr>
      <w:tr w:rsidR="00E31AA5" w:rsidRPr="00732EED" w14:paraId="4EE7FB1A"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13C86168" w14:textId="77777777" w:rsidR="001C33D6" w:rsidRPr="00732EED" w:rsidRDefault="001C33D6" w:rsidP="00F0458C">
            <w:pPr>
              <w:rPr>
                <w:sz w:val="18"/>
                <w:szCs w:val="18"/>
              </w:rPr>
            </w:pPr>
            <w:r w:rsidRPr="00732EED">
              <w:rPr>
                <w:sz w:val="18"/>
                <w:szCs w:val="18"/>
              </w:rPr>
              <w:t>78</w:t>
            </w:r>
          </w:p>
        </w:tc>
        <w:tc>
          <w:tcPr>
            <w:tcW w:w="418" w:type="pct"/>
          </w:tcPr>
          <w:p w14:paraId="094D873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 Monaco et al., 2024</w:t>
            </w:r>
          </w:p>
        </w:tc>
        <w:tc>
          <w:tcPr>
            <w:tcW w:w="488" w:type="pct"/>
            <w:gridSpan w:val="3"/>
          </w:tcPr>
          <w:p w14:paraId="7E49C1F7" w14:textId="27F8AFC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6EA31145" w14:textId="716A4EE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Experiences of 10 female patients with </w:t>
            </w:r>
            <w:r w:rsidR="004D5F54" w:rsidRPr="00732EED">
              <w:rPr>
                <w:sz w:val="18"/>
                <w:szCs w:val="18"/>
              </w:rPr>
              <w:t>f</w:t>
            </w:r>
            <w:r w:rsidRPr="00732EED">
              <w:rPr>
                <w:sz w:val="18"/>
                <w:szCs w:val="18"/>
              </w:rPr>
              <w:t>ibromyalgia</w:t>
            </w:r>
          </w:p>
        </w:tc>
        <w:tc>
          <w:tcPr>
            <w:tcW w:w="279" w:type="pct"/>
          </w:tcPr>
          <w:p w14:paraId="00DA7DA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Italy</w:t>
            </w:r>
          </w:p>
        </w:tc>
        <w:tc>
          <w:tcPr>
            <w:tcW w:w="418" w:type="pct"/>
            <w:gridSpan w:val="2"/>
          </w:tcPr>
          <w:p w14:paraId="7556D18A" w14:textId="0A7BE8E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In-depth, qualitative interviews, thematic and interpretative </w:t>
            </w:r>
            <w:r w:rsidRPr="00732EED">
              <w:rPr>
                <w:sz w:val="18"/>
                <w:szCs w:val="18"/>
              </w:rPr>
              <w:lastRenderedPageBreak/>
              <w:t>phenomenological analysis. Themes and subthemes were created; Colaizzi's seven‐step method for analysis utilized</w:t>
            </w:r>
          </w:p>
        </w:tc>
        <w:tc>
          <w:tcPr>
            <w:tcW w:w="488" w:type="pct"/>
            <w:gridSpan w:val="2"/>
          </w:tcPr>
          <w:p w14:paraId="1ECC2220" w14:textId="4EA241E0"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Phenomenological inquiry, philosophical foundations of </w:t>
            </w:r>
            <w:r w:rsidRPr="00732EED">
              <w:rPr>
                <w:sz w:val="18"/>
                <w:szCs w:val="18"/>
              </w:rPr>
              <w:lastRenderedPageBreak/>
              <w:t xml:space="preserve">Husserl and Heidegger. </w:t>
            </w:r>
          </w:p>
        </w:tc>
        <w:tc>
          <w:tcPr>
            <w:tcW w:w="1813" w:type="pct"/>
          </w:tcPr>
          <w:p w14:paraId="1845F580" w14:textId="1662894E"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The study established </w:t>
            </w:r>
            <w:r w:rsidR="00A11532" w:rsidRPr="00732EED">
              <w:rPr>
                <w:sz w:val="18"/>
                <w:szCs w:val="18"/>
              </w:rPr>
              <w:t>five</w:t>
            </w:r>
            <w:r w:rsidRPr="00732EED">
              <w:rPr>
                <w:sz w:val="18"/>
                <w:szCs w:val="18"/>
              </w:rPr>
              <w:t xml:space="preserve"> themes: (1) trauma preceding diagnosis, (2) pervasive feelings of misunderstanding, (3) struggle to maintain strength, (4) challenges in </w:t>
            </w:r>
            <w:r w:rsidRPr="00732EED">
              <w:rPr>
                <w:sz w:val="18"/>
                <w:szCs w:val="18"/>
              </w:rPr>
              <w:lastRenderedPageBreak/>
              <w:t xml:space="preserve">fulfilling maternal roles, </w:t>
            </w:r>
            <w:r w:rsidR="00A11532" w:rsidRPr="00732EED">
              <w:rPr>
                <w:sz w:val="18"/>
                <w:szCs w:val="18"/>
              </w:rPr>
              <w:t xml:space="preserve">and </w:t>
            </w:r>
            <w:r w:rsidRPr="00732EED">
              <w:rPr>
                <w:sz w:val="18"/>
                <w:szCs w:val="18"/>
              </w:rPr>
              <w:t>(5) persistent sexual discomfort. </w:t>
            </w:r>
          </w:p>
        </w:tc>
      </w:tr>
      <w:tr w:rsidR="00E31AA5" w:rsidRPr="00732EED" w14:paraId="3F8B7737"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3498F8DA" w14:textId="77777777" w:rsidR="001C33D6" w:rsidRPr="00732EED" w:rsidRDefault="001C33D6" w:rsidP="00F0458C">
            <w:pPr>
              <w:rPr>
                <w:sz w:val="18"/>
                <w:szCs w:val="18"/>
              </w:rPr>
            </w:pPr>
            <w:r w:rsidRPr="00732EED">
              <w:rPr>
                <w:sz w:val="18"/>
                <w:szCs w:val="18"/>
              </w:rPr>
              <w:lastRenderedPageBreak/>
              <w:t>79</w:t>
            </w:r>
          </w:p>
        </w:tc>
        <w:tc>
          <w:tcPr>
            <w:tcW w:w="418" w:type="pct"/>
          </w:tcPr>
          <w:p w14:paraId="6B8F85F4"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Lundin et al., 2024</w:t>
            </w:r>
          </w:p>
        </w:tc>
        <w:tc>
          <w:tcPr>
            <w:tcW w:w="488" w:type="pct"/>
            <w:gridSpan w:val="3"/>
          </w:tcPr>
          <w:p w14:paraId="7C12DBC5" w14:textId="41C6206B"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Phenomenological </w:t>
            </w:r>
            <w:r w:rsidR="00AF0FF8" w:rsidRPr="00732EED">
              <w:rPr>
                <w:sz w:val="18"/>
                <w:szCs w:val="18"/>
              </w:rPr>
              <w:t>s</w:t>
            </w:r>
            <w:r w:rsidRPr="00732EED">
              <w:rPr>
                <w:sz w:val="18"/>
                <w:szCs w:val="18"/>
              </w:rPr>
              <w:t>tudy</w:t>
            </w:r>
          </w:p>
        </w:tc>
        <w:tc>
          <w:tcPr>
            <w:tcW w:w="488" w:type="pct"/>
            <w:gridSpan w:val="2"/>
          </w:tcPr>
          <w:p w14:paraId="7A8617C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14 individuals with chronic and their difficulties returning to work</w:t>
            </w:r>
          </w:p>
        </w:tc>
        <w:tc>
          <w:tcPr>
            <w:tcW w:w="279" w:type="pct"/>
          </w:tcPr>
          <w:p w14:paraId="054A962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Sweden</w:t>
            </w:r>
          </w:p>
        </w:tc>
        <w:tc>
          <w:tcPr>
            <w:tcW w:w="418" w:type="pct"/>
            <w:gridSpan w:val="2"/>
          </w:tcPr>
          <w:p w14:paraId="196EB82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analysis</w:t>
            </w:r>
          </w:p>
        </w:tc>
        <w:tc>
          <w:tcPr>
            <w:tcW w:w="488" w:type="pct"/>
            <w:gridSpan w:val="2"/>
          </w:tcPr>
          <w:p w14:paraId="479A5D52" w14:textId="748E0A4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hermeneutics, themes</w:t>
            </w:r>
            <w:r w:rsidR="00A11532" w:rsidRPr="00732EED">
              <w:rPr>
                <w:sz w:val="18"/>
                <w:szCs w:val="18"/>
              </w:rPr>
              <w:t>,</w:t>
            </w:r>
            <w:r w:rsidRPr="00732EED">
              <w:rPr>
                <w:sz w:val="18"/>
                <w:szCs w:val="18"/>
              </w:rPr>
              <w:t xml:space="preserve"> and subthemes were created</w:t>
            </w:r>
          </w:p>
        </w:tc>
        <w:tc>
          <w:tcPr>
            <w:tcW w:w="1813" w:type="pct"/>
          </w:tcPr>
          <w:p w14:paraId="07FAE763" w14:textId="1DC0684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Development of </w:t>
            </w:r>
            <w:r w:rsidR="00A11532" w:rsidRPr="00732EED">
              <w:rPr>
                <w:sz w:val="18"/>
                <w:szCs w:val="18"/>
              </w:rPr>
              <w:t>six</w:t>
            </w:r>
            <w:r w:rsidRPr="00732EED">
              <w:rPr>
                <w:sz w:val="18"/>
                <w:szCs w:val="18"/>
              </w:rPr>
              <w:t xml:space="preserve"> themes: (1) feeling safe, (2) feeling valuable, (3) being trusted to take command, (4) access to dependable care, (5) flexibility in planning, </w:t>
            </w:r>
            <w:r w:rsidR="00A11532" w:rsidRPr="00732EED">
              <w:rPr>
                <w:sz w:val="18"/>
                <w:szCs w:val="18"/>
              </w:rPr>
              <w:t xml:space="preserve">and </w:t>
            </w:r>
            <w:r w:rsidRPr="00732EED">
              <w:rPr>
                <w:sz w:val="18"/>
                <w:szCs w:val="18"/>
              </w:rPr>
              <w:t>(6) support for transitioning towards a sustainable future</w:t>
            </w:r>
            <w:r w:rsidR="00A11532" w:rsidRPr="00732EED">
              <w:rPr>
                <w:sz w:val="18"/>
                <w:szCs w:val="18"/>
              </w:rPr>
              <w:t>.</w:t>
            </w:r>
          </w:p>
        </w:tc>
      </w:tr>
      <w:tr w:rsidR="00E31AA5" w:rsidRPr="00732EED" w14:paraId="01FE3E55"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64693FF0" w14:textId="77777777" w:rsidR="001C33D6" w:rsidRPr="00732EED" w:rsidRDefault="001C33D6" w:rsidP="00F0458C">
            <w:pPr>
              <w:rPr>
                <w:sz w:val="18"/>
                <w:szCs w:val="18"/>
              </w:rPr>
            </w:pPr>
            <w:r w:rsidRPr="00732EED">
              <w:rPr>
                <w:sz w:val="18"/>
                <w:szCs w:val="18"/>
              </w:rPr>
              <w:t>80</w:t>
            </w:r>
          </w:p>
        </w:tc>
        <w:tc>
          <w:tcPr>
            <w:tcW w:w="418" w:type="pct"/>
          </w:tcPr>
          <w:p w14:paraId="34C6B48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Macgregor et al., 2024</w:t>
            </w:r>
          </w:p>
        </w:tc>
        <w:tc>
          <w:tcPr>
            <w:tcW w:w="488" w:type="pct"/>
            <w:gridSpan w:val="3"/>
          </w:tcPr>
          <w:p w14:paraId="4609614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Meta-ethnography</w:t>
            </w:r>
          </w:p>
        </w:tc>
        <w:tc>
          <w:tcPr>
            <w:tcW w:w="488" w:type="pct"/>
            <w:gridSpan w:val="2"/>
          </w:tcPr>
          <w:p w14:paraId="678F6927" w14:textId="68D66DE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Patients’ lived experiences of acceptance of</w:t>
            </w:r>
            <w:r w:rsidR="00AF0FF8" w:rsidRPr="00732EED">
              <w:rPr>
                <w:sz w:val="18"/>
                <w:szCs w:val="18"/>
              </w:rPr>
              <w:t xml:space="preserve"> </w:t>
            </w:r>
            <w:r w:rsidRPr="00732EED">
              <w:rPr>
                <w:sz w:val="18"/>
                <w:szCs w:val="18"/>
              </w:rPr>
              <w:t>chronic pain</w:t>
            </w:r>
          </w:p>
        </w:tc>
        <w:tc>
          <w:tcPr>
            <w:tcW w:w="279" w:type="pct"/>
          </w:tcPr>
          <w:p w14:paraId="03C1FD1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Studies from multiple countries</w:t>
            </w:r>
          </w:p>
        </w:tc>
        <w:tc>
          <w:tcPr>
            <w:tcW w:w="418" w:type="pct"/>
            <w:gridSpan w:val="2"/>
          </w:tcPr>
          <w:p w14:paraId="441677B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Utilization of </w:t>
            </w:r>
            <w:proofErr w:type="spellStart"/>
            <w:r w:rsidRPr="00732EED">
              <w:rPr>
                <w:sz w:val="18"/>
                <w:szCs w:val="18"/>
              </w:rPr>
              <w:t>eMERGe</w:t>
            </w:r>
            <w:proofErr w:type="spellEnd"/>
            <w:r w:rsidRPr="00732EED">
              <w:rPr>
                <w:sz w:val="18"/>
                <w:szCs w:val="18"/>
              </w:rPr>
              <w:t xml:space="preserve"> meta-ethnography reporting guidance</w:t>
            </w:r>
          </w:p>
        </w:tc>
        <w:tc>
          <w:tcPr>
            <w:tcW w:w="488" w:type="pct"/>
            <w:gridSpan w:val="2"/>
          </w:tcPr>
          <w:p w14:paraId="330525A5" w14:textId="58148E2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Meta-ethnography based on Noblit </w:t>
            </w:r>
            <w:r w:rsidR="00F72C96" w:rsidRPr="00732EED">
              <w:rPr>
                <w:sz w:val="18"/>
                <w:szCs w:val="18"/>
              </w:rPr>
              <w:t>and</w:t>
            </w:r>
            <w:r w:rsidR="00AF0FF8" w:rsidRPr="00732EED">
              <w:rPr>
                <w:sz w:val="18"/>
                <w:szCs w:val="18"/>
              </w:rPr>
              <w:t xml:space="preserve"> </w:t>
            </w:r>
            <w:r w:rsidRPr="00732EED">
              <w:rPr>
                <w:sz w:val="18"/>
                <w:szCs w:val="18"/>
              </w:rPr>
              <w:t>Hare</w:t>
            </w:r>
          </w:p>
        </w:tc>
        <w:tc>
          <w:tcPr>
            <w:tcW w:w="1813" w:type="pct"/>
          </w:tcPr>
          <w:p w14:paraId="678204C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conceptualization of accepting life with chronic pain can be viewed as an ecosystem, reflecting the fluid and continuous journey that is interdependent with our socio-cultural environment.</w:t>
            </w:r>
          </w:p>
        </w:tc>
      </w:tr>
      <w:tr w:rsidR="00E31AA5" w:rsidRPr="00732EED" w14:paraId="02303BA7"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11A9F5E9" w14:textId="77777777" w:rsidR="001C33D6" w:rsidRPr="00732EED" w:rsidRDefault="001C33D6" w:rsidP="00F0458C">
            <w:pPr>
              <w:rPr>
                <w:sz w:val="18"/>
                <w:szCs w:val="18"/>
              </w:rPr>
            </w:pPr>
            <w:r w:rsidRPr="00732EED">
              <w:rPr>
                <w:sz w:val="18"/>
                <w:szCs w:val="18"/>
              </w:rPr>
              <w:t>81</w:t>
            </w:r>
          </w:p>
        </w:tc>
        <w:tc>
          <w:tcPr>
            <w:tcW w:w="418" w:type="pct"/>
          </w:tcPr>
          <w:p w14:paraId="404B938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Matias-Soto et al., 2024</w:t>
            </w:r>
          </w:p>
        </w:tc>
        <w:tc>
          <w:tcPr>
            <w:tcW w:w="488" w:type="pct"/>
            <w:gridSpan w:val="3"/>
          </w:tcPr>
          <w:p w14:paraId="379FBA75" w14:textId="6297F78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Interpretative </w:t>
            </w:r>
            <w:r w:rsidR="00AF0FF8" w:rsidRPr="00732EED">
              <w:rPr>
                <w:sz w:val="18"/>
                <w:szCs w:val="18"/>
              </w:rPr>
              <w:t>p</w:t>
            </w:r>
            <w:r w:rsidRPr="00732EED">
              <w:rPr>
                <w:sz w:val="18"/>
                <w:szCs w:val="18"/>
              </w:rPr>
              <w:t xml:space="preserve">henomenological </w:t>
            </w:r>
            <w:r w:rsidR="00AF0FF8" w:rsidRPr="00732EED">
              <w:rPr>
                <w:sz w:val="18"/>
                <w:szCs w:val="18"/>
              </w:rPr>
              <w:t>a</w:t>
            </w:r>
            <w:r w:rsidRPr="00732EED">
              <w:rPr>
                <w:sz w:val="18"/>
                <w:szCs w:val="18"/>
              </w:rPr>
              <w:t>nalysis (IPA)</w:t>
            </w:r>
          </w:p>
        </w:tc>
        <w:tc>
          <w:tcPr>
            <w:tcW w:w="488" w:type="pct"/>
            <w:gridSpan w:val="2"/>
          </w:tcPr>
          <w:p w14:paraId="05C0FC3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22 patients with chronic low back pain </w:t>
            </w:r>
          </w:p>
        </w:tc>
        <w:tc>
          <w:tcPr>
            <w:tcW w:w="279" w:type="pct"/>
          </w:tcPr>
          <w:p w14:paraId="5798780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Spain</w:t>
            </w:r>
          </w:p>
        </w:tc>
        <w:tc>
          <w:tcPr>
            <w:tcW w:w="418" w:type="pct"/>
            <w:gridSpan w:val="2"/>
          </w:tcPr>
          <w:p w14:paraId="0F42CC7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Cross-sectional qualitative study based on individual semi-structured interviews, interpretative phenomenology approach through a depth-reflective inquiry. Themes and subthemes were created. Utilization of the Consolidated Criteria for Reporting Qualitative Research (COREQ) </w:t>
            </w:r>
          </w:p>
        </w:tc>
        <w:tc>
          <w:tcPr>
            <w:tcW w:w="488" w:type="pct"/>
            <w:gridSpan w:val="2"/>
          </w:tcPr>
          <w:p w14:paraId="10ABA69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2423884A" w14:textId="23D947B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 variety of (1) emotional factors were defined</w:t>
            </w:r>
            <w:r w:rsidR="00A11532" w:rsidRPr="00732EED">
              <w:rPr>
                <w:sz w:val="18"/>
                <w:szCs w:val="18"/>
              </w:rPr>
              <w:t xml:space="preserve"> as</w:t>
            </w:r>
            <w:r w:rsidRPr="00732EED">
              <w:rPr>
                <w:sz w:val="18"/>
                <w:szCs w:val="18"/>
              </w:rPr>
              <w:t xml:space="preserve"> (1) fears, (2) frustrations, and (3) worries were the three most expressed. (2) Cognitive factors were identified</w:t>
            </w:r>
            <w:r w:rsidR="00A11532" w:rsidRPr="00732EED">
              <w:rPr>
                <w:sz w:val="18"/>
                <w:szCs w:val="18"/>
              </w:rPr>
              <w:t xml:space="preserve"> as</w:t>
            </w:r>
            <w:r w:rsidRPr="00732EED">
              <w:rPr>
                <w:sz w:val="18"/>
                <w:szCs w:val="18"/>
              </w:rPr>
              <w:t xml:space="preserve"> related to (1) pain predictability, (2) pain perception, and (3) pain interference/disability. The theme (3) behaviors were composed of the following subthemes: (1) strategies for managing symptoms, (2) social factors, and (3) strategies for coping with daily tasks. Additionally, cognitive factors related to the (1)</w:t>
            </w:r>
            <w:r w:rsidR="00A11532" w:rsidRPr="00732EED">
              <w:rPr>
                <w:sz w:val="18"/>
                <w:szCs w:val="18"/>
              </w:rPr>
              <w:t xml:space="preserve"> </w:t>
            </w:r>
            <w:r w:rsidRPr="00732EED">
              <w:rPr>
                <w:sz w:val="18"/>
                <w:szCs w:val="18"/>
              </w:rPr>
              <w:t>"Diagnosis</w:t>
            </w:r>
            <w:r w:rsidR="00A11532" w:rsidRPr="00732EED">
              <w:rPr>
                <w:sz w:val="18"/>
                <w:szCs w:val="18"/>
              </w:rPr>
              <w:t>,</w:t>
            </w:r>
            <w:r w:rsidRPr="00732EED">
              <w:rPr>
                <w:sz w:val="18"/>
                <w:szCs w:val="18"/>
              </w:rPr>
              <w:t>" (2)</w:t>
            </w:r>
            <w:r w:rsidR="00A11532" w:rsidRPr="00732EED">
              <w:rPr>
                <w:sz w:val="18"/>
                <w:szCs w:val="18"/>
              </w:rPr>
              <w:t xml:space="preserve"> </w:t>
            </w:r>
            <w:r w:rsidRPr="00732EED">
              <w:rPr>
                <w:sz w:val="18"/>
                <w:szCs w:val="18"/>
              </w:rPr>
              <w:t>"Health system attention</w:t>
            </w:r>
            <w:r w:rsidR="00A11532" w:rsidRPr="00732EED">
              <w:rPr>
                <w:sz w:val="18"/>
                <w:szCs w:val="18"/>
              </w:rPr>
              <w:t>,</w:t>
            </w:r>
            <w:r w:rsidRPr="00732EED">
              <w:rPr>
                <w:sz w:val="18"/>
                <w:szCs w:val="18"/>
              </w:rPr>
              <w:t>" and (3)</w:t>
            </w:r>
            <w:r w:rsidR="00A11532" w:rsidRPr="00732EED">
              <w:rPr>
                <w:sz w:val="18"/>
                <w:szCs w:val="18"/>
              </w:rPr>
              <w:t xml:space="preserve"> </w:t>
            </w:r>
            <w:r w:rsidRPr="00732EED">
              <w:rPr>
                <w:sz w:val="18"/>
                <w:szCs w:val="18"/>
              </w:rPr>
              <w:t>"Medical prescriptions" were defined.</w:t>
            </w:r>
          </w:p>
        </w:tc>
      </w:tr>
      <w:tr w:rsidR="00E31AA5" w:rsidRPr="00732EED" w14:paraId="70FBC5C9"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0F6D3510" w14:textId="77777777" w:rsidR="001C33D6" w:rsidRPr="00732EED" w:rsidRDefault="001C33D6" w:rsidP="00F0458C">
            <w:pPr>
              <w:rPr>
                <w:sz w:val="18"/>
                <w:szCs w:val="18"/>
              </w:rPr>
            </w:pPr>
            <w:r w:rsidRPr="00732EED">
              <w:rPr>
                <w:sz w:val="18"/>
                <w:szCs w:val="18"/>
              </w:rPr>
              <w:t>82</w:t>
            </w:r>
          </w:p>
        </w:tc>
        <w:tc>
          <w:tcPr>
            <w:tcW w:w="418" w:type="pct"/>
          </w:tcPr>
          <w:p w14:paraId="6B994D8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Nikoloudi</w:t>
            </w:r>
            <w:proofErr w:type="spellEnd"/>
            <w:r w:rsidRPr="00732EED">
              <w:rPr>
                <w:sz w:val="18"/>
                <w:szCs w:val="18"/>
              </w:rPr>
              <w:t xml:space="preserve"> et al., 2024</w:t>
            </w:r>
          </w:p>
        </w:tc>
        <w:tc>
          <w:tcPr>
            <w:tcW w:w="488" w:type="pct"/>
            <w:gridSpan w:val="3"/>
          </w:tcPr>
          <w:p w14:paraId="20CB39F0" w14:textId="61A0FD3D"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Interpretative phenomenological analysis (IPA)</w:t>
            </w:r>
          </w:p>
        </w:tc>
        <w:tc>
          <w:tcPr>
            <w:tcW w:w="488" w:type="pct"/>
            <w:gridSpan w:val="2"/>
          </w:tcPr>
          <w:p w14:paraId="2F7A68F5"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6 individuals who are among the last survivors of the chronic effects of leprosy</w:t>
            </w:r>
          </w:p>
        </w:tc>
        <w:tc>
          <w:tcPr>
            <w:tcW w:w="279" w:type="pct"/>
          </w:tcPr>
          <w:p w14:paraId="06193E6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Greece</w:t>
            </w:r>
          </w:p>
        </w:tc>
        <w:tc>
          <w:tcPr>
            <w:tcW w:w="418" w:type="pct"/>
            <w:gridSpan w:val="2"/>
          </w:tcPr>
          <w:p w14:paraId="117B75C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In-depth, qualitative interviews, thematic and interpretative phenomenological analysis. Themes </w:t>
            </w:r>
            <w:r w:rsidRPr="00732EED">
              <w:rPr>
                <w:sz w:val="18"/>
                <w:szCs w:val="18"/>
              </w:rPr>
              <w:lastRenderedPageBreak/>
              <w:t>and subthemes were created.</w:t>
            </w:r>
          </w:p>
        </w:tc>
        <w:tc>
          <w:tcPr>
            <w:tcW w:w="488" w:type="pct"/>
            <w:gridSpan w:val="2"/>
          </w:tcPr>
          <w:p w14:paraId="4862C310"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Phenomenological analysis</w:t>
            </w:r>
          </w:p>
        </w:tc>
        <w:tc>
          <w:tcPr>
            <w:tcW w:w="1813" w:type="pct"/>
          </w:tcPr>
          <w:p w14:paraId="0FE2203F" w14:textId="317A483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Navigation of illness through the cultural meaning system surrounding leprosy was illustrated by the themes. Societal meanings and experiences of severe stigmatization, leading to social exclusion and the loss of previous lives and self-identity. The biographical </w:t>
            </w:r>
            <w:r w:rsidRPr="00732EED">
              <w:rPr>
                <w:sz w:val="18"/>
                <w:szCs w:val="18"/>
              </w:rPr>
              <w:lastRenderedPageBreak/>
              <w:t xml:space="preserve">disruption caused by leprosy led to the establishment of new routines and a devalued identity, profoundly affecting social identities and </w:t>
            </w:r>
            <w:r w:rsidR="00A11532" w:rsidRPr="00732EED">
              <w:rPr>
                <w:sz w:val="18"/>
                <w:szCs w:val="18"/>
              </w:rPr>
              <w:t xml:space="preserve">the </w:t>
            </w:r>
            <w:r w:rsidRPr="00732EED">
              <w:rPr>
                <w:sz w:val="18"/>
                <w:szCs w:val="18"/>
              </w:rPr>
              <w:t>overall sense of self.</w:t>
            </w:r>
          </w:p>
        </w:tc>
      </w:tr>
      <w:tr w:rsidR="00E31AA5" w:rsidRPr="00732EED" w14:paraId="42AF9CE5"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05DF9301" w14:textId="77777777" w:rsidR="001C33D6" w:rsidRPr="00732EED" w:rsidRDefault="001C33D6" w:rsidP="00F0458C">
            <w:pPr>
              <w:rPr>
                <w:sz w:val="18"/>
                <w:szCs w:val="18"/>
              </w:rPr>
            </w:pPr>
            <w:r w:rsidRPr="00732EED">
              <w:rPr>
                <w:sz w:val="18"/>
                <w:szCs w:val="18"/>
              </w:rPr>
              <w:lastRenderedPageBreak/>
              <w:t>83</w:t>
            </w:r>
          </w:p>
        </w:tc>
        <w:tc>
          <w:tcPr>
            <w:tcW w:w="418" w:type="pct"/>
          </w:tcPr>
          <w:p w14:paraId="2FD48D24" w14:textId="781FEB1E"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Sanabria-Mazo et al.,</w:t>
            </w:r>
            <w:r w:rsidR="00A96D33" w:rsidRPr="00732EED">
              <w:rPr>
                <w:sz w:val="18"/>
                <w:szCs w:val="18"/>
              </w:rPr>
              <w:t xml:space="preserve"> </w:t>
            </w:r>
            <w:r w:rsidRPr="00732EED">
              <w:rPr>
                <w:sz w:val="18"/>
                <w:szCs w:val="18"/>
              </w:rPr>
              <w:t>2024</w:t>
            </w:r>
          </w:p>
        </w:tc>
        <w:tc>
          <w:tcPr>
            <w:tcW w:w="488" w:type="pct"/>
            <w:gridSpan w:val="3"/>
          </w:tcPr>
          <w:p w14:paraId="08376F87" w14:textId="3E8CABF0"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Qualitative </w:t>
            </w:r>
            <w:r w:rsidR="00AF0FF8" w:rsidRPr="00732EED">
              <w:rPr>
                <w:sz w:val="18"/>
                <w:szCs w:val="18"/>
              </w:rPr>
              <w:t>i</w:t>
            </w:r>
            <w:r w:rsidRPr="00732EED">
              <w:rPr>
                <w:sz w:val="18"/>
                <w:szCs w:val="18"/>
              </w:rPr>
              <w:t xml:space="preserve">nterview </w:t>
            </w:r>
            <w:r w:rsidR="00AF0FF8" w:rsidRPr="00732EED">
              <w:rPr>
                <w:sz w:val="18"/>
                <w:szCs w:val="18"/>
              </w:rPr>
              <w:t>s</w:t>
            </w:r>
            <w:r w:rsidRPr="00732EED">
              <w:rPr>
                <w:sz w:val="18"/>
                <w:szCs w:val="18"/>
              </w:rPr>
              <w:t>tudy</w:t>
            </w:r>
          </w:p>
        </w:tc>
        <w:tc>
          <w:tcPr>
            <w:tcW w:w="488" w:type="pct"/>
            <w:gridSpan w:val="2"/>
          </w:tcPr>
          <w:p w14:paraId="51BE528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Qualitative interview study nestled within a larger RCT on 55 patients with chronic low back pain and depression</w:t>
            </w:r>
          </w:p>
        </w:tc>
        <w:tc>
          <w:tcPr>
            <w:tcW w:w="279" w:type="pct"/>
          </w:tcPr>
          <w:p w14:paraId="0D70DFA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Multiple countries</w:t>
            </w:r>
          </w:p>
        </w:tc>
        <w:tc>
          <w:tcPr>
            <w:tcW w:w="418" w:type="pct"/>
            <w:gridSpan w:val="2"/>
          </w:tcPr>
          <w:p w14:paraId="3E40147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and thematic synthesis</w:t>
            </w:r>
          </w:p>
        </w:tc>
        <w:tc>
          <w:tcPr>
            <w:tcW w:w="488" w:type="pct"/>
            <w:gridSpan w:val="2"/>
          </w:tcPr>
          <w:p w14:paraId="3B5E893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Interview series with thematic synthesis and barrier analysis </w:t>
            </w:r>
          </w:p>
        </w:tc>
        <w:tc>
          <w:tcPr>
            <w:tcW w:w="1813" w:type="pct"/>
          </w:tcPr>
          <w:p w14:paraId="34C3480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identified that the patients perceived behavioral, affective, and cognitive improvements after completing group psychotherapy sessions. The main barriers were a lack of human contact and social isolation. </w:t>
            </w:r>
          </w:p>
        </w:tc>
      </w:tr>
      <w:tr w:rsidR="00E31AA5" w:rsidRPr="00732EED" w14:paraId="52E77A80"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6622E14B" w14:textId="77777777" w:rsidR="001C33D6" w:rsidRPr="00732EED" w:rsidRDefault="001C33D6" w:rsidP="00F0458C">
            <w:pPr>
              <w:rPr>
                <w:sz w:val="18"/>
                <w:szCs w:val="18"/>
              </w:rPr>
            </w:pPr>
            <w:r w:rsidRPr="00732EED">
              <w:rPr>
                <w:sz w:val="18"/>
                <w:szCs w:val="18"/>
              </w:rPr>
              <w:t>84</w:t>
            </w:r>
          </w:p>
        </w:tc>
        <w:tc>
          <w:tcPr>
            <w:tcW w:w="418" w:type="pct"/>
          </w:tcPr>
          <w:p w14:paraId="6329EDDC" w14:textId="35ACD9B3"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Schwarz B </w:t>
            </w:r>
            <w:r w:rsidR="00F72C96" w:rsidRPr="00732EED">
              <w:rPr>
                <w:sz w:val="18"/>
                <w:szCs w:val="18"/>
              </w:rPr>
              <w:t xml:space="preserve">et al., </w:t>
            </w:r>
            <w:r w:rsidRPr="00732EED">
              <w:rPr>
                <w:sz w:val="18"/>
                <w:szCs w:val="18"/>
              </w:rPr>
              <w:t>2024</w:t>
            </w:r>
          </w:p>
        </w:tc>
        <w:tc>
          <w:tcPr>
            <w:tcW w:w="488" w:type="pct"/>
            <w:gridSpan w:val="3"/>
          </w:tcPr>
          <w:p w14:paraId="5A96F52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Meta-ethnography</w:t>
            </w:r>
          </w:p>
        </w:tc>
        <w:tc>
          <w:tcPr>
            <w:tcW w:w="488" w:type="pct"/>
            <w:gridSpan w:val="2"/>
          </w:tcPr>
          <w:p w14:paraId="6C489A8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Mega-synthesis of the findings of qualitative meta-syntheses on return to work of people with various chronic illnesses</w:t>
            </w:r>
          </w:p>
        </w:tc>
        <w:tc>
          <w:tcPr>
            <w:tcW w:w="279" w:type="pct"/>
          </w:tcPr>
          <w:p w14:paraId="385D55C8"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Mainly European countries</w:t>
            </w:r>
          </w:p>
        </w:tc>
        <w:tc>
          <w:tcPr>
            <w:tcW w:w="418" w:type="pct"/>
            <w:gridSpan w:val="2"/>
          </w:tcPr>
          <w:p w14:paraId="6FB0B59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Meta-synthesis of qualitative studies</w:t>
            </w:r>
          </w:p>
        </w:tc>
        <w:tc>
          <w:tcPr>
            <w:tcW w:w="488" w:type="pct"/>
            <w:gridSpan w:val="2"/>
          </w:tcPr>
          <w:p w14:paraId="69335D2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Mega-ethnography, Return to work model</w:t>
            </w:r>
          </w:p>
        </w:tc>
        <w:tc>
          <w:tcPr>
            <w:tcW w:w="1813" w:type="pct"/>
          </w:tcPr>
          <w:p w14:paraId="728AD3AD" w14:textId="3AA8D64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Conceptualization of the return-to-work process with multiple actors and </w:t>
            </w:r>
            <w:proofErr w:type="gramStart"/>
            <w:r w:rsidRPr="00732EED">
              <w:rPr>
                <w:sz w:val="18"/>
                <w:szCs w:val="18"/>
              </w:rPr>
              <w:t>interests</w:t>
            </w:r>
            <w:proofErr w:type="gramEnd"/>
            <w:r w:rsidRPr="00732EED">
              <w:rPr>
                <w:sz w:val="18"/>
                <w:szCs w:val="18"/>
              </w:rPr>
              <w:t xml:space="preserve"> contingent on (1) </w:t>
            </w:r>
            <w:r w:rsidR="00A11532" w:rsidRPr="00732EED">
              <w:rPr>
                <w:sz w:val="18"/>
                <w:szCs w:val="18"/>
              </w:rPr>
              <w:t xml:space="preserve">an </w:t>
            </w:r>
            <w:r w:rsidRPr="00732EED">
              <w:rPr>
                <w:sz w:val="18"/>
                <w:szCs w:val="18"/>
              </w:rPr>
              <w:t xml:space="preserve">individual’s perception </w:t>
            </w:r>
            <w:r w:rsidR="00A11532" w:rsidRPr="00732EED">
              <w:rPr>
                <w:sz w:val="18"/>
                <w:szCs w:val="18"/>
              </w:rPr>
              <w:t>of</w:t>
            </w:r>
            <w:r w:rsidRPr="00732EED">
              <w:rPr>
                <w:sz w:val="18"/>
                <w:szCs w:val="18"/>
              </w:rPr>
              <w:t xml:space="preserve"> their own limitations and chronic health condition, (2) their coping strategies</w:t>
            </w:r>
            <w:r w:rsidR="00A11532" w:rsidRPr="00732EED">
              <w:rPr>
                <w:sz w:val="18"/>
                <w:szCs w:val="18"/>
              </w:rPr>
              <w:t>,</w:t>
            </w:r>
            <w:r w:rsidRPr="00732EED">
              <w:rPr>
                <w:sz w:val="18"/>
                <w:szCs w:val="18"/>
              </w:rPr>
              <w:t xml:space="preserve"> (3) motivational structures, (4) perceived social support, and (</w:t>
            </w:r>
            <w:r w:rsidR="00A11532" w:rsidRPr="00732EED">
              <w:rPr>
                <w:sz w:val="18"/>
                <w:szCs w:val="18"/>
              </w:rPr>
              <w:t>5</w:t>
            </w:r>
            <w:r w:rsidRPr="00732EED">
              <w:rPr>
                <w:sz w:val="18"/>
                <w:szCs w:val="18"/>
              </w:rPr>
              <w:t xml:space="preserve">) </w:t>
            </w:r>
            <w:r w:rsidR="00A11532" w:rsidRPr="00732EED">
              <w:rPr>
                <w:sz w:val="18"/>
                <w:szCs w:val="18"/>
              </w:rPr>
              <w:t xml:space="preserve">the </w:t>
            </w:r>
            <w:r w:rsidRPr="00732EED">
              <w:rPr>
                <w:sz w:val="18"/>
                <w:szCs w:val="18"/>
              </w:rPr>
              <w:t>working environment’s willingness and potential to adapt work demands</w:t>
            </w:r>
          </w:p>
        </w:tc>
      </w:tr>
      <w:tr w:rsidR="00E31AA5" w:rsidRPr="00732EED" w14:paraId="3463C3F6"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155354A6" w14:textId="77777777" w:rsidR="001C33D6" w:rsidRPr="00732EED" w:rsidRDefault="001C33D6" w:rsidP="00F0458C">
            <w:pPr>
              <w:rPr>
                <w:sz w:val="18"/>
                <w:szCs w:val="18"/>
              </w:rPr>
            </w:pPr>
            <w:r w:rsidRPr="00732EED">
              <w:rPr>
                <w:sz w:val="18"/>
                <w:szCs w:val="18"/>
              </w:rPr>
              <w:t>85</w:t>
            </w:r>
          </w:p>
        </w:tc>
        <w:tc>
          <w:tcPr>
            <w:tcW w:w="418" w:type="pct"/>
          </w:tcPr>
          <w:p w14:paraId="38E3171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Snell et al., 2024</w:t>
            </w:r>
          </w:p>
        </w:tc>
        <w:tc>
          <w:tcPr>
            <w:tcW w:w="488" w:type="pct"/>
            <w:gridSpan w:val="3"/>
          </w:tcPr>
          <w:p w14:paraId="6E6F27E3" w14:textId="432874C1"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Interpretative phenomenological analysis (IPA)</w:t>
            </w:r>
          </w:p>
        </w:tc>
        <w:tc>
          <w:tcPr>
            <w:tcW w:w="488" w:type="pct"/>
            <w:gridSpan w:val="2"/>
          </w:tcPr>
          <w:p w14:paraId="395A20A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 adult male participants with chronic fatigue syndrome</w:t>
            </w:r>
          </w:p>
        </w:tc>
        <w:tc>
          <w:tcPr>
            <w:tcW w:w="279" w:type="pct"/>
          </w:tcPr>
          <w:p w14:paraId="51A49EB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United Kingdom</w:t>
            </w:r>
          </w:p>
        </w:tc>
        <w:tc>
          <w:tcPr>
            <w:tcW w:w="418" w:type="pct"/>
            <w:gridSpan w:val="2"/>
          </w:tcPr>
          <w:p w14:paraId="336A5EE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analysis</w:t>
            </w:r>
          </w:p>
        </w:tc>
        <w:tc>
          <w:tcPr>
            <w:tcW w:w="488" w:type="pct"/>
            <w:gridSpan w:val="2"/>
          </w:tcPr>
          <w:p w14:paraId="12C6834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78D23C64" w14:textId="0213E9F5"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Hegemonic masculine norms negatively affect illness perception and help-seeking behaviors.</w:t>
            </w:r>
          </w:p>
        </w:tc>
      </w:tr>
      <w:tr w:rsidR="00E31AA5" w:rsidRPr="00732EED" w14:paraId="694391FC"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7261831D" w14:textId="77777777" w:rsidR="001C33D6" w:rsidRPr="00732EED" w:rsidRDefault="001C33D6" w:rsidP="00F0458C">
            <w:pPr>
              <w:rPr>
                <w:sz w:val="18"/>
                <w:szCs w:val="18"/>
              </w:rPr>
            </w:pPr>
            <w:r w:rsidRPr="00732EED">
              <w:rPr>
                <w:sz w:val="18"/>
                <w:szCs w:val="18"/>
              </w:rPr>
              <w:t>86</w:t>
            </w:r>
          </w:p>
        </w:tc>
        <w:tc>
          <w:tcPr>
            <w:tcW w:w="418" w:type="pct"/>
          </w:tcPr>
          <w:p w14:paraId="21EFEC11"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Barber et al., 2025</w:t>
            </w:r>
          </w:p>
        </w:tc>
        <w:tc>
          <w:tcPr>
            <w:tcW w:w="488" w:type="pct"/>
            <w:gridSpan w:val="3"/>
          </w:tcPr>
          <w:p w14:paraId="0C401DD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12C4CC5F"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13 individuals with chronic pain enrolled in Integrative Restoration, a secular Yoga Nidra adaptation within a multidisciplinary pain clinic setting</w:t>
            </w:r>
          </w:p>
        </w:tc>
        <w:tc>
          <w:tcPr>
            <w:tcW w:w="279" w:type="pct"/>
          </w:tcPr>
          <w:p w14:paraId="22E10C2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Australia</w:t>
            </w:r>
          </w:p>
        </w:tc>
        <w:tc>
          <w:tcPr>
            <w:tcW w:w="418" w:type="pct"/>
            <w:gridSpan w:val="2"/>
          </w:tcPr>
          <w:p w14:paraId="2E9B7A5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thematic analysis</w:t>
            </w:r>
          </w:p>
        </w:tc>
        <w:tc>
          <w:tcPr>
            <w:tcW w:w="488" w:type="pct"/>
            <w:gridSpan w:val="2"/>
          </w:tcPr>
          <w:p w14:paraId="1DB0934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1A0FBFF3" w14:textId="7A31E0E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demonstrates the effects of </w:t>
            </w:r>
            <w:r w:rsidR="00885906" w:rsidRPr="00732EED">
              <w:rPr>
                <w:sz w:val="18"/>
                <w:szCs w:val="18"/>
              </w:rPr>
              <w:t>y</w:t>
            </w:r>
            <w:r w:rsidRPr="00732EED">
              <w:rPr>
                <w:sz w:val="18"/>
                <w:szCs w:val="18"/>
              </w:rPr>
              <w:t>oga including (1) trauma reprocessing and integration; (2) improved pain self-management and self-efficacy, (3) dis-identification from persisting pain as personal identity</w:t>
            </w:r>
            <w:r w:rsidR="005A7FFB" w:rsidRPr="00732EED">
              <w:rPr>
                <w:sz w:val="18"/>
                <w:szCs w:val="18"/>
              </w:rPr>
              <w:t>,</w:t>
            </w:r>
            <w:r w:rsidRPr="00732EED">
              <w:rPr>
                <w:sz w:val="18"/>
                <w:szCs w:val="18"/>
              </w:rPr>
              <w:t xml:space="preserve"> and (4) confidence to self-taper pain medications.</w:t>
            </w:r>
          </w:p>
        </w:tc>
      </w:tr>
      <w:tr w:rsidR="00E31AA5" w:rsidRPr="00732EED" w14:paraId="4190949D"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6044600A" w14:textId="77777777" w:rsidR="001C33D6" w:rsidRPr="00732EED" w:rsidRDefault="001C33D6" w:rsidP="00F0458C">
            <w:pPr>
              <w:rPr>
                <w:sz w:val="18"/>
                <w:szCs w:val="18"/>
              </w:rPr>
            </w:pPr>
            <w:r w:rsidRPr="00732EED">
              <w:rPr>
                <w:sz w:val="18"/>
                <w:szCs w:val="18"/>
              </w:rPr>
              <w:t>87</w:t>
            </w:r>
          </w:p>
        </w:tc>
        <w:tc>
          <w:tcPr>
            <w:tcW w:w="418" w:type="pct"/>
          </w:tcPr>
          <w:p w14:paraId="3A254443" w14:textId="51030750"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Bosco </w:t>
            </w:r>
            <w:r w:rsidR="00F72C96" w:rsidRPr="00732EED">
              <w:rPr>
                <w:sz w:val="18"/>
                <w:szCs w:val="18"/>
              </w:rPr>
              <w:t xml:space="preserve">et al., </w:t>
            </w:r>
            <w:r w:rsidRPr="00732EED">
              <w:rPr>
                <w:sz w:val="18"/>
                <w:szCs w:val="18"/>
              </w:rPr>
              <w:t>2025</w:t>
            </w:r>
          </w:p>
        </w:tc>
        <w:tc>
          <w:tcPr>
            <w:tcW w:w="488" w:type="pct"/>
            <w:gridSpan w:val="3"/>
          </w:tcPr>
          <w:p w14:paraId="3E5F9222" w14:textId="7C3C6173"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Interpretative phenomenological analysis (IPA)</w:t>
            </w:r>
          </w:p>
        </w:tc>
        <w:tc>
          <w:tcPr>
            <w:tcW w:w="488" w:type="pct"/>
            <w:gridSpan w:val="2"/>
          </w:tcPr>
          <w:p w14:paraId="73760029" w14:textId="3373845F"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Experiences of 17 patients with irritable bowel </w:t>
            </w:r>
            <w:r w:rsidR="005B7605" w:rsidRPr="00732EED">
              <w:rPr>
                <w:sz w:val="18"/>
                <w:szCs w:val="18"/>
              </w:rPr>
              <w:t>d</w:t>
            </w:r>
            <w:r w:rsidRPr="00732EED">
              <w:rPr>
                <w:sz w:val="18"/>
                <w:szCs w:val="18"/>
              </w:rPr>
              <w:t>isease (IBD)</w:t>
            </w:r>
          </w:p>
        </w:tc>
        <w:tc>
          <w:tcPr>
            <w:tcW w:w="279" w:type="pct"/>
          </w:tcPr>
          <w:p w14:paraId="10F10E9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Italy</w:t>
            </w:r>
          </w:p>
        </w:tc>
        <w:tc>
          <w:tcPr>
            <w:tcW w:w="418" w:type="pct"/>
            <w:gridSpan w:val="2"/>
          </w:tcPr>
          <w:p w14:paraId="0ACAA8A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and interpretative phenomenological analysis.</w:t>
            </w:r>
          </w:p>
        </w:tc>
        <w:tc>
          <w:tcPr>
            <w:tcW w:w="488" w:type="pct"/>
            <w:gridSpan w:val="2"/>
          </w:tcPr>
          <w:p w14:paraId="1BB3EB2D"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 Cohen's hermeneutic approach</w:t>
            </w:r>
          </w:p>
        </w:tc>
        <w:tc>
          <w:tcPr>
            <w:tcW w:w="1813" w:type="pct"/>
          </w:tcPr>
          <w:p w14:paraId="6051EA26" w14:textId="668EAA3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highlights the importance of addressing the unique challenges faced by rural </w:t>
            </w:r>
            <w:r w:rsidR="00DE6139" w:rsidRPr="00732EED">
              <w:rPr>
                <w:sz w:val="18"/>
                <w:szCs w:val="18"/>
              </w:rPr>
              <w:t xml:space="preserve">patients with </w:t>
            </w:r>
            <w:r w:rsidRPr="00732EED">
              <w:rPr>
                <w:sz w:val="18"/>
                <w:szCs w:val="18"/>
              </w:rPr>
              <w:t>IBD, particularly, the psychological and social dimensions of geographic and social isolation.</w:t>
            </w:r>
          </w:p>
        </w:tc>
      </w:tr>
      <w:tr w:rsidR="00E31AA5" w:rsidRPr="00732EED" w14:paraId="3D15183D"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62A21896" w14:textId="77777777" w:rsidR="001C33D6" w:rsidRPr="00732EED" w:rsidRDefault="001C33D6" w:rsidP="00F0458C">
            <w:pPr>
              <w:rPr>
                <w:sz w:val="18"/>
                <w:szCs w:val="18"/>
              </w:rPr>
            </w:pPr>
            <w:r w:rsidRPr="00732EED">
              <w:rPr>
                <w:sz w:val="18"/>
                <w:szCs w:val="18"/>
              </w:rPr>
              <w:t>88</w:t>
            </w:r>
          </w:p>
        </w:tc>
        <w:tc>
          <w:tcPr>
            <w:tcW w:w="418" w:type="pct"/>
          </w:tcPr>
          <w:p w14:paraId="3A610AAE" w14:textId="71A9F345"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Danes-</w:t>
            </w:r>
            <w:proofErr w:type="spellStart"/>
            <w:r w:rsidRPr="00732EED">
              <w:rPr>
                <w:sz w:val="18"/>
                <w:szCs w:val="18"/>
              </w:rPr>
              <w:t>Daetz</w:t>
            </w:r>
            <w:proofErr w:type="spellEnd"/>
            <w:r w:rsidRPr="00732EED">
              <w:rPr>
                <w:sz w:val="18"/>
                <w:szCs w:val="18"/>
              </w:rPr>
              <w:t xml:space="preserve"> et al.,</w:t>
            </w:r>
            <w:r w:rsidR="00A96D33" w:rsidRPr="00732EED">
              <w:rPr>
                <w:sz w:val="18"/>
                <w:szCs w:val="18"/>
              </w:rPr>
              <w:t xml:space="preserve"> </w:t>
            </w:r>
            <w:r w:rsidRPr="00732EED">
              <w:rPr>
                <w:sz w:val="18"/>
                <w:szCs w:val="18"/>
              </w:rPr>
              <w:t>2025</w:t>
            </w:r>
          </w:p>
        </w:tc>
        <w:tc>
          <w:tcPr>
            <w:tcW w:w="488" w:type="pct"/>
            <w:gridSpan w:val="3"/>
          </w:tcPr>
          <w:p w14:paraId="37E392C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Qualitative interview study</w:t>
            </w:r>
          </w:p>
        </w:tc>
        <w:tc>
          <w:tcPr>
            <w:tcW w:w="488" w:type="pct"/>
            <w:gridSpan w:val="2"/>
          </w:tcPr>
          <w:p w14:paraId="308370E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Study of 14 female patients and their perceptions of their experience with chronic knee pain</w:t>
            </w:r>
          </w:p>
        </w:tc>
        <w:tc>
          <w:tcPr>
            <w:tcW w:w="279" w:type="pct"/>
          </w:tcPr>
          <w:p w14:paraId="3D90259D"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Thailand/Malaysia</w:t>
            </w:r>
          </w:p>
        </w:tc>
        <w:tc>
          <w:tcPr>
            <w:tcW w:w="418" w:type="pct"/>
            <w:gridSpan w:val="2"/>
          </w:tcPr>
          <w:p w14:paraId="5DFFD8FE"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w:t>
            </w:r>
          </w:p>
        </w:tc>
        <w:tc>
          <w:tcPr>
            <w:tcW w:w="488" w:type="pct"/>
            <w:gridSpan w:val="2"/>
          </w:tcPr>
          <w:p w14:paraId="3B3463C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Shared experience Interview analysis</w:t>
            </w:r>
          </w:p>
        </w:tc>
        <w:tc>
          <w:tcPr>
            <w:tcW w:w="1813" w:type="pct"/>
          </w:tcPr>
          <w:p w14:paraId="63E4015C" w14:textId="59DB1511"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revealed that the shared experiences in managing chronic knee pain involved struggles with pain, limitations due to pain, and fear </w:t>
            </w:r>
            <w:r w:rsidR="00F64A83" w:rsidRPr="00732EED">
              <w:rPr>
                <w:sz w:val="18"/>
                <w:szCs w:val="18"/>
              </w:rPr>
              <w:t>o</w:t>
            </w:r>
            <w:r w:rsidRPr="00732EED">
              <w:rPr>
                <w:sz w:val="18"/>
                <w:szCs w:val="18"/>
              </w:rPr>
              <w:t xml:space="preserve">f the future. Barriers identified included exercise, stigmatization of osteoarthritis, and four larger </w:t>
            </w:r>
            <w:r w:rsidRPr="00732EED">
              <w:rPr>
                <w:sz w:val="18"/>
                <w:szCs w:val="18"/>
              </w:rPr>
              <w:lastRenderedPageBreak/>
              <w:t xml:space="preserve">categories: individual, interpersonal, organizational, and community. </w:t>
            </w:r>
          </w:p>
        </w:tc>
      </w:tr>
      <w:tr w:rsidR="00E31AA5" w:rsidRPr="00732EED" w14:paraId="381F8E9D"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6D4FB2A0" w14:textId="77777777" w:rsidR="001C33D6" w:rsidRPr="00732EED" w:rsidRDefault="001C33D6" w:rsidP="00F0458C">
            <w:pPr>
              <w:rPr>
                <w:sz w:val="18"/>
                <w:szCs w:val="18"/>
              </w:rPr>
            </w:pPr>
            <w:r w:rsidRPr="00732EED">
              <w:rPr>
                <w:sz w:val="18"/>
                <w:szCs w:val="18"/>
              </w:rPr>
              <w:lastRenderedPageBreak/>
              <w:t>89</w:t>
            </w:r>
          </w:p>
        </w:tc>
        <w:tc>
          <w:tcPr>
            <w:tcW w:w="418" w:type="pct"/>
          </w:tcPr>
          <w:p w14:paraId="2584957E"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Jiang et al., 2025</w:t>
            </w:r>
          </w:p>
        </w:tc>
        <w:tc>
          <w:tcPr>
            <w:tcW w:w="488" w:type="pct"/>
            <w:gridSpan w:val="3"/>
          </w:tcPr>
          <w:p w14:paraId="2C849059" w14:textId="2EF900A6"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Interpretative </w:t>
            </w:r>
            <w:r w:rsidR="005B7605" w:rsidRPr="00732EED">
              <w:rPr>
                <w:sz w:val="18"/>
                <w:szCs w:val="18"/>
              </w:rPr>
              <w:t>p</w:t>
            </w:r>
            <w:r w:rsidRPr="00732EED">
              <w:rPr>
                <w:sz w:val="18"/>
                <w:szCs w:val="18"/>
              </w:rPr>
              <w:t xml:space="preserve">henomenological </w:t>
            </w:r>
            <w:r w:rsidR="005B7605" w:rsidRPr="00732EED">
              <w:rPr>
                <w:sz w:val="18"/>
                <w:szCs w:val="18"/>
              </w:rPr>
              <w:t>a</w:t>
            </w:r>
            <w:r w:rsidRPr="00732EED">
              <w:rPr>
                <w:sz w:val="18"/>
                <w:szCs w:val="18"/>
              </w:rPr>
              <w:t>nalysis (IPA)</w:t>
            </w:r>
          </w:p>
        </w:tc>
        <w:tc>
          <w:tcPr>
            <w:tcW w:w="488" w:type="pct"/>
            <w:gridSpan w:val="2"/>
          </w:tcPr>
          <w:p w14:paraId="74A272FB"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social isolation of 20 older adults with chronic diseases in rural areas</w:t>
            </w:r>
          </w:p>
        </w:tc>
        <w:tc>
          <w:tcPr>
            <w:tcW w:w="279" w:type="pct"/>
          </w:tcPr>
          <w:p w14:paraId="1722006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China</w:t>
            </w:r>
          </w:p>
        </w:tc>
        <w:tc>
          <w:tcPr>
            <w:tcW w:w="418" w:type="pct"/>
            <w:gridSpan w:val="2"/>
          </w:tcPr>
          <w:p w14:paraId="0E76DED1"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thematic and interpretative phenomenological analysis. Consolidation of Reports of Qualitative Research (COREQ) standard was also used. Themes and sub-themes developed</w:t>
            </w:r>
          </w:p>
        </w:tc>
        <w:tc>
          <w:tcPr>
            <w:tcW w:w="488" w:type="pct"/>
            <w:gridSpan w:val="2"/>
          </w:tcPr>
          <w:p w14:paraId="014EB88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44096975" w14:textId="6F12A388"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 factors of feeling isolated were (1) guilt, (2) stigmatization</w:t>
            </w:r>
            <w:r w:rsidR="00F64A83" w:rsidRPr="00732EED">
              <w:rPr>
                <w:sz w:val="18"/>
                <w:szCs w:val="18"/>
              </w:rPr>
              <w:t>,</w:t>
            </w:r>
            <w:r w:rsidRPr="00732EED">
              <w:rPr>
                <w:sz w:val="18"/>
                <w:szCs w:val="18"/>
              </w:rPr>
              <w:t xml:space="preserve"> and (3) emotional stress; social factors were (1) lack of social support, (2) meaningless socialization, (3) deterioration of social environment; </w:t>
            </w:r>
            <w:r w:rsidR="00F64A83" w:rsidRPr="00732EED">
              <w:rPr>
                <w:sz w:val="18"/>
                <w:szCs w:val="18"/>
              </w:rPr>
              <w:t xml:space="preserve">and </w:t>
            </w:r>
            <w:r w:rsidRPr="00732EED">
              <w:rPr>
                <w:sz w:val="18"/>
                <w:szCs w:val="18"/>
              </w:rPr>
              <w:t>biological contributors were (1) distress related to chronic illness symptoms</w:t>
            </w:r>
            <w:r w:rsidR="00F64A83" w:rsidRPr="00732EED">
              <w:rPr>
                <w:sz w:val="18"/>
                <w:szCs w:val="18"/>
              </w:rPr>
              <w:t xml:space="preserve"> and</w:t>
            </w:r>
            <w:r w:rsidRPr="00732EED">
              <w:rPr>
                <w:sz w:val="18"/>
                <w:szCs w:val="18"/>
              </w:rPr>
              <w:t xml:space="preserve"> (2) treatment confinement</w:t>
            </w:r>
            <w:r w:rsidR="00F64A83" w:rsidRPr="00732EED">
              <w:rPr>
                <w:sz w:val="18"/>
                <w:szCs w:val="18"/>
              </w:rPr>
              <w:t>.</w:t>
            </w:r>
          </w:p>
        </w:tc>
      </w:tr>
      <w:tr w:rsidR="00E31AA5" w:rsidRPr="00732EED" w14:paraId="5E757BE7"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2DAEEB90" w14:textId="77777777" w:rsidR="001C33D6" w:rsidRPr="00732EED" w:rsidRDefault="001C33D6" w:rsidP="00F0458C">
            <w:pPr>
              <w:rPr>
                <w:sz w:val="18"/>
                <w:szCs w:val="18"/>
              </w:rPr>
            </w:pPr>
            <w:r w:rsidRPr="00732EED">
              <w:rPr>
                <w:sz w:val="18"/>
                <w:szCs w:val="18"/>
              </w:rPr>
              <w:t>90</w:t>
            </w:r>
          </w:p>
        </w:tc>
        <w:tc>
          <w:tcPr>
            <w:tcW w:w="418" w:type="pct"/>
          </w:tcPr>
          <w:p w14:paraId="2A8FB49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Najem et al., 2025</w:t>
            </w:r>
          </w:p>
        </w:tc>
        <w:tc>
          <w:tcPr>
            <w:tcW w:w="488" w:type="pct"/>
            <w:gridSpan w:val="3"/>
          </w:tcPr>
          <w:p w14:paraId="660F4D4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7413BF5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12 patients with chronic low back pain</w:t>
            </w:r>
          </w:p>
        </w:tc>
        <w:tc>
          <w:tcPr>
            <w:tcW w:w="279" w:type="pct"/>
          </w:tcPr>
          <w:p w14:paraId="34A0F2D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Lebanon</w:t>
            </w:r>
          </w:p>
        </w:tc>
        <w:tc>
          <w:tcPr>
            <w:tcW w:w="418" w:type="pct"/>
            <w:gridSpan w:val="2"/>
          </w:tcPr>
          <w:p w14:paraId="1D918B82"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thematic and interpretative phenomenological analysis. Themes and sub-themes developed</w:t>
            </w:r>
          </w:p>
        </w:tc>
        <w:tc>
          <w:tcPr>
            <w:tcW w:w="488" w:type="pct"/>
            <w:gridSpan w:val="2"/>
          </w:tcPr>
          <w:p w14:paraId="73A1CCC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213A8E65" w14:textId="4DBA10B8"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Themes and sub-themes developed regarding chronic low back in </w:t>
            </w:r>
            <w:r w:rsidR="00F64A83" w:rsidRPr="00732EED">
              <w:rPr>
                <w:sz w:val="18"/>
                <w:szCs w:val="18"/>
              </w:rPr>
              <w:t xml:space="preserve">the </w:t>
            </w:r>
            <w:r w:rsidRPr="00732EED">
              <w:rPr>
                <w:sz w:val="18"/>
                <w:szCs w:val="18"/>
              </w:rPr>
              <w:t xml:space="preserve">cultural context in an Arabic speaking society. Social influences of </w:t>
            </w:r>
            <w:r w:rsidR="00F64A83" w:rsidRPr="00732EED">
              <w:rPr>
                <w:sz w:val="18"/>
                <w:szCs w:val="18"/>
              </w:rPr>
              <w:t xml:space="preserve">the </w:t>
            </w:r>
            <w:r w:rsidRPr="00732EED">
              <w:rPr>
                <w:sz w:val="18"/>
                <w:szCs w:val="18"/>
              </w:rPr>
              <w:t xml:space="preserve">Lebanese society were explored. </w:t>
            </w:r>
          </w:p>
        </w:tc>
      </w:tr>
      <w:tr w:rsidR="00E31AA5" w:rsidRPr="00732EED" w14:paraId="2F207CC4"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5C1F2422" w14:textId="77777777" w:rsidR="001C33D6" w:rsidRPr="00732EED" w:rsidRDefault="001C33D6" w:rsidP="00F0458C">
            <w:pPr>
              <w:rPr>
                <w:sz w:val="18"/>
                <w:szCs w:val="18"/>
              </w:rPr>
            </w:pPr>
            <w:r w:rsidRPr="00732EED">
              <w:rPr>
                <w:sz w:val="18"/>
                <w:szCs w:val="18"/>
              </w:rPr>
              <w:t>91</w:t>
            </w:r>
          </w:p>
        </w:tc>
        <w:tc>
          <w:tcPr>
            <w:tcW w:w="418" w:type="pct"/>
          </w:tcPr>
          <w:p w14:paraId="4B04BB05" w14:textId="4623834A"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Putri </w:t>
            </w:r>
            <w:r w:rsidR="00F72C96" w:rsidRPr="00732EED">
              <w:rPr>
                <w:sz w:val="18"/>
                <w:szCs w:val="18"/>
              </w:rPr>
              <w:t>and</w:t>
            </w:r>
            <w:r w:rsidRPr="00732EED">
              <w:rPr>
                <w:sz w:val="18"/>
                <w:szCs w:val="18"/>
              </w:rPr>
              <w:t xml:space="preserve"> Amir, 2025</w:t>
            </w:r>
          </w:p>
        </w:tc>
        <w:tc>
          <w:tcPr>
            <w:tcW w:w="488" w:type="pct"/>
            <w:gridSpan w:val="3"/>
          </w:tcPr>
          <w:p w14:paraId="0F87964C"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5F9D8F2A"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12 participants with chronic illness</w:t>
            </w:r>
          </w:p>
        </w:tc>
        <w:tc>
          <w:tcPr>
            <w:tcW w:w="279" w:type="pct"/>
          </w:tcPr>
          <w:p w14:paraId="3A8A28E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Indonesia</w:t>
            </w:r>
          </w:p>
        </w:tc>
        <w:tc>
          <w:tcPr>
            <w:tcW w:w="418" w:type="pct"/>
            <w:gridSpan w:val="2"/>
          </w:tcPr>
          <w:p w14:paraId="614F2BC8"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Semi-structured interviews with thematic synthesis</w:t>
            </w:r>
          </w:p>
        </w:tc>
        <w:tc>
          <w:tcPr>
            <w:tcW w:w="488" w:type="pct"/>
            <w:gridSpan w:val="2"/>
          </w:tcPr>
          <w:p w14:paraId="354F9503"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4914698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identified key themes of emotional distress, coping mechanisms, and influence of social networks and called for long-term emotional support in patients with chronic illness.</w:t>
            </w:r>
          </w:p>
        </w:tc>
      </w:tr>
      <w:tr w:rsidR="00E31AA5" w:rsidRPr="00732EED" w14:paraId="22CAAF7B"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0C5F2B32" w14:textId="77777777" w:rsidR="001C33D6" w:rsidRPr="00732EED" w:rsidRDefault="001C33D6" w:rsidP="00F0458C">
            <w:pPr>
              <w:rPr>
                <w:sz w:val="18"/>
                <w:szCs w:val="18"/>
              </w:rPr>
            </w:pPr>
            <w:r w:rsidRPr="00732EED">
              <w:rPr>
                <w:sz w:val="18"/>
                <w:szCs w:val="18"/>
              </w:rPr>
              <w:t>92</w:t>
            </w:r>
          </w:p>
        </w:tc>
        <w:tc>
          <w:tcPr>
            <w:tcW w:w="418" w:type="pct"/>
          </w:tcPr>
          <w:p w14:paraId="3A08D54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Shehadeh et al., 2025</w:t>
            </w:r>
          </w:p>
        </w:tc>
        <w:tc>
          <w:tcPr>
            <w:tcW w:w="488" w:type="pct"/>
            <w:gridSpan w:val="3"/>
          </w:tcPr>
          <w:p w14:paraId="7FEB2D3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7C3316DB"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15 healthcare professionals treating patients with chronic illnesses</w:t>
            </w:r>
          </w:p>
        </w:tc>
        <w:tc>
          <w:tcPr>
            <w:tcW w:w="279" w:type="pct"/>
          </w:tcPr>
          <w:p w14:paraId="4F00DB73"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Jordan</w:t>
            </w:r>
          </w:p>
        </w:tc>
        <w:tc>
          <w:tcPr>
            <w:tcW w:w="418" w:type="pct"/>
            <w:gridSpan w:val="2"/>
          </w:tcPr>
          <w:p w14:paraId="6EEFA969"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thematic and interpretative phenomenological analysis. Consolidation of Reports of Qualitative Research (COREQ) standard was also used. Themes and sub-themes developed</w:t>
            </w:r>
          </w:p>
        </w:tc>
        <w:tc>
          <w:tcPr>
            <w:tcW w:w="488" w:type="pct"/>
            <w:gridSpan w:val="2"/>
          </w:tcPr>
          <w:p w14:paraId="7B430AC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w:t>
            </w:r>
          </w:p>
        </w:tc>
        <w:tc>
          <w:tcPr>
            <w:tcW w:w="1813" w:type="pct"/>
          </w:tcPr>
          <w:p w14:paraId="5601EC14" w14:textId="7C3991B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perspectives of healthcare professionals responsible for providing care for older people in nursing homes</w:t>
            </w:r>
            <w:r w:rsidR="00F64A83" w:rsidRPr="00732EED">
              <w:rPr>
                <w:sz w:val="18"/>
                <w:szCs w:val="18"/>
              </w:rPr>
              <w:t>.</w:t>
            </w:r>
            <w:r w:rsidRPr="00732EED">
              <w:rPr>
                <w:sz w:val="18"/>
                <w:szCs w:val="18"/>
              </w:rPr>
              <w:t xml:space="preserve"> Three overarching themes (1) offering dedicated courses and postgraduate programs; (2) improving facilities and resources; and (3) raising awareness and enhancing collaborations.</w:t>
            </w:r>
          </w:p>
        </w:tc>
      </w:tr>
      <w:tr w:rsidR="00E31AA5" w:rsidRPr="00732EED" w14:paraId="07D42994" w14:textId="77777777" w:rsidTr="00535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gridSpan w:val="2"/>
          </w:tcPr>
          <w:p w14:paraId="54BAD0F5" w14:textId="77777777" w:rsidR="001C33D6" w:rsidRPr="00732EED" w:rsidRDefault="001C33D6" w:rsidP="00F0458C">
            <w:pPr>
              <w:rPr>
                <w:sz w:val="18"/>
                <w:szCs w:val="18"/>
              </w:rPr>
            </w:pPr>
            <w:r w:rsidRPr="00732EED">
              <w:rPr>
                <w:sz w:val="18"/>
                <w:szCs w:val="18"/>
              </w:rPr>
              <w:lastRenderedPageBreak/>
              <w:t>93</w:t>
            </w:r>
          </w:p>
        </w:tc>
        <w:tc>
          <w:tcPr>
            <w:tcW w:w="418" w:type="pct"/>
          </w:tcPr>
          <w:p w14:paraId="1DEF2797"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Stilwell et al., 2025</w:t>
            </w:r>
          </w:p>
        </w:tc>
        <w:tc>
          <w:tcPr>
            <w:tcW w:w="488" w:type="pct"/>
            <w:gridSpan w:val="3"/>
          </w:tcPr>
          <w:p w14:paraId="7ACE847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study</w:t>
            </w:r>
          </w:p>
        </w:tc>
        <w:tc>
          <w:tcPr>
            <w:tcW w:w="488" w:type="pct"/>
            <w:gridSpan w:val="2"/>
          </w:tcPr>
          <w:p w14:paraId="5FBE08A0"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Experiences of 12 adults living with chronic pain</w:t>
            </w:r>
          </w:p>
        </w:tc>
        <w:tc>
          <w:tcPr>
            <w:tcW w:w="279" w:type="pct"/>
          </w:tcPr>
          <w:p w14:paraId="185DD225"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Canada</w:t>
            </w:r>
          </w:p>
        </w:tc>
        <w:tc>
          <w:tcPr>
            <w:tcW w:w="418" w:type="pct"/>
            <w:gridSpan w:val="2"/>
          </w:tcPr>
          <w:p w14:paraId="62539E1F"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In-depth, qualitative interviews, thematic and interpretative phenomenological analysis.</w:t>
            </w:r>
          </w:p>
        </w:tc>
        <w:tc>
          <w:tcPr>
            <w:tcW w:w="488" w:type="pct"/>
            <w:gridSpan w:val="2"/>
          </w:tcPr>
          <w:p w14:paraId="3CE5EC72" w14:textId="77777777"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Phenomenological analysis</w:t>
            </w:r>
          </w:p>
        </w:tc>
        <w:tc>
          <w:tcPr>
            <w:tcW w:w="1813" w:type="pct"/>
          </w:tcPr>
          <w:p w14:paraId="5BAC9B71" w14:textId="4FC5EC79" w:rsidR="001C33D6" w:rsidRPr="00732EED" w:rsidRDefault="001C33D6" w:rsidP="00F0458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Development of </w:t>
            </w:r>
            <w:r w:rsidR="00E31AA5" w:rsidRPr="00732EED">
              <w:rPr>
                <w:sz w:val="18"/>
                <w:szCs w:val="18"/>
              </w:rPr>
              <w:t>three</w:t>
            </w:r>
            <w:r w:rsidRPr="00732EED">
              <w:rPr>
                <w:sz w:val="18"/>
                <w:szCs w:val="18"/>
              </w:rPr>
              <w:t xml:space="preserve"> main themes: (1) Pain-related minimal-self disruption involves a disrupted sense of agency, </w:t>
            </w:r>
            <w:r w:rsidR="00E31AA5" w:rsidRPr="00732EED">
              <w:rPr>
                <w:sz w:val="18"/>
                <w:szCs w:val="18"/>
              </w:rPr>
              <w:t>(</w:t>
            </w:r>
            <w:r w:rsidRPr="00732EED">
              <w:rPr>
                <w:sz w:val="18"/>
                <w:szCs w:val="18"/>
              </w:rPr>
              <w:t>2</w:t>
            </w:r>
            <w:r w:rsidR="00E31AA5" w:rsidRPr="00732EED">
              <w:rPr>
                <w:sz w:val="18"/>
                <w:szCs w:val="18"/>
              </w:rPr>
              <w:t>)</w:t>
            </w:r>
            <w:r w:rsidRPr="00732EED">
              <w:rPr>
                <w:sz w:val="18"/>
                <w:szCs w:val="18"/>
              </w:rPr>
              <w:t xml:space="preserve"> Context surrounding minimal-self disruption, </w:t>
            </w:r>
            <w:r w:rsidR="00E31AA5" w:rsidRPr="00732EED">
              <w:rPr>
                <w:sz w:val="18"/>
                <w:szCs w:val="18"/>
              </w:rPr>
              <w:t>and (</w:t>
            </w:r>
            <w:r w:rsidRPr="00732EED">
              <w:rPr>
                <w:sz w:val="18"/>
                <w:szCs w:val="18"/>
              </w:rPr>
              <w:t>3</w:t>
            </w:r>
            <w:r w:rsidR="00E31AA5" w:rsidRPr="00732EED">
              <w:rPr>
                <w:sz w:val="18"/>
                <w:szCs w:val="18"/>
              </w:rPr>
              <w:t>)</w:t>
            </w:r>
            <w:r w:rsidRPr="00732EED">
              <w:rPr>
                <w:sz w:val="18"/>
                <w:szCs w:val="18"/>
              </w:rPr>
              <w:t xml:space="preserve"> Fluidity of self and different modes of suffering</w:t>
            </w:r>
            <w:r w:rsidR="00E31AA5" w:rsidRPr="00732EED">
              <w:rPr>
                <w:sz w:val="18"/>
                <w:szCs w:val="18"/>
              </w:rPr>
              <w:t>.</w:t>
            </w:r>
          </w:p>
        </w:tc>
      </w:tr>
      <w:tr w:rsidR="00E31AA5" w:rsidRPr="00732EED" w14:paraId="6BB5C78C" w14:textId="77777777" w:rsidTr="00535921">
        <w:tc>
          <w:tcPr>
            <w:cnfStyle w:val="001000000000" w:firstRow="0" w:lastRow="0" w:firstColumn="1" w:lastColumn="0" w:oddVBand="0" w:evenVBand="0" w:oddHBand="0" w:evenHBand="0" w:firstRowFirstColumn="0" w:firstRowLastColumn="0" w:lastRowFirstColumn="0" w:lastRowLastColumn="0"/>
            <w:tcW w:w="608" w:type="pct"/>
            <w:gridSpan w:val="2"/>
          </w:tcPr>
          <w:p w14:paraId="714BB8FA" w14:textId="77777777" w:rsidR="001C33D6" w:rsidRPr="00732EED" w:rsidRDefault="001C33D6" w:rsidP="00F0458C">
            <w:pPr>
              <w:rPr>
                <w:sz w:val="18"/>
                <w:szCs w:val="18"/>
              </w:rPr>
            </w:pPr>
            <w:r w:rsidRPr="00732EED">
              <w:rPr>
                <w:sz w:val="18"/>
                <w:szCs w:val="18"/>
              </w:rPr>
              <w:t>94</w:t>
            </w:r>
          </w:p>
        </w:tc>
        <w:tc>
          <w:tcPr>
            <w:tcW w:w="418" w:type="pct"/>
          </w:tcPr>
          <w:p w14:paraId="01044117"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Safour</w:t>
            </w:r>
            <w:proofErr w:type="spellEnd"/>
            <w:r w:rsidRPr="00732EED">
              <w:rPr>
                <w:sz w:val="18"/>
                <w:szCs w:val="18"/>
              </w:rPr>
              <w:t xml:space="preserve"> et al., 2025</w:t>
            </w:r>
          </w:p>
        </w:tc>
        <w:tc>
          <w:tcPr>
            <w:tcW w:w="488" w:type="pct"/>
            <w:gridSpan w:val="3"/>
          </w:tcPr>
          <w:p w14:paraId="44E1F6CB" w14:textId="5B707DFB"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Interpretative phenomenological analysis (IPA)</w:t>
            </w:r>
          </w:p>
        </w:tc>
        <w:tc>
          <w:tcPr>
            <w:tcW w:w="488" w:type="pct"/>
            <w:gridSpan w:val="2"/>
          </w:tcPr>
          <w:p w14:paraId="2BC5A666"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Experiences of 6 adult patients with chronic temporomandibular disorders</w:t>
            </w:r>
          </w:p>
        </w:tc>
        <w:tc>
          <w:tcPr>
            <w:tcW w:w="279" w:type="pct"/>
          </w:tcPr>
          <w:p w14:paraId="588D4E5A"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Canada</w:t>
            </w:r>
          </w:p>
        </w:tc>
        <w:tc>
          <w:tcPr>
            <w:tcW w:w="418" w:type="pct"/>
            <w:gridSpan w:val="2"/>
          </w:tcPr>
          <w:p w14:paraId="4003AE7C"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Semi-structured interviews, thematic and interpretative phenomenological analysis.</w:t>
            </w:r>
          </w:p>
        </w:tc>
        <w:tc>
          <w:tcPr>
            <w:tcW w:w="488" w:type="pct"/>
            <w:gridSpan w:val="2"/>
          </w:tcPr>
          <w:p w14:paraId="68499214" w14:textId="77777777"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Phenomenological analysis, constructivist ontology</w:t>
            </w:r>
          </w:p>
        </w:tc>
        <w:tc>
          <w:tcPr>
            <w:tcW w:w="1813" w:type="pct"/>
          </w:tcPr>
          <w:p w14:paraId="6975EA98" w14:textId="62F7EE4C" w:rsidR="001C33D6" w:rsidRPr="00732EED" w:rsidRDefault="001C33D6" w:rsidP="00F0458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Development of </w:t>
            </w:r>
            <w:r w:rsidR="00E31AA5" w:rsidRPr="00732EED">
              <w:rPr>
                <w:sz w:val="18"/>
                <w:szCs w:val="18"/>
              </w:rPr>
              <w:t>four</w:t>
            </w:r>
            <w:r w:rsidRPr="00732EED">
              <w:rPr>
                <w:sz w:val="18"/>
                <w:szCs w:val="18"/>
              </w:rPr>
              <w:t xml:space="preserve"> themes: (1) fatigue, frustration</w:t>
            </w:r>
            <w:r w:rsidR="00E31AA5" w:rsidRPr="00732EED">
              <w:rPr>
                <w:sz w:val="18"/>
                <w:szCs w:val="18"/>
              </w:rPr>
              <w:t>,</w:t>
            </w:r>
            <w:r w:rsidRPr="00732EED">
              <w:rPr>
                <w:sz w:val="18"/>
                <w:szCs w:val="18"/>
              </w:rPr>
              <w:t xml:space="preserve"> and physical limitations, (2) communication challenges affecting self-expression in social and professional setting</w:t>
            </w:r>
            <w:r w:rsidR="00E31AA5" w:rsidRPr="00732EED">
              <w:rPr>
                <w:sz w:val="18"/>
                <w:szCs w:val="18"/>
              </w:rPr>
              <w:t>s</w:t>
            </w:r>
            <w:r w:rsidRPr="00732EED">
              <w:rPr>
                <w:sz w:val="18"/>
                <w:szCs w:val="18"/>
              </w:rPr>
              <w:t xml:space="preserve">, (3) adjustments and accommodations in </w:t>
            </w:r>
            <w:r w:rsidR="00E31AA5" w:rsidRPr="00732EED">
              <w:rPr>
                <w:sz w:val="18"/>
                <w:szCs w:val="18"/>
              </w:rPr>
              <w:t xml:space="preserve">the </w:t>
            </w:r>
            <w:r w:rsidRPr="00732EED">
              <w:rPr>
                <w:sz w:val="18"/>
                <w:szCs w:val="18"/>
              </w:rPr>
              <w:t xml:space="preserve">social and professional life, </w:t>
            </w:r>
            <w:r w:rsidR="00E31AA5" w:rsidRPr="00732EED">
              <w:rPr>
                <w:sz w:val="18"/>
                <w:szCs w:val="18"/>
              </w:rPr>
              <w:t xml:space="preserve">and </w:t>
            </w:r>
            <w:r w:rsidRPr="00732EED">
              <w:rPr>
                <w:sz w:val="18"/>
                <w:szCs w:val="18"/>
              </w:rPr>
              <w:t>(4) frustrations seeking medical help</w:t>
            </w:r>
            <w:r w:rsidR="00E31AA5" w:rsidRPr="00732EED">
              <w:rPr>
                <w:sz w:val="18"/>
                <w:szCs w:val="18"/>
              </w:rPr>
              <w:t>.</w:t>
            </w:r>
          </w:p>
        </w:tc>
      </w:tr>
    </w:tbl>
    <w:p w14:paraId="56B2DE60" w14:textId="69A8E4C0" w:rsidR="00CE2575" w:rsidRPr="00732EED" w:rsidRDefault="00CE2575" w:rsidP="00CE2575">
      <w:pPr>
        <w:rPr>
          <w:sz w:val="18"/>
          <w:szCs w:val="18"/>
        </w:rPr>
      </w:pPr>
      <w:r w:rsidRPr="00732EED">
        <w:rPr>
          <w:sz w:val="18"/>
          <w:szCs w:val="18"/>
        </w:rPr>
        <w:t xml:space="preserve">* Study ID: full citations for each Study ID are provided in Supplementary </w:t>
      </w:r>
      <w:r w:rsidR="004F4FA7" w:rsidRPr="00732EED">
        <w:rPr>
          <w:sz w:val="18"/>
          <w:szCs w:val="18"/>
        </w:rPr>
        <w:t xml:space="preserve">References (also see </w:t>
      </w:r>
      <w:r w:rsidRPr="00732EED">
        <w:rPr>
          <w:sz w:val="18"/>
          <w:szCs w:val="18"/>
        </w:rPr>
        <w:t>Table S</w:t>
      </w:r>
      <w:r w:rsidR="004F4FA7" w:rsidRPr="00732EED">
        <w:rPr>
          <w:sz w:val="18"/>
          <w:szCs w:val="18"/>
        </w:rPr>
        <w:t>4</w:t>
      </w:r>
      <w:r w:rsidRPr="00732EED">
        <w:rPr>
          <w:sz w:val="18"/>
          <w:szCs w:val="18"/>
        </w:rPr>
        <w:t xml:space="preserve"> (Study number</w:t>
      </w:r>
      <w:r w:rsidR="004F4FA7" w:rsidRPr="00732EED">
        <w:rPr>
          <w:sz w:val="18"/>
          <w:szCs w:val="18"/>
        </w:rPr>
        <w:t xml:space="preserve">: </w:t>
      </w:r>
      <w:r w:rsidRPr="00732EED">
        <w:rPr>
          <w:sz w:val="18"/>
          <w:szCs w:val="18"/>
        </w:rPr>
        <w:t>full reference mapping). Abbreviations: IPA = Interpretative Phenomenological Analysis; RCT = randomized controlled trial; COREQ = Consolidated Criteria for Reporting Qualitative Research; JBI</w:t>
      </w:r>
      <w:r w:rsidRPr="00732EED">
        <w:rPr>
          <w:sz w:val="18"/>
          <w:szCs w:val="18"/>
        </w:rPr>
        <w:noBreakHyphen/>
        <w:t>QUARI = Joanna Briggs Institute Qualitative Assessment and Review Instrument. Columns: "Population" reflects participant sample described by each study; "Setting/Country" indicates study location or sample recruitment source; blank cells indicate data not reported in the source. Quality appraisal: study quality appraisals (CASP/MMAT) and GRADE</w:t>
      </w:r>
      <w:r w:rsidRPr="00732EED">
        <w:rPr>
          <w:sz w:val="18"/>
          <w:szCs w:val="18"/>
        </w:rPr>
        <w:noBreakHyphen/>
      </w:r>
      <w:proofErr w:type="spellStart"/>
      <w:r w:rsidRPr="00732EED">
        <w:rPr>
          <w:sz w:val="18"/>
          <w:szCs w:val="18"/>
        </w:rPr>
        <w:t>CERQual</w:t>
      </w:r>
      <w:proofErr w:type="spellEnd"/>
      <w:r w:rsidRPr="00732EED">
        <w:rPr>
          <w:sz w:val="18"/>
          <w:szCs w:val="18"/>
        </w:rPr>
        <w:t xml:space="preserve"> evidence profiles are reported in Supplementary Tables S4 and S5.  Duplication/overlap: where multiple papers used the same participant sample (e.g., Ojala 2014/2015 series; Stensland sub</w:t>
      </w:r>
      <w:r w:rsidRPr="00732EED">
        <w:rPr>
          <w:sz w:val="18"/>
          <w:szCs w:val="18"/>
        </w:rPr>
        <w:noBreakHyphen/>
        <w:t xml:space="preserve">studies), this is documented in Supplementary Table S4 and counted as linked reports rather than independent samples. Date &amp; coverage: searches and inclusion cover publications indexed from </w:t>
      </w:r>
      <w:r w:rsidR="00327C23" w:rsidRPr="00732EED">
        <w:rPr>
          <w:sz w:val="18"/>
          <w:szCs w:val="18"/>
        </w:rPr>
        <w:t>2010-07-01 to 2025-07-31</w:t>
      </w:r>
      <w:r w:rsidRPr="00732EED">
        <w:rPr>
          <w:sz w:val="18"/>
          <w:szCs w:val="18"/>
        </w:rPr>
        <w:t>. Ethics &amp; consent: original primary studies reported ethical approval and participant consent as per their respective publications; where not stated, this is noted in the appraisal tables. Scope &amp; exclusions: table includes primary qualitative studies and qualitative syntheses only; dissertations, book chapters, and purely quantitative studies were excluded (see Methods).</w:t>
      </w:r>
    </w:p>
    <w:p w14:paraId="52D8B44B" w14:textId="2709F0A7" w:rsidR="00CE2575" w:rsidRPr="00732EED" w:rsidRDefault="00CE2575" w:rsidP="00D30385">
      <w:pPr>
        <w:rPr>
          <w:b/>
          <w:sz w:val="18"/>
          <w:szCs w:val="18"/>
        </w:rPr>
      </w:pPr>
    </w:p>
    <w:p w14:paraId="3DF9372D" w14:textId="77777777" w:rsidR="00CE2575" w:rsidRPr="00732EED" w:rsidRDefault="00CE2575" w:rsidP="00D30385">
      <w:pPr>
        <w:rPr>
          <w:b/>
          <w:sz w:val="18"/>
          <w:szCs w:val="18"/>
        </w:rPr>
      </w:pPr>
    </w:p>
    <w:p w14:paraId="0585B298" w14:textId="77777777" w:rsidR="00CE2575" w:rsidRPr="00732EED" w:rsidRDefault="00CE2575" w:rsidP="00D30385">
      <w:pPr>
        <w:rPr>
          <w:b/>
          <w:sz w:val="18"/>
          <w:szCs w:val="18"/>
        </w:rPr>
      </w:pPr>
    </w:p>
    <w:p w14:paraId="114D8C13" w14:textId="77777777" w:rsidR="00CE2575" w:rsidRPr="00732EED" w:rsidRDefault="00CE2575" w:rsidP="00D30385">
      <w:pPr>
        <w:rPr>
          <w:b/>
          <w:sz w:val="18"/>
          <w:szCs w:val="18"/>
        </w:rPr>
      </w:pPr>
    </w:p>
    <w:p w14:paraId="72383B10" w14:textId="14082380" w:rsidR="00D30385" w:rsidRPr="00732EED" w:rsidRDefault="00D30385" w:rsidP="00D30385">
      <w:pPr>
        <w:rPr>
          <w:b/>
          <w:color w:val="000000"/>
          <w:sz w:val="18"/>
          <w:szCs w:val="18"/>
        </w:rPr>
      </w:pPr>
      <w:r w:rsidRPr="00732EED">
        <w:rPr>
          <w:b/>
          <w:color w:val="000000"/>
          <w:sz w:val="18"/>
          <w:szCs w:val="18"/>
        </w:rPr>
        <w:t>Table S</w:t>
      </w:r>
      <w:r w:rsidR="000F2A82" w:rsidRPr="00732EED">
        <w:rPr>
          <w:b/>
          <w:color w:val="000000"/>
          <w:sz w:val="18"/>
          <w:szCs w:val="18"/>
        </w:rPr>
        <w:t>5</w:t>
      </w:r>
      <w:r w:rsidRPr="00732EED">
        <w:rPr>
          <w:b/>
          <w:color w:val="000000"/>
          <w:sz w:val="18"/>
          <w:szCs w:val="18"/>
        </w:rPr>
        <w:t>. Summary of the GRADE-</w:t>
      </w:r>
      <w:proofErr w:type="spellStart"/>
      <w:r w:rsidRPr="00732EED">
        <w:rPr>
          <w:b/>
          <w:color w:val="000000"/>
          <w:sz w:val="18"/>
          <w:szCs w:val="18"/>
        </w:rPr>
        <w:t>CERQual</w:t>
      </w:r>
      <w:proofErr w:type="spellEnd"/>
      <w:r w:rsidRPr="00732EED">
        <w:rPr>
          <w:b/>
          <w:color w:val="000000"/>
          <w:sz w:val="18"/>
          <w:szCs w:val="18"/>
        </w:rPr>
        <w:t xml:space="preserve"> review of literature used in the hermeneutic phenomenology</w:t>
      </w:r>
      <w:r w:rsidR="00765C10" w:rsidRPr="00732EED">
        <w:rPr>
          <w:b/>
          <w:color w:val="000000"/>
          <w:sz w:val="18"/>
          <w:szCs w:val="18"/>
        </w:rPr>
        <w:t xml:space="preserve"> (Phase </w:t>
      </w:r>
      <w:proofErr w:type="gramStart"/>
      <w:r w:rsidR="00765C10" w:rsidRPr="00732EED">
        <w:rPr>
          <w:b/>
          <w:color w:val="000000"/>
          <w:sz w:val="18"/>
          <w:szCs w:val="18"/>
        </w:rPr>
        <w:t>1)*</w:t>
      </w:r>
      <w:proofErr w:type="gramEnd"/>
    </w:p>
    <w:tbl>
      <w:tblPr>
        <w:tblStyle w:val="PlainTable1"/>
        <w:tblW w:w="5000" w:type="pct"/>
        <w:tblLook w:val="04A0" w:firstRow="1" w:lastRow="0" w:firstColumn="1" w:lastColumn="0" w:noHBand="0" w:noVBand="1"/>
      </w:tblPr>
      <w:tblGrid>
        <w:gridCol w:w="1183"/>
        <w:gridCol w:w="2276"/>
        <w:gridCol w:w="2533"/>
        <w:gridCol w:w="2409"/>
        <w:gridCol w:w="2598"/>
        <w:gridCol w:w="2563"/>
      </w:tblGrid>
      <w:tr w:rsidR="000747DA" w:rsidRPr="00732EED" w14:paraId="77109BDC" w14:textId="77777777" w:rsidTr="00E46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AE8C547" w14:textId="7C0B6BD9" w:rsidR="000747DA" w:rsidRPr="00732EED" w:rsidRDefault="000747DA" w:rsidP="000747DA">
            <w:pPr>
              <w:rPr>
                <w:sz w:val="18"/>
                <w:szCs w:val="18"/>
              </w:rPr>
            </w:pPr>
            <w:r w:rsidRPr="00732EED">
              <w:rPr>
                <w:color w:val="000000" w:themeColor="text1"/>
                <w:sz w:val="18"/>
                <w:szCs w:val="18"/>
              </w:rPr>
              <w:t>Study Number</w:t>
            </w:r>
          </w:p>
        </w:tc>
        <w:tc>
          <w:tcPr>
            <w:tcW w:w="839" w:type="pct"/>
          </w:tcPr>
          <w:p w14:paraId="2EE50F88" w14:textId="64627DFB" w:rsidR="000747DA" w:rsidRPr="00732EED" w:rsidRDefault="000747DA" w:rsidP="000747DA">
            <w:pPr>
              <w:cnfStyle w:val="100000000000" w:firstRow="1" w:lastRow="0" w:firstColumn="0" w:lastColumn="0" w:oddVBand="0" w:evenVBand="0" w:oddHBand="0" w:evenHBand="0" w:firstRowFirstColumn="0" w:firstRowLastColumn="0" w:lastRowFirstColumn="0" w:lastRowLastColumn="0"/>
              <w:rPr>
                <w:sz w:val="18"/>
                <w:szCs w:val="18"/>
              </w:rPr>
            </w:pPr>
            <w:r w:rsidRPr="00732EED">
              <w:rPr>
                <w:color w:val="000000" w:themeColor="text1"/>
                <w:sz w:val="18"/>
                <w:szCs w:val="18"/>
              </w:rPr>
              <w:t>Study ID</w:t>
            </w:r>
          </w:p>
        </w:tc>
        <w:tc>
          <w:tcPr>
            <w:tcW w:w="934" w:type="pct"/>
          </w:tcPr>
          <w:p w14:paraId="2491ACF9" w14:textId="4673234A" w:rsidR="000747DA" w:rsidRPr="00732EED" w:rsidRDefault="000747DA" w:rsidP="000747DA">
            <w:pPr>
              <w:cnfStyle w:val="100000000000" w:firstRow="1" w:lastRow="0" w:firstColumn="0" w:lastColumn="0" w:oddVBand="0" w:evenVBand="0" w:oddHBand="0" w:evenHBand="0" w:firstRowFirstColumn="0" w:firstRowLastColumn="0" w:lastRowFirstColumn="0" w:lastRowLastColumn="0"/>
              <w:rPr>
                <w:sz w:val="18"/>
                <w:szCs w:val="18"/>
              </w:rPr>
            </w:pPr>
            <w:r w:rsidRPr="00732EED">
              <w:rPr>
                <w:color w:val="000000" w:themeColor="text1"/>
                <w:sz w:val="18"/>
                <w:szCs w:val="18"/>
              </w:rPr>
              <w:t>Methodological Limitations</w:t>
            </w:r>
          </w:p>
        </w:tc>
        <w:tc>
          <w:tcPr>
            <w:tcW w:w="888" w:type="pct"/>
          </w:tcPr>
          <w:p w14:paraId="03A59AC3" w14:textId="6E311BF4" w:rsidR="000747DA" w:rsidRPr="00732EED" w:rsidRDefault="000747DA" w:rsidP="000747DA">
            <w:pPr>
              <w:cnfStyle w:val="100000000000" w:firstRow="1" w:lastRow="0" w:firstColumn="0" w:lastColumn="0" w:oddVBand="0" w:evenVBand="0" w:oddHBand="0" w:evenHBand="0" w:firstRowFirstColumn="0" w:firstRowLastColumn="0" w:lastRowFirstColumn="0" w:lastRowLastColumn="0"/>
              <w:rPr>
                <w:sz w:val="18"/>
                <w:szCs w:val="18"/>
              </w:rPr>
            </w:pPr>
            <w:r w:rsidRPr="00732EED">
              <w:rPr>
                <w:color w:val="000000" w:themeColor="text1"/>
                <w:sz w:val="18"/>
                <w:szCs w:val="18"/>
              </w:rPr>
              <w:t>Coherence</w:t>
            </w:r>
          </w:p>
        </w:tc>
        <w:tc>
          <w:tcPr>
            <w:tcW w:w="958" w:type="pct"/>
          </w:tcPr>
          <w:p w14:paraId="032ED734" w14:textId="424250D5" w:rsidR="000747DA" w:rsidRPr="00732EED" w:rsidRDefault="000747DA" w:rsidP="000747DA">
            <w:pPr>
              <w:cnfStyle w:val="100000000000" w:firstRow="1" w:lastRow="0" w:firstColumn="0" w:lastColumn="0" w:oddVBand="0" w:evenVBand="0" w:oddHBand="0" w:evenHBand="0" w:firstRowFirstColumn="0" w:firstRowLastColumn="0" w:lastRowFirstColumn="0" w:lastRowLastColumn="0"/>
              <w:rPr>
                <w:sz w:val="18"/>
                <w:szCs w:val="18"/>
              </w:rPr>
            </w:pPr>
            <w:r w:rsidRPr="00732EED">
              <w:rPr>
                <w:color w:val="000000" w:themeColor="text1"/>
                <w:sz w:val="18"/>
                <w:szCs w:val="18"/>
              </w:rPr>
              <w:t>Adequacy of Data</w:t>
            </w:r>
          </w:p>
        </w:tc>
        <w:tc>
          <w:tcPr>
            <w:tcW w:w="946" w:type="pct"/>
          </w:tcPr>
          <w:p w14:paraId="37028762" w14:textId="4C838253" w:rsidR="000747DA" w:rsidRPr="00732EED" w:rsidRDefault="000747DA" w:rsidP="000747DA">
            <w:pPr>
              <w:cnfStyle w:val="100000000000" w:firstRow="1" w:lastRow="0" w:firstColumn="0" w:lastColumn="0" w:oddVBand="0" w:evenVBand="0" w:oddHBand="0" w:evenHBand="0" w:firstRowFirstColumn="0" w:firstRowLastColumn="0" w:lastRowFirstColumn="0" w:lastRowLastColumn="0"/>
              <w:rPr>
                <w:sz w:val="18"/>
                <w:szCs w:val="18"/>
              </w:rPr>
            </w:pPr>
            <w:r w:rsidRPr="00732EED">
              <w:rPr>
                <w:color w:val="000000" w:themeColor="text1"/>
                <w:sz w:val="18"/>
                <w:szCs w:val="18"/>
              </w:rPr>
              <w:t>Relevance</w:t>
            </w:r>
          </w:p>
        </w:tc>
      </w:tr>
      <w:tr w:rsidR="0027538E" w:rsidRPr="00732EED" w14:paraId="1D5C8EDA"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3382EEC" w14:textId="77777777" w:rsidR="0027538E" w:rsidRPr="00732EED" w:rsidRDefault="0027538E" w:rsidP="0027538E">
            <w:pPr>
              <w:rPr>
                <w:sz w:val="18"/>
                <w:szCs w:val="18"/>
              </w:rPr>
            </w:pPr>
            <w:r w:rsidRPr="00732EED">
              <w:rPr>
                <w:sz w:val="18"/>
                <w:szCs w:val="18"/>
              </w:rPr>
              <w:t>1</w:t>
            </w:r>
          </w:p>
        </w:tc>
        <w:tc>
          <w:tcPr>
            <w:tcW w:w="839" w:type="pct"/>
          </w:tcPr>
          <w:p w14:paraId="2D6CF21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Krohne and </w:t>
            </w:r>
            <w:proofErr w:type="spellStart"/>
            <w:r w:rsidRPr="00732EED">
              <w:rPr>
                <w:sz w:val="18"/>
                <w:szCs w:val="18"/>
              </w:rPr>
              <w:t>Ihlebaek</w:t>
            </w:r>
            <w:proofErr w:type="spellEnd"/>
            <w:r w:rsidRPr="00732EED">
              <w:rPr>
                <w:sz w:val="18"/>
                <w:szCs w:val="18"/>
              </w:rPr>
              <w:t>, 2010</w:t>
            </w:r>
          </w:p>
        </w:tc>
        <w:tc>
          <w:tcPr>
            <w:tcW w:w="934" w:type="pct"/>
          </w:tcPr>
          <w:p w14:paraId="478F6A5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employed standard qualitative methods, including focus groups and Systematic Text Condensation, and followed ethical protocols. However, confidence is tempered by a small sample size (n=14) and recruitment through patient organizations, which the authors admit may limit transferability as these individuals may be more “proactive” than the typical patient. Additionally, the WAD diagnoses were self-reported rather than medically documented for the study.</w:t>
            </w:r>
          </w:p>
        </w:tc>
        <w:tc>
          <w:tcPr>
            <w:tcW w:w="888" w:type="pct"/>
          </w:tcPr>
          <w:p w14:paraId="63EE6DB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CF483A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There is a clear and strong link between the underlying data (verbatim participant quotes) and the identified themes of dominant symptoms and coping strategies. Furthermore, the findings, such as the fluctuating nature of pain and the use of specific coping mechanisms, are noted by the authors to be consistent with existing literature on chronic pain and WAD.</w:t>
            </w:r>
          </w:p>
        </w:tc>
        <w:tc>
          <w:tcPr>
            <w:tcW w:w="958" w:type="pct"/>
          </w:tcPr>
          <w:p w14:paraId="5B6AE2D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researchers reported reaching theme saturation between the groups, suggesting that the data collected was sufficient to cover the relevant concepts. The use of 90-minute focus group sessions allowed for rich, in-depth discussions where participants could express experiences in their own words, providing high-quality qualitative data.</w:t>
            </w:r>
          </w:p>
        </w:tc>
        <w:tc>
          <w:tcPr>
            <w:tcW w:w="946" w:type="pct"/>
          </w:tcPr>
          <w:p w14:paraId="2E8D887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6B9B4D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is directly relevant to its own stated objectives of exploring how individuals with chronic WAD cope on a day-to-day basis. It specifically addresses </w:t>
            </w:r>
            <w:proofErr w:type="gramStart"/>
            <w:r w:rsidRPr="00732EED">
              <w:rPr>
                <w:sz w:val="18"/>
                <w:szCs w:val="18"/>
              </w:rPr>
              <w:t>a</w:t>
            </w:r>
            <w:proofErr w:type="gramEnd"/>
            <w:r w:rsidRPr="00732EED">
              <w:rPr>
                <w:sz w:val="18"/>
                <w:szCs w:val="18"/>
              </w:rPr>
              <w:t xml:space="preserve"> identified gap in qualitative insight regarding the “lay health resources” and self-initiated strategies used by this population, making the findings highly applicable to clinical understanding of patient experiences.</w:t>
            </w:r>
          </w:p>
        </w:tc>
      </w:tr>
      <w:tr w:rsidR="0027538E" w:rsidRPr="00732EED" w14:paraId="67EA1738"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02E111BF" w14:textId="77777777" w:rsidR="0027538E" w:rsidRPr="00732EED" w:rsidRDefault="0027538E" w:rsidP="0027538E">
            <w:pPr>
              <w:rPr>
                <w:sz w:val="18"/>
                <w:szCs w:val="18"/>
              </w:rPr>
            </w:pPr>
            <w:r w:rsidRPr="00732EED">
              <w:rPr>
                <w:sz w:val="18"/>
                <w:szCs w:val="18"/>
              </w:rPr>
              <w:lastRenderedPageBreak/>
              <w:t>2</w:t>
            </w:r>
          </w:p>
        </w:tc>
        <w:tc>
          <w:tcPr>
            <w:tcW w:w="839" w:type="pct"/>
          </w:tcPr>
          <w:p w14:paraId="0F7289F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w:t>
            </w:r>
            <w:proofErr w:type="spellStart"/>
            <w:r w:rsidRPr="00732EED">
              <w:rPr>
                <w:sz w:val="18"/>
                <w:szCs w:val="18"/>
              </w:rPr>
              <w:t>Skjutar</w:t>
            </w:r>
            <w:proofErr w:type="spellEnd"/>
            <w:r w:rsidRPr="00732EED">
              <w:rPr>
                <w:sz w:val="18"/>
                <w:szCs w:val="18"/>
              </w:rPr>
              <w:t xml:space="preserve"> and </w:t>
            </w:r>
            <w:proofErr w:type="spellStart"/>
            <w:r w:rsidRPr="00732EED">
              <w:rPr>
                <w:sz w:val="18"/>
                <w:szCs w:val="18"/>
              </w:rPr>
              <w:t>Müllersdorf</w:t>
            </w:r>
            <w:proofErr w:type="spellEnd"/>
            <w:r w:rsidRPr="00732EED">
              <w:rPr>
                <w:sz w:val="18"/>
                <w:szCs w:val="18"/>
              </w:rPr>
              <w:t>, 2010</w:t>
            </w:r>
          </w:p>
        </w:tc>
        <w:tc>
          <w:tcPr>
            <w:tcW w:w="934" w:type="pct"/>
          </w:tcPr>
          <w:p w14:paraId="3824218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used a robust framework for trustworthiness, including triangulation, peer debriefing, thick descriptions, and an audit trail. However, limitations exist: the use of a convenience sample of only 10 participants from a single rehabilitation unit, potential researcher bias as both authors are occupational therapists, and the presence of family members as translators for two participants, which may have restricted open communication.</w:t>
            </w:r>
          </w:p>
        </w:tc>
        <w:tc>
          <w:tcPr>
            <w:tcW w:w="888" w:type="pct"/>
          </w:tcPr>
          <w:p w14:paraId="5D2608A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strongly supported by the underlying data, with verbatim quotes illustrating each of the three themes. The study also demonstrates high coherence by showing how the results align with existing theoretical frameworks, such as the Shifting Perspectives Model of Chronic Illness, and other empirical research on chronic pain management.</w:t>
            </w:r>
          </w:p>
        </w:tc>
        <w:tc>
          <w:tcPr>
            <w:tcW w:w="958" w:type="pct"/>
          </w:tcPr>
          <w:p w14:paraId="1726269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The study provides “thick descriptions” and uses thematic content analysis to move beyond literal descriptions to latent meanings. While the data is rich in detail, the quantity is limited to 10 participants with </w:t>
            </w:r>
            <w:proofErr w:type="gramStart"/>
            <w:r w:rsidRPr="00732EED">
              <w:rPr>
                <w:sz w:val="18"/>
                <w:szCs w:val="18"/>
              </w:rPr>
              <w:t>30-60 minute</w:t>
            </w:r>
            <w:proofErr w:type="gramEnd"/>
            <w:r w:rsidRPr="00732EED">
              <w:rPr>
                <w:sz w:val="18"/>
                <w:szCs w:val="18"/>
              </w:rPr>
              <w:t xml:space="preserve"> interviews each, which is a small sample size even for qualitative research.</w:t>
            </w:r>
          </w:p>
        </w:tc>
        <w:tc>
          <w:tcPr>
            <w:tcW w:w="946" w:type="pct"/>
          </w:tcPr>
          <w:p w14:paraId="2DA32C5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t>The study is directly applicable to the experiences of people living with chronic pain. It specifically addresses the gap in clinical practice regarding the understanding of patient-perceived needs versus provider-led interventions, making it highly relevant to the context of chronic pain rehabilitation.</w:t>
            </w:r>
          </w:p>
        </w:tc>
      </w:tr>
      <w:tr w:rsidR="0027538E" w:rsidRPr="00732EED" w14:paraId="187BB0FD" w14:textId="77777777" w:rsidTr="00E46AB8">
        <w:trPr>
          <w:cnfStyle w:val="000000100000" w:firstRow="0" w:lastRow="0" w:firstColumn="0" w:lastColumn="0" w:oddVBand="0" w:evenVBand="0" w:oddHBand="1" w:evenHBand="0" w:firstRowFirstColumn="0" w:firstRowLastColumn="0" w:lastRowFirstColumn="0" w:lastRowLastColumn="0"/>
          <w:trHeight w:val="3482"/>
        </w:trPr>
        <w:tc>
          <w:tcPr>
            <w:cnfStyle w:val="001000000000" w:firstRow="0" w:lastRow="0" w:firstColumn="1" w:lastColumn="0" w:oddVBand="0" w:evenVBand="0" w:oddHBand="0" w:evenHBand="0" w:firstRowFirstColumn="0" w:firstRowLastColumn="0" w:lastRowFirstColumn="0" w:lastRowLastColumn="0"/>
            <w:tcW w:w="436" w:type="pct"/>
          </w:tcPr>
          <w:p w14:paraId="1A89AFF7" w14:textId="77777777" w:rsidR="0027538E" w:rsidRPr="00732EED" w:rsidRDefault="0027538E" w:rsidP="0027538E">
            <w:pPr>
              <w:rPr>
                <w:sz w:val="18"/>
                <w:szCs w:val="18"/>
              </w:rPr>
            </w:pPr>
            <w:r w:rsidRPr="00732EED">
              <w:rPr>
                <w:sz w:val="18"/>
                <w:szCs w:val="18"/>
              </w:rPr>
              <w:t>3</w:t>
            </w:r>
          </w:p>
        </w:tc>
        <w:tc>
          <w:tcPr>
            <w:tcW w:w="839" w:type="pct"/>
          </w:tcPr>
          <w:p w14:paraId="2F304A6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Vallerand and Nowak, 2010</w:t>
            </w:r>
          </w:p>
        </w:tc>
        <w:tc>
          <w:tcPr>
            <w:tcW w:w="934" w:type="pct"/>
          </w:tcPr>
          <w:p w14:paraId="6AA4448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3AE62F2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researchers employed several methods to enhance rigor, including inter-rater reliability (three researchers verifying codes), serial interviews for validation, and theoretical sampling to saturation. However, the authors acknowledge significant limitations: the study is not prospective, leading to potential recall bias, and the sample was limited to two clinical sites with participants who had primarily positive experiences with opioid therapy.</w:t>
            </w:r>
          </w:p>
        </w:tc>
        <w:tc>
          <w:tcPr>
            <w:tcW w:w="888" w:type="pct"/>
          </w:tcPr>
          <w:p w14:paraId="2BAC073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the underlying data, with extensive verbatim quotes illustrating each emerged theme, such as “desperation” before treatment and "balancing" or “secrecy” after. The authors also established credibility by returning to participants for a second interview to validate that the identified themes matched their lived experiences.</w:t>
            </w:r>
          </w:p>
        </w:tc>
        <w:tc>
          <w:tcPr>
            <w:tcW w:w="958" w:type="pct"/>
          </w:tcPr>
          <w:p w14:paraId="019EBD1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1C85CC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reached data saturation with a sample of 22 participants, which provided a rich, “thick” description of the human experience through in-depth serial tape-recorded interviews. This qualitative approach successfully captured the complexity and multidimensionality of the patients' lives that quantitative scales often miss.</w:t>
            </w:r>
          </w:p>
        </w:tc>
        <w:tc>
          <w:tcPr>
            <w:tcW w:w="946" w:type="pct"/>
          </w:tcPr>
          <w:p w14:paraId="3E9C97E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applicable to the context of understanding the patient's perspective on chronic opioid therapy, a controversial and debated treatment modality. The findings provide clinicians and nurses with essential insights to act as advocates and improve the delivery of holistic care for those living with chronic nonmalignant pain.</w:t>
            </w:r>
          </w:p>
        </w:tc>
      </w:tr>
      <w:tr w:rsidR="0027538E" w:rsidRPr="00732EED" w14:paraId="5B1A76FD"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5C41A55D" w14:textId="77777777" w:rsidR="0027538E" w:rsidRPr="00732EED" w:rsidRDefault="0027538E" w:rsidP="0027538E">
            <w:pPr>
              <w:rPr>
                <w:sz w:val="18"/>
                <w:szCs w:val="18"/>
              </w:rPr>
            </w:pPr>
            <w:r w:rsidRPr="00732EED">
              <w:rPr>
                <w:sz w:val="18"/>
                <w:szCs w:val="18"/>
              </w:rPr>
              <w:t>4</w:t>
            </w:r>
          </w:p>
        </w:tc>
        <w:tc>
          <w:tcPr>
            <w:tcW w:w="839" w:type="pct"/>
          </w:tcPr>
          <w:p w14:paraId="5D71B74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Hansson et al., 2011</w:t>
            </w:r>
          </w:p>
        </w:tc>
        <w:tc>
          <w:tcPr>
            <w:tcW w:w="934" w:type="pct"/>
          </w:tcPr>
          <w:p w14:paraId="6E90039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5E7976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utilizes a rigorous phenomenological approach and a clearly defined data analysis process (whole-parts-whole). The researchers actively employed "bracketing" to minimize the influence of their own preconceptions on the results. While they acknowledge a gender imbalance (only two male participants), they maintain the </w:t>
            </w:r>
            <w:r w:rsidRPr="00732EED">
              <w:rPr>
                <w:sz w:val="18"/>
                <w:szCs w:val="18"/>
              </w:rPr>
              <w:lastRenderedPageBreak/>
              <w:t>findings are generalizable to similar patient groups.</w:t>
            </w:r>
          </w:p>
        </w:tc>
        <w:tc>
          <w:tcPr>
            <w:tcW w:w="888" w:type="pct"/>
          </w:tcPr>
          <w:p w14:paraId="40A8C79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High: The findings are strongly supported by the data, with a clear logical thread from raw interview material to the identified “essence” and its seven constituents. The results are consistent with, and often confirm, existing literature regarding patients feeling discredited or needing to “fight” for care.</w:t>
            </w:r>
          </w:p>
        </w:tc>
        <w:tc>
          <w:tcPr>
            <w:tcW w:w="958" w:type="pct"/>
          </w:tcPr>
          <w:p w14:paraId="25FE2FB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data is rich in quality, consisting of verbatim-transcribed interviews lasting 50-70 minutes that provided deep insights into the participants' “</w:t>
            </w:r>
            <w:proofErr w:type="spellStart"/>
            <w:r w:rsidRPr="00732EED">
              <w:rPr>
                <w:sz w:val="18"/>
                <w:szCs w:val="18"/>
              </w:rPr>
              <w:t>lifeworlds</w:t>
            </w:r>
            <w:proofErr w:type="spellEnd"/>
            <w:r w:rsidRPr="00732EED">
              <w:rPr>
                <w:sz w:val="18"/>
                <w:szCs w:val="18"/>
              </w:rPr>
              <w:t>”. However, the quantity of data is limited, with a sample size of only eight participants. While the authors claim data saturation was reached, the small N and lack of male perspective slightly limit the overall adequacy.</w:t>
            </w:r>
          </w:p>
        </w:tc>
        <w:tc>
          <w:tcPr>
            <w:tcW w:w="946" w:type="pct"/>
          </w:tcPr>
          <w:p w14:paraId="2379785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60A7AE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is directly applicable to the experiences of persons with chronic pain in health service encounters. The participants had a wide range of chronic conditions (e.g., fibromyalgia, RA, back pain) and extensive experience with the healthcare system, ranging from 3 to 45 years of living with pain. </w:t>
            </w:r>
          </w:p>
        </w:tc>
      </w:tr>
      <w:tr w:rsidR="0027538E" w:rsidRPr="00732EED" w14:paraId="0806A1ED"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2153BE26" w14:textId="77777777" w:rsidR="0027538E" w:rsidRPr="00732EED" w:rsidRDefault="0027538E" w:rsidP="0027538E">
            <w:pPr>
              <w:rPr>
                <w:sz w:val="18"/>
                <w:szCs w:val="18"/>
              </w:rPr>
            </w:pPr>
            <w:r w:rsidRPr="00732EED">
              <w:rPr>
                <w:sz w:val="18"/>
                <w:szCs w:val="18"/>
              </w:rPr>
              <w:t>5</w:t>
            </w:r>
          </w:p>
        </w:tc>
        <w:tc>
          <w:tcPr>
            <w:tcW w:w="839" w:type="pct"/>
          </w:tcPr>
          <w:p w14:paraId="24B2836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732EED">
              <w:rPr>
                <w:sz w:val="18"/>
                <w:szCs w:val="18"/>
              </w:rPr>
              <w:t>Skuladottir</w:t>
            </w:r>
            <w:proofErr w:type="spellEnd"/>
            <w:r w:rsidRPr="00732EED">
              <w:rPr>
                <w:sz w:val="18"/>
                <w:szCs w:val="18"/>
              </w:rPr>
              <w:t xml:space="preserve"> and Halldorsdottir, 2011</w:t>
            </w:r>
          </w:p>
        </w:tc>
        <w:tc>
          <w:tcPr>
            <w:tcW w:w="934" w:type="pct"/>
          </w:tcPr>
          <w:p w14:paraId="6F68112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utilizes a rigorous, 12-step phenomenological framework (the Vancouver School) and employs investigator triangulation and member checking (verification with participants) to enhance trustworthiness. However, the sample size is very small (n=5), and the authors explicitly state that the participants are not representative of the entire population of women in chronic pain.</w:t>
            </w:r>
          </w:p>
        </w:tc>
        <w:tc>
          <w:tcPr>
            <w:tcW w:w="888" w:type="pct"/>
          </w:tcPr>
          <w:p w14:paraId="0668213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3CE755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extensively supported by direct quotes from the participants, clearly linking the raw data to the identified needs. Furthermore, the results are highly consistent with existing literature regarding the “struggle for credibility,” the impact of invisible illness, and the value of social support in chronic pain.</w:t>
            </w:r>
          </w:p>
        </w:tc>
        <w:tc>
          <w:tcPr>
            <w:tcW w:w="958" w:type="pct"/>
          </w:tcPr>
          <w:p w14:paraId="0279A12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is exceptionally rich and in-depth, derived from ten tape-recorded dialogues lasting between 60 and 120 minutes each. While the quality and depth are high, the quantity is limited by the small number of participants, which may not capture the full variety of experiences within this demographic.</w:t>
            </w:r>
          </w:p>
        </w:tc>
        <w:tc>
          <w:tcPr>
            <w:tcW w:w="946" w:type="pct"/>
          </w:tcPr>
          <w:p w14:paraId="0F28B86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applicable to the research goal of identifying the needs of women in chronic pain. The recruitment criteria (women aged 25-55 with chronic non-malignant pain for at least six months) and the qualitative approach ensure the findings specifically address the self-reported perspective required.</w:t>
            </w:r>
          </w:p>
          <w:p w14:paraId="2838043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r>
      <w:tr w:rsidR="0027538E" w:rsidRPr="00732EED" w14:paraId="23DF6841"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017EC2D0" w14:textId="77777777" w:rsidR="0027538E" w:rsidRPr="00732EED" w:rsidRDefault="0027538E" w:rsidP="0027538E">
            <w:pPr>
              <w:rPr>
                <w:sz w:val="18"/>
                <w:szCs w:val="18"/>
              </w:rPr>
            </w:pPr>
            <w:r w:rsidRPr="00732EED">
              <w:rPr>
                <w:sz w:val="18"/>
                <w:szCs w:val="18"/>
              </w:rPr>
              <w:t>6</w:t>
            </w:r>
          </w:p>
        </w:tc>
        <w:tc>
          <w:tcPr>
            <w:tcW w:w="839" w:type="pct"/>
          </w:tcPr>
          <w:p w14:paraId="7704648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Tollefson et al., 2011</w:t>
            </w:r>
          </w:p>
        </w:tc>
        <w:tc>
          <w:tcPr>
            <w:tcW w:w="934" w:type="pct"/>
          </w:tcPr>
          <w:p w14:paraId="7E907284" w14:textId="274D1DAD"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Methodological Limitations: The extent to which studies supporting the finding have flaws in design or conduct. Coherence: How well the findings are supported by the underlying data and if the finding is consistent across studies. Adequacy of Data: The richness, quantity, and quality of data supporting the finding. Relevance: The extent to which the studies supporting the finding are applicable to the specific context of the review question. using the above domains evaluate the </w:t>
            </w:r>
            <w:r w:rsidR="00E9589B" w:rsidRPr="00732EED">
              <w:rPr>
                <w:sz w:val="18"/>
                <w:szCs w:val="18"/>
              </w:rPr>
              <w:t>confidence</w:t>
            </w:r>
            <w:r w:rsidRPr="00732EED">
              <w:rPr>
                <w:sz w:val="18"/>
                <w:szCs w:val="18"/>
              </w:rPr>
              <w:t xml:space="preserve"> of this paper by grading each domain as either the following high, moderate, low, or very low. include a brief justification or rationale. result should be in tabular form.</w:t>
            </w:r>
          </w:p>
        </w:tc>
        <w:tc>
          <w:tcPr>
            <w:tcW w:w="888" w:type="pct"/>
          </w:tcPr>
          <w:p w14:paraId="06862C9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firmly supported by the underlying data, with specific participant quotes illustrating each of the four identified themes. Furthermore, the study demonstrates consistency with existing literature regarding pain-related reticence and the role of family dynamics in chronic pain.</w:t>
            </w:r>
          </w:p>
        </w:tc>
        <w:tc>
          <w:tcPr>
            <w:tcW w:w="958" w:type="pct"/>
          </w:tcPr>
          <w:p w14:paraId="646A43D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While the study provides rich, in-depth qualitative data through conversational interviews (approximately 1 hour each), the quantity of data is limited by the small number of participants. The authors noted that data collection ceased when redundancy was reached, which is standard for the methodology.</w:t>
            </w:r>
          </w:p>
        </w:tc>
        <w:tc>
          <w:tcPr>
            <w:tcW w:w="946" w:type="pct"/>
          </w:tcPr>
          <w:p w14:paraId="5BB9BA3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7F2AB14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is directly applicable to the specific context of chronic pain in rural areas, addressing a noted gap in the literature regarding geographical isolation and its impact on interpersonal and professional relationships. It offers specific insights for rural nursing practice.</w:t>
            </w:r>
          </w:p>
        </w:tc>
      </w:tr>
      <w:tr w:rsidR="0027538E" w:rsidRPr="00732EED" w14:paraId="7EE1E6D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4CAF447A" w14:textId="77777777" w:rsidR="0027538E" w:rsidRPr="00732EED" w:rsidRDefault="0027538E" w:rsidP="0027538E">
            <w:pPr>
              <w:rPr>
                <w:sz w:val="18"/>
                <w:szCs w:val="18"/>
              </w:rPr>
            </w:pPr>
            <w:r w:rsidRPr="00732EED">
              <w:rPr>
                <w:sz w:val="18"/>
                <w:szCs w:val="18"/>
              </w:rPr>
              <w:t>7</w:t>
            </w:r>
          </w:p>
        </w:tc>
        <w:tc>
          <w:tcPr>
            <w:tcW w:w="839" w:type="pct"/>
          </w:tcPr>
          <w:p w14:paraId="7AE2E55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Lavie-Ajayi et al., 2012</w:t>
            </w:r>
          </w:p>
        </w:tc>
        <w:tc>
          <w:tcPr>
            <w:tcW w:w="934" w:type="pct"/>
          </w:tcPr>
          <w:p w14:paraId="6D863A5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5177EFF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utilizes established qualitative frameworks, specifically Interpretative Phenomenological Analysis (IPA) and grounded theory, </w:t>
            </w:r>
            <w:r w:rsidRPr="00732EED">
              <w:rPr>
                <w:sz w:val="18"/>
                <w:szCs w:val="18"/>
              </w:rPr>
              <w:lastRenderedPageBreak/>
              <w:t>following a rigorous protocol from the University of Oxford</w:t>
            </w:r>
          </w:p>
          <w:p w14:paraId="013CEB8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Ethical standards were maintained through university approval and informed consent</w:t>
            </w:r>
          </w:p>
          <w:p w14:paraId="0A2A1D11" w14:textId="2F6B315C"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However, the sample size is limited to six participants from a single country (Israel) recruited via snowball sampling, which may limit the breadth of the design.</w:t>
            </w:r>
          </w:p>
        </w:tc>
        <w:tc>
          <w:tcPr>
            <w:tcW w:w="888" w:type="pct"/>
          </w:tcPr>
          <w:p w14:paraId="0CA9D4A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6A50DB9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central finding of “narratological distress” is strongly supported by the underlying interview data, which clearly illustrates the tension between the “vivid” </w:t>
            </w:r>
            <w:r w:rsidRPr="00732EED">
              <w:rPr>
                <w:sz w:val="18"/>
                <w:szCs w:val="18"/>
              </w:rPr>
              <w:lastRenderedPageBreak/>
              <w:t>physical experience of pain and its “elusive” social perception. Furthermore, the authors demonstrate that their findings are consistent with existing literature in Europe and the USA regarding the marginalization of chronic pain patients.</w:t>
            </w:r>
          </w:p>
        </w:tc>
        <w:tc>
          <w:tcPr>
            <w:tcW w:w="958" w:type="pct"/>
          </w:tcPr>
          <w:p w14:paraId="3B04C67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Moderate: The researchers prioritized the richness and depth of the data, selecting the most “</w:t>
            </w:r>
            <w:proofErr w:type="spellStart"/>
            <w:r w:rsidRPr="00732EED">
              <w:rPr>
                <w:sz w:val="18"/>
                <w:szCs w:val="18"/>
              </w:rPr>
              <w:t>narratologically</w:t>
            </w:r>
            <w:proofErr w:type="spellEnd"/>
            <w:r w:rsidRPr="00732EED">
              <w:rPr>
                <w:sz w:val="18"/>
                <w:szCs w:val="18"/>
              </w:rPr>
              <w:t xml:space="preserve"> rich” interviews from a larger dataset for the IPA. The provided excerpts offer detailed and </w:t>
            </w:r>
            <w:r w:rsidRPr="00732EED">
              <w:rPr>
                <w:sz w:val="18"/>
                <w:szCs w:val="18"/>
              </w:rPr>
              <w:lastRenderedPageBreak/>
              <w:t>nuanced personal accounts of the “assault on the self”. Nevertheless, the quantity of data is constrained by the small participant pool.</w:t>
            </w:r>
          </w:p>
        </w:tc>
        <w:tc>
          <w:tcPr>
            <w:tcW w:w="946" w:type="pct"/>
          </w:tcPr>
          <w:p w14:paraId="413DE75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findings are highly applicable to the context of chronic illness, as they directly address the psychosocial impact, emotional distress, and identity struggles (biographical disruption) inherent in chronic </w:t>
            </w:r>
            <w:r w:rsidRPr="00732EED">
              <w:rPr>
                <w:sz w:val="18"/>
                <w:szCs w:val="18"/>
              </w:rPr>
              <w:lastRenderedPageBreak/>
              <w:t>pain. The study provides specific insights into how medical and social discourse affects a patient's internal narrative and self-trust.</w:t>
            </w:r>
          </w:p>
        </w:tc>
      </w:tr>
      <w:tr w:rsidR="0027538E" w:rsidRPr="00732EED" w14:paraId="47FA1737"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B611926" w14:textId="77777777" w:rsidR="0027538E" w:rsidRPr="00732EED" w:rsidRDefault="0027538E" w:rsidP="0027538E">
            <w:pPr>
              <w:rPr>
                <w:sz w:val="18"/>
                <w:szCs w:val="18"/>
              </w:rPr>
            </w:pPr>
            <w:r w:rsidRPr="00732EED">
              <w:rPr>
                <w:sz w:val="18"/>
                <w:szCs w:val="18"/>
              </w:rPr>
              <w:lastRenderedPageBreak/>
              <w:t>8</w:t>
            </w:r>
          </w:p>
        </w:tc>
        <w:tc>
          <w:tcPr>
            <w:tcW w:w="839" w:type="pct"/>
          </w:tcPr>
          <w:p w14:paraId="170EA13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Nay and Fetherstonhaugh, 2012</w:t>
            </w:r>
          </w:p>
        </w:tc>
        <w:tc>
          <w:tcPr>
            <w:tcW w:w="934" w:type="pct"/>
          </w:tcPr>
          <w:p w14:paraId="274CAA9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Low: </w:t>
            </w:r>
            <w:r w:rsidRPr="00732EED">
              <w:rPr>
                <w:sz w:val="18"/>
                <w:szCs w:val="18"/>
              </w:rPr>
              <w:tab/>
            </w:r>
          </w:p>
          <w:p w14:paraId="4338CE8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paper is explicitly described as a “case studies of one,” focusing entirely on the primary author's (Nay's) own lived experiences. While it follows van Manen’s phenomenological framework, the authors acknowledge this approach is “unorthodox” and relies on personal disclosure rather than a broader study population.</w:t>
            </w:r>
          </w:p>
        </w:tc>
        <w:tc>
          <w:tcPr>
            <w:tcW w:w="888" w:type="pct"/>
          </w:tcPr>
          <w:p w14:paraId="7558C871" w14:textId="547836BC"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findings, such as the importance of individual control, the impact of staff responses, and the distinction between pre</w:t>
            </w:r>
            <w:r w:rsidR="00E9589B" w:rsidRPr="00732EED">
              <w:rPr>
                <w:sz w:val="18"/>
                <w:szCs w:val="18"/>
              </w:rPr>
              <w:t>-</w:t>
            </w:r>
            <w:r w:rsidRPr="00732EED">
              <w:rPr>
                <w:sz w:val="18"/>
                <w:szCs w:val="18"/>
              </w:rPr>
              <w:t>reflective pain and reflection, are well-supported by the four detailed personal accounts provided</w:t>
            </w:r>
          </w:p>
          <w:p w14:paraId="6A0E935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However, because it is a single-subject study, there is no cross-study consistency demonstrated within this specific work.</w:t>
            </w:r>
          </w:p>
        </w:tc>
        <w:tc>
          <w:tcPr>
            <w:tcW w:w="958" w:type="pct"/>
          </w:tcPr>
          <w:p w14:paraId="4C37F11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 While the data is exceptionally “rich” and provides deep, personal insights into emotional, acute, cognitive, and chronic pain, it is extremely limited in quantity, representing only one person's perspective.</w:t>
            </w:r>
          </w:p>
        </w:tc>
        <w:tc>
          <w:tcPr>
            <w:tcW w:w="946" w:type="pct"/>
          </w:tcPr>
          <w:p w14:paraId="1928A97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paper is highly applicable to its intended context, as it specifically aims to help nurses understand the "essence of pain" to improve the recognition, assessment, and management of pain in older people, particularly those living with dementia.</w:t>
            </w:r>
          </w:p>
        </w:tc>
      </w:tr>
      <w:tr w:rsidR="0027538E" w:rsidRPr="00732EED" w14:paraId="3F8379D0"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605982C7" w14:textId="77777777" w:rsidR="0027538E" w:rsidRPr="00732EED" w:rsidRDefault="0027538E" w:rsidP="0027538E">
            <w:pPr>
              <w:rPr>
                <w:sz w:val="18"/>
                <w:szCs w:val="18"/>
              </w:rPr>
            </w:pPr>
            <w:r w:rsidRPr="00732EED">
              <w:rPr>
                <w:sz w:val="18"/>
                <w:szCs w:val="18"/>
              </w:rPr>
              <w:t>9</w:t>
            </w:r>
          </w:p>
        </w:tc>
        <w:tc>
          <w:tcPr>
            <w:tcW w:w="839" w:type="pct"/>
          </w:tcPr>
          <w:p w14:paraId="64FAF86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West et al., 2012</w:t>
            </w:r>
          </w:p>
        </w:tc>
        <w:tc>
          <w:tcPr>
            <w:tcW w:w="934" w:type="pct"/>
          </w:tcPr>
          <w:p w14:paraId="0B18D87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33544E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used a robust interpretive qualitative design and phenomenological analysis appropriate for exploring lived experiences</w:t>
            </w:r>
          </w:p>
          <w:p w14:paraId="3DA0BBB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 </w:t>
            </w:r>
            <w:proofErr w:type="spellStart"/>
            <w:r w:rsidRPr="00732EED">
              <w:rPr>
                <w:sz w:val="18"/>
                <w:szCs w:val="18"/>
              </w:rPr>
              <w:t>Rigour</w:t>
            </w:r>
            <w:proofErr w:type="spellEnd"/>
            <w:r w:rsidRPr="00732EED">
              <w:rPr>
                <w:sz w:val="18"/>
                <w:szCs w:val="18"/>
              </w:rPr>
              <w:t xml:space="preserve"> was maintained through data saturation, an audit trail, and having two researchers independently code transcripts to reach a consensus</w:t>
            </w:r>
          </w:p>
          <w:p w14:paraId="31B9C747" w14:textId="1AEA73DA"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While the authors acknowledge a lack of cultural diversity in the sample, the internal methodology is sound and transparently reported.</w:t>
            </w:r>
          </w:p>
        </w:tc>
        <w:tc>
          <w:tcPr>
            <w:tcW w:w="888" w:type="pct"/>
          </w:tcPr>
          <w:p w14:paraId="3F1ECA6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direct participant quotes that align clearly with the identified themes of individual strength, positivity, and acceptance. Furthermore, the study’s findings are consistent with existing literature regarding adaptive coping and the paradigm shift toward strength-based care.</w:t>
            </w:r>
          </w:p>
        </w:tc>
        <w:tc>
          <w:tcPr>
            <w:tcW w:w="958" w:type="pct"/>
          </w:tcPr>
          <w:p w14:paraId="1B48BD6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is rich and descriptive, providing in-depth insight into the participants' lives. However, the sample is small (10 participants) and lacks diversity, as all participants were Anglo-Saxon Australians, which may limit the breadth of the findings to a specific cultural context.</w:t>
            </w:r>
          </w:p>
        </w:tc>
        <w:tc>
          <w:tcPr>
            <w:tcW w:w="946" w:type="pct"/>
          </w:tcPr>
          <w:p w14:paraId="50979B7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This paper is highly relevant as it addresses a previously identified gap: the lack of qualitative research on the meaning of resilience specifically for those with chronic pain</w:t>
            </w:r>
          </w:p>
          <w:p w14:paraId="63333BA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It provides actionable insights for clinical nursing practice, emphasizing a shift from a deficit-based to a strength-based model of care.</w:t>
            </w:r>
          </w:p>
        </w:tc>
      </w:tr>
      <w:tr w:rsidR="0027538E" w:rsidRPr="00732EED" w14:paraId="3A8BAA08"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1E4F0BD" w14:textId="77777777" w:rsidR="0027538E" w:rsidRPr="00732EED" w:rsidRDefault="0027538E" w:rsidP="0027538E">
            <w:pPr>
              <w:rPr>
                <w:sz w:val="18"/>
                <w:szCs w:val="18"/>
              </w:rPr>
            </w:pPr>
            <w:r w:rsidRPr="00732EED">
              <w:rPr>
                <w:sz w:val="18"/>
                <w:szCs w:val="18"/>
              </w:rPr>
              <w:t>10</w:t>
            </w:r>
          </w:p>
        </w:tc>
        <w:tc>
          <w:tcPr>
            <w:tcW w:w="839" w:type="pct"/>
          </w:tcPr>
          <w:p w14:paraId="36F443C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Snelgrove et al, 2013</w:t>
            </w:r>
          </w:p>
        </w:tc>
        <w:tc>
          <w:tcPr>
            <w:tcW w:w="934" w:type="pct"/>
          </w:tcPr>
          <w:p w14:paraId="53D8D6D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0B72D7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employs Interpretative Phenomenological Analysis (IPA), a well-established qualitative method suited for </w:t>
            </w:r>
            <w:r w:rsidRPr="00732EED">
              <w:rPr>
                <w:sz w:val="18"/>
                <w:szCs w:val="18"/>
              </w:rPr>
              <w:lastRenderedPageBreak/>
              <w:t>exploring personal meaning. It follows clear procedures, including purposive sampling, semi-structured interviews, and an iterative, idiographic analysis process. A credibility check was performed by an independent specialist to validate thematic representations.</w:t>
            </w:r>
          </w:p>
        </w:tc>
        <w:tc>
          <w:tcPr>
            <w:tcW w:w="888" w:type="pct"/>
          </w:tcPr>
          <w:p w14:paraId="4E57A73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findings are explicitly supported by the data, with extensive verbatim quotes from a variety of participants (e.g., Don, Sara, </w:t>
            </w:r>
            <w:r w:rsidRPr="00732EED">
              <w:rPr>
                <w:sz w:val="18"/>
                <w:szCs w:val="18"/>
              </w:rPr>
              <w:lastRenderedPageBreak/>
              <w:t>Eirlys) used to illustrate each sub-theme</w:t>
            </w:r>
          </w:p>
          <w:p w14:paraId="13B5B36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The authors specifically prioritized internal coherence as a validation criterion to ensure their arguments remained consistent with the participants' accounts.</w:t>
            </w:r>
          </w:p>
        </w:tc>
        <w:tc>
          <w:tcPr>
            <w:tcW w:w="958" w:type="pct"/>
          </w:tcPr>
          <w:p w14:paraId="3CB1586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Moderate: While a sample size of 10 participants is small by quantitative standards, it is robust for an IPA study, which emphasizes depth over breadth. The data is rich and detailed, </w:t>
            </w:r>
            <w:r w:rsidRPr="00732EED">
              <w:rPr>
                <w:sz w:val="18"/>
                <w:szCs w:val="18"/>
              </w:rPr>
              <w:lastRenderedPageBreak/>
              <w:t>derived from interviews lasting 60-90 minutes, providing sufficient material to reach thematic saturation regarding the “crucial nature of the pain” and “managing the pain”.</w:t>
            </w:r>
          </w:p>
        </w:tc>
        <w:tc>
          <w:tcPr>
            <w:tcW w:w="946" w:type="pct"/>
          </w:tcPr>
          <w:p w14:paraId="7A985DC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42525B4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is directly applicable to the context of chronic low back pain (CLBP)</w:t>
            </w:r>
          </w:p>
          <w:p w14:paraId="6C84B7C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It specifically targets patients who have lived with the </w:t>
            </w:r>
            <w:r w:rsidRPr="00732EED">
              <w:rPr>
                <w:sz w:val="18"/>
                <w:szCs w:val="18"/>
              </w:rPr>
              <w:lastRenderedPageBreak/>
              <w:t>condition for at least four years and are awaiting specialized clinic treatment, providing a highly relevant perspective on the psychosocial and biomedical frameworks these patients use to understand their illness.</w:t>
            </w:r>
          </w:p>
        </w:tc>
      </w:tr>
      <w:tr w:rsidR="0027538E" w:rsidRPr="00732EED" w14:paraId="2B57115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B06D33E" w14:textId="77777777" w:rsidR="0027538E" w:rsidRPr="00732EED" w:rsidRDefault="0027538E" w:rsidP="0027538E">
            <w:pPr>
              <w:rPr>
                <w:sz w:val="18"/>
                <w:szCs w:val="18"/>
              </w:rPr>
            </w:pPr>
            <w:r w:rsidRPr="00732EED">
              <w:rPr>
                <w:sz w:val="18"/>
                <w:szCs w:val="18"/>
              </w:rPr>
              <w:lastRenderedPageBreak/>
              <w:t>11</w:t>
            </w:r>
          </w:p>
        </w:tc>
        <w:tc>
          <w:tcPr>
            <w:tcW w:w="839" w:type="pct"/>
          </w:tcPr>
          <w:p w14:paraId="6FE2BF4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Taylor et al., 2013</w:t>
            </w:r>
          </w:p>
        </w:tc>
        <w:tc>
          <w:tcPr>
            <w:tcW w:w="934" w:type="pct"/>
          </w:tcPr>
          <w:p w14:paraId="68D1B54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utilized established qualitative methods (Interpretative Phenomenological Analysis) and implemented an independent audit of transcripts to ensure themes were grounded in the data. However, the sample size is small (n=9), and the use of interpreters for five of the nine interviews is a noted limitation, as interpretation can change data in “unquantifiable ways”.</w:t>
            </w:r>
          </w:p>
        </w:tc>
        <w:tc>
          <w:tcPr>
            <w:tcW w:w="888" w:type="pct"/>
          </w:tcPr>
          <w:p w14:paraId="5024499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the underlying data, with superordinate themes, such as “pain is the enemy” and “pain and intrusive memories are connected”, consistently emerging from detailed participant accounts</w:t>
            </w:r>
          </w:p>
          <w:p w14:paraId="1B274BA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The findings also show high coherence with existing theoretical frameworks like dual representation theory.</w:t>
            </w:r>
          </w:p>
        </w:tc>
        <w:tc>
          <w:tcPr>
            <w:tcW w:w="958" w:type="pct"/>
          </w:tcPr>
          <w:p w14:paraId="4D8DB81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is rich and descriptive, capturing complex metaphors and deeply personal experiences of torture survivors. Nevertheless, the small number of participants and the potential for lost nuance through translation mean the overall quantity and depth of data are somewhat limited.</w:t>
            </w:r>
          </w:p>
        </w:tc>
        <w:tc>
          <w:tcPr>
            <w:tcW w:w="946" w:type="pct"/>
          </w:tcPr>
          <w:p w14:paraId="50DCC25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This research is exceptionally relevant to its context, as it addresses a significant gap in literature regarding the interaction of pain and PTSD specifically within the torture survivor population</w:t>
            </w:r>
          </w:p>
          <w:p w14:paraId="401972D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Its clinical implications for integrated treatment are directly applicable to the review's focus on this group.</w:t>
            </w:r>
          </w:p>
        </w:tc>
      </w:tr>
      <w:tr w:rsidR="0027538E" w:rsidRPr="00732EED" w14:paraId="796A4D0C"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46405C9E" w14:textId="77777777" w:rsidR="0027538E" w:rsidRPr="00732EED" w:rsidRDefault="0027538E" w:rsidP="0027538E">
            <w:pPr>
              <w:rPr>
                <w:sz w:val="18"/>
                <w:szCs w:val="18"/>
              </w:rPr>
            </w:pPr>
            <w:r w:rsidRPr="00732EED">
              <w:rPr>
                <w:sz w:val="18"/>
                <w:szCs w:val="18"/>
              </w:rPr>
              <w:t>12</w:t>
            </w:r>
          </w:p>
        </w:tc>
        <w:tc>
          <w:tcPr>
            <w:tcW w:w="839" w:type="pct"/>
          </w:tcPr>
          <w:p w14:paraId="2E2DED7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Dysvik</w:t>
            </w:r>
            <w:proofErr w:type="spellEnd"/>
            <w:r w:rsidRPr="00732EED">
              <w:rPr>
                <w:sz w:val="18"/>
                <w:szCs w:val="18"/>
              </w:rPr>
              <w:t xml:space="preserve"> et. al, </w:t>
            </w:r>
          </w:p>
          <w:p w14:paraId="32FBE6C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2014</w:t>
            </w:r>
          </w:p>
        </w:tc>
        <w:tc>
          <w:tcPr>
            <w:tcW w:w="934" w:type="pct"/>
          </w:tcPr>
          <w:p w14:paraId="04D1B73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utilizes a qualitatively driven mixed-method design that allows for the triangulation and validation of findings. However, the authors acknowledge that the sample size (n=34) is too small for generalizability, and they suggest that a power analysis should have been performed to select an optimal sample size. Additionally, while the questionnaires used validated components, there was no published validation for the specific standardized pain questionnaire from the Norwegian Pain Forum.</w:t>
            </w:r>
          </w:p>
        </w:tc>
        <w:tc>
          <w:tcPr>
            <w:tcW w:w="888" w:type="pct"/>
          </w:tcPr>
          <w:p w14:paraId="7C6D842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well-supported by the underlying data, with qualitative reports and quantitative data showing consistent results regarding the program's value in alleviating suffering. The “results narrative” effectively integrates both data streams, showing how shifts in perspective identified in written reports aligned with the improvements noted in health status and pain intensity.</w:t>
            </w:r>
          </w:p>
        </w:tc>
        <w:tc>
          <w:tcPr>
            <w:tcW w:w="958" w:type="pct"/>
          </w:tcPr>
          <w:p w14:paraId="1074A71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qualitative data provides “thick and nuanced descriptions” of the participants' experiences, offering high richness. Quantitatively, most scales showed satisfactory reliability (Cronbach's alpha between 0.61 and 0.90). However, the quantity of data was insufficient to maintain statistical significance for several variables once the Bonferroni correction was applied for multiple testing.</w:t>
            </w:r>
          </w:p>
        </w:tc>
        <w:tc>
          <w:tcPr>
            <w:tcW w:w="946" w:type="pct"/>
          </w:tcPr>
          <w:p w14:paraId="663AD0D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applicable to the clinical context of chronic pain management and the nursing role in alleviating suffering. It directly addresses the multidimensional nature of chronic pain and evaluates a specific, replicable intervention (a group CBT-based program), making the findings very relevant for healthcare providers.</w:t>
            </w:r>
          </w:p>
        </w:tc>
      </w:tr>
      <w:tr w:rsidR="0027538E" w:rsidRPr="00732EED" w14:paraId="4E36C7D1"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7E1AC51C" w14:textId="77777777" w:rsidR="0027538E" w:rsidRPr="00732EED" w:rsidRDefault="0027538E" w:rsidP="0027538E">
            <w:pPr>
              <w:rPr>
                <w:sz w:val="18"/>
                <w:szCs w:val="18"/>
              </w:rPr>
            </w:pPr>
            <w:r w:rsidRPr="00732EED">
              <w:rPr>
                <w:sz w:val="18"/>
                <w:szCs w:val="18"/>
              </w:rPr>
              <w:t>13</w:t>
            </w:r>
          </w:p>
        </w:tc>
        <w:tc>
          <w:tcPr>
            <w:tcW w:w="839" w:type="pct"/>
          </w:tcPr>
          <w:p w14:paraId="6408B7D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Furnes et. al,</w:t>
            </w:r>
          </w:p>
          <w:p w14:paraId="3D815F8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2014</w:t>
            </w:r>
          </w:p>
        </w:tc>
        <w:tc>
          <w:tcPr>
            <w:tcW w:w="934" w:type="pct"/>
          </w:tcPr>
          <w:p w14:paraId="273AFFF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The study utilizes a clear qualitative design with a phenomenological hermeneutic approach and a 6-month follow-up. While the analytical </w:t>
            </w:r>
            <w:r w:rsidRPr="00732EED">
              <w:rPr>
                <w:sz w:val="18"/>
                <w:szCs w:val="18"/>
              </w:rPr>
              <w:lastRenderedPageBreak/>
              <w:t>process is detailed and aims for reliability, the data collection relied solely on written reports rather than interactive interviews, which may have limited the depth of participant descriptions and the ability to clarify responses.</w:t>
            </w:r>
          </w:p>
        </w:tc>
        <w:tc>
          <w:tcPr>
            <w:tcW w:w="888" w:type="pct"/>
          </w:tcPr>
          <w:p w14:paraId="1D7A372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t xml:space="preserve">The findings are strongly supported by the underlying data, with subthemes and the main theme derived directly from </w:t>
            </w:r>
            <w:r w:rsidRPr="00732EED">
              <w:rPr>
                <w:sz w:val="18"/>
                <w:szCs w:val="18"/>
              </w:rPr>
              <w:lastRenderedPageBreak/>
              <w:t>identified meaning units. The authors noted that the empirical material was “mostly homogeneous,” suggesting consistent findings across the participant group.</w:t>
            </w:r>
          </w:p>
        </w:tc>
        <w:tc>
          <w:tcPr>
            <w:tcW w:w="958" w:type="pct"/>
          </w:tcPr>
          <w:p w14:paraId="74A2317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study includes a sample of 34 participants, which is substantial for a qualitative study. The authors describe the data as providing “detailed and </w:t>
            </w:r>
            <w:r w:rsidRPr="00732EED">
              <w:rPr>
                <w:sz w:val="18"/>
                <w:szCs w:val="18"/>
              </w:rPr>
              <w:lastRenderedPageBreak/>
              <w:t>extensive descriptions” and “rich descriptions of the topic,” which allowed for clear patterns to emerge during analysis.</w:t>
            </w:r>
          </w:p>
        </w:tc>
        <w:tc>
          <w:tcPr>
            <w:tcW w:w="946" w:type="pct"/>
          </w:tcPr>
          <w:p w14:paraId="0D4FECA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study is highly applicable to the context of chronic pain management, as it specifically explores the experiences of outpatients in a </w:t>
            </w:r>
            <w:r w:rsidRPr="00732EED">
              <w:rPr>
                <w:sz w:val="18"/>
                <w:szCs w:val="18"/>
              </w:rPr>
              <w:lastRenderedPageBreak/>
              <w:t>CBT-based group program within a clinical rehabilitation setting.</w:t>
            </w:r>
          </w:p>
        </w:tc>
      </w:tr>
      <w:tr w:rsidR="0027538E" w:rsidRPr="00732EED" w14:paraId="4273B1ED"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269C6E26" w14:textId="77777777" w:rsidR="0027538E" w:rsidRPr="00732EED" w:rsidRDefault="0027538E" w:rsidP="0027538E">
            <w:pPr>
              <w:rPr>
                <w:sz w:val="18"/>
                <w:szCs w:val="18"/>
              </w:rPr>
            </w:pPr>
            <w:r w:rsidRPr="00732EED">
              <w:rPr>
                <w:sz w:val="18"/>
                <w:szCs w:val="18"/>
              </w:rPr>
              <w:lastRenderedPageBreak/>
              <w:t>14</w:t>
            </w:r>
          </w:p>
        </w:tc>
        <w:tc>
          <w:tcPr>
            <w:tcW w:w="839" w:type="pct"/>
          </w:tcPr>
          <w:p w14:paraId="5A3A7DB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Juuso et. al,</w:t>
            </w:r>
          </w:p>
          <w:p w14:paraId="10F6EF5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2014</w:t>
            </w:r>
          </w:p>
        </w:tc>
        <w:tc>
          <w:tcPr>
            <w:tcW w:w="934" w:type="pct"/>
          </w:tcPr>
          <w:p w14:paraId="6C48A61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A19614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follows a rigorous and well-documented phenomenological hermeneutical interpretation method. The authors clearly describe their narrative approach, ethical approvals, and efforts to restrain “preunderstanding” to ensure the probability of the interpretation.</w:t>
            </w:r>
          </w:p>
        </w:tc>
        <w:tc>
          <w:tcPr>
            <w:tcW w:w="888" w:type="pct"/>
          </w:tcPr>
          <w:p w14:paraId="7AB5CA3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B1B8FA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strongly supported by the data, with the two main themes (“being seen as a malingerer” and “being acknowledged”) being illustrated through extensive verbatim quotes from the participants. These findings are consistently cross-referenced and supported by existing literature and philosophical frameworks.</w:t>
            </w:r>
          </w:p>
        </w:tc>
        <w:tc>
          <w:tcPr>
            <w:tcW w:w="958" w:type="pct"/>
          </w:tcPr>
          <w:p w14:paraId="5B61B97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data is highly rich, as interviews were extensive, lasting between 51 and 147 minutes. However, the quantity is limited to 9 participants recruited from a specific region in northern Sweden, which may not capture the full breadth of experiences across different cultural or clinical settings.</w:t>
            </w:r>
          </w:p>
        </w:tc>
        <w:tc>
          <w:tcPr>
            <w:tcW w:w="946" w:type="pct"/>
          </w:tcPr>
          <w:p w14:paraId="4F155AA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144AB7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highly applicable to the lived experiences of women with fibromyalgia, specifically addressing their interactions with family, the workplace, and health care personnel. The study provides direct insights into the social and clinical challenges faced by this specific population.</w:t>
            </w:r>
          </w:p>
        </w:tc>
      </w:tr>
      <w:tr w:rsidR="0027538E" w:rsidRPr="00732EED" w14:paraId="538E35E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6B7DB0EE" w14:textId="77777777" w:rsidR="0027538E" w:rsidRPr="00732EED" w:rsidRDefault="0027538E" w:rsidP="0027538E">
            <w:pPr>
              <w:rPr>
                <w:sz w:val="18"/>
                <w:szCs w:val="18"/>
              </w:rPr>
            </w:pPr>
            <w:r w:rsidRPr="00732EED">
              <w:rPr>
                <w:sz w:val="18"/>
                <w:szCs w:val="18"/>
              </w:rPr>
              <w:t>15</w:t>
            </w:r>
          </w:p>
        </w:tc>
        <w:tc>
          <w:tcPr>
            <w:tcW w:w="839" w:type="pct"/>
          </w:tcPr>
          <w:p w14:paraId="4FF98BF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Mahon et al.,</w:t>
            </w:r>
          </w:p>
          <w:p w14:paraId="337BD6D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2014</w:t>
            </w:r>
          </w:p>
        </w:tc>
        <w:tc>
          <w:tcPr>
            <w:tcW w:w="934" w:type="pct"/>
          </w:tcPr>
          <w:p w14:paraId="30EE4BA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40D9131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used a convenience sample of 19 participants recruited from only one service, which the authors acknowledge limits the ability to generalize findings. However, methodological rigor was supported by the use of established qualitative descriptive designs and thematic analysis frameworks, as well as credibility checks like reflective diaries and researcher consensus.</w:t>
            </w:r>
          </w:p>
        </w:tc>
        <w:tc>
          <w:tcPr>
            <w:tcW w:w="888" w:type="pct"/>
          </w:tcPr>
          <w:p w14:paraId="62BD655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6E69A19" w14:textId="62591809"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findings are strongly supported by the underlying data, with each theme (loss, anger, uncertainty, and adaptation) clearly illustrated by rich participant narratives. Furthermore, the study's results are consistent with international literature and established theoretical models of chronic illness transition, such as Kralik’s </w:t>
            </w:r>
            <w:r w:rsidR="00B93F1C" w:rsidRPr="00732EED">
              <w:rPr>
                <w:sz w:val="18"/>
                <w:szCs w:val="18"/>
              </w:rPr>
              <w:t>Phase</w:t>
            </w:r>
            <w:r w:rsidRPr="00732EED">
              <w:rPr>
                <w:sz w:val="18"/>
                <w:szCs w:val="18"/>
              </w:rPr>
              <w:t>s.</w:t>
            </w:r>
          </w:p>
        </w:tc>
        <w:tc>
          <w:tcPr>
            <w:tcW w:w="958" w:type="pct"/>
          </w:tcPr>
          <w:p w14:paraId="27B2677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While the two focus groups provided rich and detailed narratives regarding the participants' experiences, the authors state that the small sample size (n=19) and limited geographic focus mean a larger, more comprehensive study is required to fully capture the diversity of the Irish experience.</w:t>
            </w:r>
          </w:p>
        </w:tc>
        <w:tc>
          <w:tcPr>
            <w:tcW w:w="946" w:type="pct"/>
          </w:tcPr>
          <w:p w14:paraId="0238AE9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applicable to the context of chronic illness experiences in Ireland, specifically addressing a gap in existing research. It highlights context-specific issues such as the impact of the Irish economic recession and the fragmented nature of the local healthcare system on patient outcomes.</w:t>
            </w:r>
          </w:p>
        </w:tc>
      </w:tr>
      <w:tr w:rsidR="0027538E" w:rsidRPr="00732EED" w14:paraId="793B74DC"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11B6224E" w14:textId="77777777" w:rsidR="0027538E" w:rsidRPr="00732EED" w:rsidRDefault="0027538E" w:rsidP="0027538E">
            <w:pPr>
              <w:rPr>
                <w:sz w:val="18"/>
                <w:szCs w:val="18"/>
              </w:rPr>
            </w:pPr>
            <w:r w:rsidRPr="00732EED">
              <w:rPr>
                <w:sz w:val="18"/>
                <w:szCs w:val="18"/>
              </w:rPr>
              <w:t>16</w:t>
            </w:r>
          </w:p>
        </w:tc>
        <w:tc>
          <w:tcPr>
            <w:tcW w:w="839" w:type="pct"/>
          </w:tcPr>
          <w:p w14:paraId="134ED6D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Mathias et. al, </w:t>
            </w:r>
          </w:p>
          <w:p w14:paraId="5294BB0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2014</w:t>
            </w:r>
          </w:p>
        </w:tc>
        <w:tc>
          <w:tcPr>
            <w:tcW w:w="934" w:type="pct"/>
          </w:tcPr>
          <w:p w14:paraId="2ED84CA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3B02146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employed Interpretative Phenomenological Analysis (IPA), which is appropriate for exploring individual experiences, and included validity checks such as participant feedback on findings. However, limitations exist due to a small, </w:t>
            </w:r>
            <w:r w:rsidRPr="00732EED">
              <w:rPr>
                <w:sz w:val="18"/>
                <w:szCs w:val="18"/>
              </w:rPr>
              <w:lastRenderedPageBreak/>
              <w:t>homogeneous sample (six white British females) and potential social desirability bias, as the researcher was supervised by one of the program facilitators.</w:t>
            </w:r>
          </w:p>
        </w:tc>
        <w:tc>
          <w:tcPr>
            <w:tcW w:w="888" w:type="pct"/>
          </w:tcPr>
          <w:p w14:paraId="59D4F2C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5971B95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findings are strongly supported by the underlying data, with five clear themes emerging consistently from verbatim participant extracts. Furthermore, the findings are consistent with established theoretical frameworks including Acceptance and </w:t>
            </w:r>
            <w:r w:rsidRPr="00732EED">
              <w:rPr>
                <w:sz w:val="18"/>
                <w:szCs w:val="18"/>
              </w:rPr>
              <w:lastRenderedPageBreak/>
              <w:t>Commitment Therapy (ACT), CBT, and mindfulness.</w:t>
            </w:r>
          </w:p>
        </w:tc>
        <w:tc>
          <w:tcPr>
            <w:tcW w:w="958" w:type="pct"/>
          </w:tcPr>
          <w:p w14:paraId="7ADF452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Moderate: The data is qualitatively rich, providing deep idiographic insights into the “double hermeneutic” of participant experiences. However, the quantity of data is limited by the small sample size and recruitment from a single community outpatient site, which the authors acknowledge may limit wider applicability.</w:t>
            </w:r>
          </w:p>
        </w:tc>
        <w:tc>
          <w:tcPr>
            <w:tcW w:w="946" w:type="pct"/>
          </w:tcPr>
          <w:p w14:paraId="626C8BC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applicable to the context of chronic pain management, as it specifically identifies which components of an acceptance-based PMP (such as mindful movement, pacing, and group validation) were perceived by patients as facilitating positive change.</w:t>
            </w:r>
          </w:p>
        </w:tc>
      </w:tr>
      <w:tr w:rsidR="0027538E" w:rsidRPr="00732EED" w14:paraId="7608E4FC"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78FF09C3" w14:textId="77777777" w:rsidR="0027538E" w:rsidRPr="00732EED" w:rsidRDefault="0027538E" w:rsidP="0027538E">
            <w:pPr>
              <w:rPr>
                <w:sz w:val="18"/>
                <w:szCs w:val="18"/>
              </w:rPr>
            </w:pPr>
            <w:r w:rsidRPr="00732EED">
              <w:rPr>
                <w:sz w:val="18"/>
                <w:szCs w:val="18"/>
              </w:rPr>
              <w:t>17</w:t>
            </w:r>
          </w:p>
        </w:tc>
        <w:tc>
          <w:tcPr>
            <w:tcW w:w="839" w:type="pct"/>
          </w:tcPr>
          <w:p w14:paraId="6B26892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Merolli et al., 2014</w:t>
            </w:r>
          </w:p>
        </w:tc>
        <w:tc>
          <w:tcPr>
            <w:tcW w:w="934" w:type="pct"/>
          </w:tcPr>
          <w:p w14:paraId="4067AA9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6408BA4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researchers employed a rigorous five-phase thematic content analysis (TCA) process involving three independent investigators to ensure consistency. However, the authors acknowledge significant limitations: they were unable to calculate a response rate due to viral dissemination, the sample was subject to self-selection bias, and the qualitative nature of the analysis is open to interpretive bias.</w:t>
            </w:r>
          </w:p>
        </w:tc>
        <w:tc>
          <w:tcPr>
            <w:tcW w:w="888" w:type="pct"/>
          </w:tcPr>
          <w:p w14:paraId="3DDEF19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CE6DF6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strongly supported by the underlying data. The authors clearly documented how they moved from initial deductive coding to an inductive analysis of 155 quotes to refine their “therapeutic affordances”. The final SCENA model (Self-presentation, Connection, Exploration, Narration, Adaptation) directly reflects the language and themes extracted from participant responses.</w:t>
            </w:r>
          </w:p>
        </w:tc>
        <w:tc>
          <w:tcPr>
            <w:tcW w:w="958" w:type="pct"/>
          </w:tcPr>
          <w:p w14:paraId="30148EE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While the survey had 218 total participants, the qualitative findings are based on a subset of 68 users (31.2%) who provided 117 free-text responses. This provided a rich dataset for themes like “exploration” (52 quotes), but other categories like “self-presentation” were supported by much thinner data (only 7 quotes).</w:t>
            </w:r>
          </w:p>
        </w:tc>
        <w:tc>
          <w:tcPr>
            <w:tcW w:w="946" w:type="pct"/>
          </w:tcPr>
          <w:p w14:paraId="1FBB787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applicable to the context of chronic disease self-management. It specifically targets people with chronic pain (PWCP) to understand the “how” and “why” behind their use of various social media platforms. The resulting SCENA model is purpose-built to guide clinical decision-making and further health informatics research.</w:t>
            </w:r>
          </w:p>
        </w:tc>
      </w:tr>
      <w:tr w:rsidR="0027538E" w:rsidRPr="00732EED" w14:paraId="26EAB272"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4E45987F" w14:textId="77777777" w:rsidR="0027538E" w:rsidRPr="00732EED" w:rsidRDefault="0027538E" w:rsidP="0027538E">
            <w:pPr>
              <w:rPr>
                <w:sz w:val="18"/>
                <w:szCs w:val="18"/>
              </w:rPr>
            </w:pPr>
            <w:r w:rsidRPr="00732EED">
              <w:rPr>
                <w:sz w:val="18"/>
                <w:szCs w:val="18"/>
              </w:rPr>
              <w:t>18</w:t>
            </w:r>
          </w:p>
        </w:tc>
        <w:tc>
          <w:tcPr>
            <w:tcW w:w="839" w:type="pct"/>
          </w:tcPr>
          <w:p w14:paraId="5EF8313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Nilsen &amp; Anderssen, </w:t>
            </w:r>
          </w:p>
          <w:p w14:paraId="7284756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2014</w:t>
            </w:r>
          </w:p>
        </w:tc>
        <w:tc>
          <w:tcPr>
            <w:tcW w:w="934" w:type="pct"/>
          </w:tcPr>
          <w:p w14:paraId="5E98BE4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utilizes a well-defined phenomenological-hermeneutical approach and narrative analysis. However, the authors acknowledge limitations, including a sample that is not statistically representative and a lack of method triangulation. The data was also generated in an interactive interview setting, which may influence the results.</w:t>
            </w:r>
          </w:p>
        </w:tc>
        <w:tc>
          <w:tcPr>
            <w:tcW w:w="888" w:type="pct"/>
          </w:tcPr>
          <w:p w14:paraId="24C82C6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strongly supported by underlying data, with clear links between the raw interview narratives and the emerging themes such as the importance of work and the use of nature as a strategy. The results are also framed consistently within Bourdieu’s theoretical concepts of habitus and capital.</w:t>
            </w:r>
          </w:p>
        </w:tc>
        <w:tc>
          <w:tcPr>
            <w:tcW w:w="958" w:type="pct"/>
          </w:tcPr>
          <w:p w14:paraId="2E5CC60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provided rich, high-quality data through in-depth interviews lasting 2-3 hours each with 20 participants. This allowed for “pain stories” to emerge systematically, providing a deep volume of qualitative material for the thematic analysis.</w:t>
            </w:r>
          </w:p>
        </w:tc>
        <w:tc>
          <w:tcPr>
            <w:tcW w:w="946" w:type="pct"/>
          </w:tcPr>
          <w:p w14:paraId="3827085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highly applicable to the study's specific aim of exploring how individuals with chronic non-malignant pain manage their condition in their everyday lives</w:t>
            </w:r>
          </w:p>
          <w:p w14:paraId="4C77B1B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The context-specific results (e.g., the role of the Northern Norway environment) provide direct insights into individual self-care strategies.</w:t>
            </w:r>
          </w:p>
        </w:tc>
      </w:tr>
      <w:tr w:rsidR="0027538E" w:rsidRPr="00732EED" w14:paraId="6A5168F5"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4CC92E3" w14:textId="77777777" w:rsidR="0027538E" w:rsidRPr="00732EED" w:rsidRDefault="0027538E" w:rsidP="0027538E">
            <w:pPr>
              <w:rPr>
                <w:sz w:val="18"/>
                <w:szCs w:val="18"/>
              </w:rPr>
            </w:pPr>
            <w:r w:rsidRPr="00732EED">
              <w:rPr>
                <w:sz w:val="18"/>
                <w:szCs w:val="18"/>
              </w:rPr>
              <w:t>19</w:t>
            </w:r>
          </w:p>
        </w:tc>
        <w:tc>
          <w:tcPr>
            <w:tcW w:w="839" w:type="pct"/>
          </w:tcPr>
          <w:p w14:paraId="072BCF4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Ojala, et. al</w:t>
            </w:r>
          </w:p>
          <w:p w14:paraId="36BBB53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2014</w:t>
            </w:r>
          </w:p>
        </w:tc>
        <w:tc>
          <w:tcPr>
            <w:tcW w:w="934" w:type="pct"/>
          </w:tcPr>
          <w:p w14:paraId="5A2360A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The study used an established phenomenological method (Giorgi) and a multidisciplinary team for data analysis to enhance credibility. However, the authors noted limitations: transcripts were not returned to participants for comment, and results were not checked by participants (member checking), which can be a standard way to ensure </w:t>
            </w:r>
            <w:r w:rsidRPr="00732EED">
              <w:rPr>
                <w:sz w:val="18"/>
                <w:szCs w:val="18"/>
              </w:rPr>
              <w:lastRenderedPageBreak/>
              <w:t>accuracy in qualitative research.</w:t>
            </w:r>
          </w:p>
        </w:tc>
        <w:tc>
          <w:tcPr>
            <w:tcW w:w="888" w:type="pct"/>
          </w:tcPr>
          <w:p w14:paraId="1A3F116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findings are highly consistent and logically supported by the underlying data. The subthemes (e.g., “Pain is the master,” “Life is not worth living”) directly emerge from the participants' rich, detailed descriptions of their experiences. The researchers also successfully integrated their findings with </w:t>
            </w:r>
            <w:r w:rsidRPr="00732EED">
              <w:rPr>
                <w:sz w:val="18"/>
                <w:szCs w:val="18"/>
              </w:rPr>
              <w:lastRenderedPageBreak/>
              <w:t>existing biopsychosocial literature.</w:t>
            </w:r>
          </w:p>
        </w:tc>
        <w:tc>
          <w:tcPr>
            <w:tcW w:w="958" w:type="pct"/>
          </w:tcPr>
          <w:p w14:paraId="008B5B2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7D34027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utilized a robust sample size for qualitative research, consisting of 34 participants from diverse sources. Data collection resulted in 631 pages of transcribed interviews, and the researchers explicitly stated that data saturation was reached by the 34th interview, meaning no new </w:t>
            </w:r>
            <w:r w:rsidRPr="00732EED">
              <w:rPr>
                <w:sz w:val="18"/>
                <w:szCs w:val="18"/>
              </w:rPr>
              <w:lastRenderedPageBreak/>
              <w:t>meaning units were being discovered.</w:t>
            </w:r>
          </w:p>
        </w:tc>
        <w:tc>
          <w:tcPr>
            <w:tcW w:w="946" w:type="pct"/>
          </w:tcPr>
          <w:p w14:paraId="4F4F644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33C6BD1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highly applicable to understanding the lived experience of chronic pain in a clinical context. It specifically addresses how pain impacts the biopsychosocial well-being of patients, offering insights into why multidisciplinary and patient-centered care is necessary for this population.</w:t>
            </w:r>
          </w:p>
        </w:tc>
      </w:tr>
      <w:tr w:rsidR="0027538E" w:rsidRPr="00732EED" w14:paraId="33822392"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50346907" w14:textId="77777777" w:rsidR="0027538E" w:rsidRPr="00732EED" w:rsidRDefault="0027538E" w:rsidP="0027538E">
            <w:pPr>
              <w:rPr>
                <w:sz w:val="18"/>
                <w:szCs w:val="18"/>
              </w:rPr>
            </w:pPr>
            <w:r w:rsidRPr="00732EED">
              <w:rPr>
                <w:sz w:val="18"/>
                <w:szCs w:val="18"/>
              </w:rPr>
              <w:t>20</w:t>
            </w:r>
          </w:p>
        </w:tc>
        <w:tc>
          <w:tcPr>
            <w:tcW w:w="839" w:type="pct"/>
          </w:tcPr>
          <w:p w14:paraId="05AE0C3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Brooks et. al, 2015</w:t>
            </w:r>
          </w:p>
        </w:tc>
        <w:tc>
          <w:tcPr>
            <w:tcW w:w="934" w:type="pct"/>
          </w:tcPr>
          <w:p w14:paraId="01171ED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The study used a rigorous Interpretive Phenomenological Analysis (IPA) framework, involving </w:t>
            </w:r>
            <w:proofErr w:type="spellStart"/>
            <w:r w:rsidRPr="00732EED">
              <w:rPr>
                <w:sz w:val="18"/>
                <w:szCs w:val="18"/>
              </w:rPr>
              <w:t>audiorecorded</w:t>
            </w:r>
            <w:proofErr w:type="spellEnd"/>
            <w:r w:rsidRPr="00732EED">
              <w:rPr>
                <w:sz w:val="18"/>
                <w:szCs w:val="18"/>
              </w:rPr>
              <w:t>, verbatim transcriptions and a six-step thematic process. However, a significant limitation was the lack of follow-up; while all nine participants committed to two interviews for deeper clarification, only four completed the second one.</w:t>
            </w:r>
          </w:p>
        </w:tc>
        <w:tc>
          <w:tcPr>
            <w:tcW w:w="888" w:type="pct"/>
          </w:tcPr>
          <w:p w14:paraId="6F07639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strongly supported by the underlying data, with direct participant quotes clearly illustrating each of the eight identified themes. The results, such as the theme of “finding balance,” are also consistent with previous qualitative research in the field.</w:t>
            </w:r>
          </w:p>
        </w:tc>
        <w:tc>
          <w:tcPr>
            <w:tcW w:w="958" w:type="pct"/>
          </w:tcPr>
          <w:p w14:paraId="098576C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6029546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data is thematically rich, capturing complex emotional experiences like stigma, guilt, and self-protection. However, the quantity is limited by a small sample size (n=9) and the aforementioned failure to secure follow-up interviews, which restricted further elaboration and clarification of themes.</w:t>
            </w:r>
          </w:p>
        </w:tc>
        <w:tc>
          <w:tcPr>
            <w:tcW w:w="946" w:type="pct"/>
          </w:tcPr>
          <w:p w14:paraId="2C96E2A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applicable to the context of chronic pain management, as it directly explores the lived experiences of adults using prescription opioids for CNCP to understand the psychological and social impacts beyond mere physical pain relief.</w:t>
            </w:r>
          </w:p>
        </w:tc>
      </w:tr>
      <w:tr w:rsidR="0027538E" w:rsidRPr="00732EED" w14:paraId="3AF58FB5"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229B5808" w14:textId="77777777" w:rsidR="0027538E" w:rsidRPr="00732EED" w:rsidRDefault="0027538E" w:rsidP="0027538E">
            <w:pPr>
              <w:rPr>
                <w:sz w:val="18"/>
                <w:szCs w:val="18"/>
              </w:rPr>
            </w:pPr>
            <w:r w:rsidRPr="00732EED">
              <w:rPr>
                <w:sz w:val="18"/>
                <w:szCs w:val="18"/>
              </w:rPr>
              <w:t>21</w:t>
            </w:r>
          </w:p>
        </w:tc>
        <w:tc>
          <w:tcPr>
            <w:tcW w:w="839" w:type="pct"/>
          </w:tcPr>
          <w:p w14:paraId="3C8CE30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 Villiers et. al,</w:t>
            </w:r>
          </w:p>
          <w:p w14:paraId="03EE5F4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2015</w:t>
            </w:r>
          </w:p>
        </w:tc>
        <w:tc>
          <w:tcPr>
            <w:tcW w:w="934" w:type="pct"/>
          </w:tcPr>
          <w:p w14:paraId="6AC9270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41EB901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employed a rigorous descriptive phenomenological design and utilized Guba’s trustworthiness constructs, including triangulation, member checks, and bracketing to manage researcher bias. However, the sample was small (n=9) and predominantly female, which the authors admit may not represent male perspectives. Additionally, while interviews were in English, the use of a translator for “language issues” and the researcher's dual role as a clinic nurse could introduce subtle biases.</w:t>
            </w:r>
          </w:p>
        </w:tc>
        <w:tc>
          <w:tcPr>
            <w:tcW w:w="888" w:type="pct"/>
          </w:tcPr>
          <w:p w14:paraId="050373B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rich, verbatim data and participant quotes that align clearly with the identified themes of physical, psychosocial, and spiritual impact. The results are internally consistent and the authors successfully link their findings to established theoretical frameworks, such as Cecily Saunders' concept of “total pain”.</w:t>
            </w:r>
          </w:p>
        </w:tc>
        <w:tc>
          <w:tcPr>
            <w:tcW w:w="958" w:type="pct"/>
          </w:tcPr>
          <w:p w14:paraId="707BC1A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is highly rich and qualitative, involving hour-long in-depth interviews that captured non-verbal cues like sighing and crying to ensure depth. While the researchers conducted concurrent analysis to determine data saturation, the total number of participants (n=9) is relatively low, which may limit the breadth of the data.</w:t>
            </w:r>
          </w:p>
        </w:tc>
        <w:tc>
          <w:tcPr>
            <w:tcW w:w="946" w:type="pct"/>
          </w:tcPr>
          <w:p w14:paraId="56C1BD2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1832B2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highly applicable to understanding chronic pain in resource-poor, underprivileged contexts</w:t>
            </w:r>
          </w:p>
          <w:p w14:paraId="001B862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It specifically addresses a “knowledge gap” regarding the daily lived experiences of South Africans serving as a direct response to the failures of the public health care system in that region.</w:t>
            </w:r>
          </w:p>
        </w:tc>
      </w:tr>
      <w:tr w:rsidR="0027538E" w:rsidRPr="00732EED" w14:paraId="00073CEB"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996E5EC" w14:textId="77777777" w:rsidR="0027538E" w:rsidRPr="00732EED" w:rsidRDefault="0027538E" w:rsidP="0027538E">
            <w:pPr>
              <w:rPr>
                <w:sz w:val="18"/>
                <w:szCs w:val="18"/>
              </w:rPr>
            </w:pPr>
            <w:r w:rsidRPr="00732EED">
              <w:rPr>
                <w:sz w:val="18"/>
                <w:szCs w:val="18"/>
              </w:rPr>
              <w:t>22</w:t>
            </w:r>
          </w:p>
        </w:tc>
        <w:tc>
          <w:tcPr>
            <w:tcW w:w="839" w:type="pct"/>
          </w:tcPr>
          <w:p w14:paraId="2CFF8EC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Hearn et. al, </w:t>
            </w:r>
          </w:p>
          <w:p w14:paraId="63159F3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2015</w:t>
            </w:r>
          </w:p>
        </w:tc>
        <w:tc>
          <w:tcPr>
            <w:tcW w:w="934" w:type="pct"/>
          </w:tcPr>
          <w:p w14:paraId="4F89036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Low: The study employed a rigorous Interpretative Phenomenological Analysis (IPA) framework. To ensure quality, the researchers used “bracketing” via a reflective diary to manage bias and employed independent auditors to check that themes remained grounded in the data. While the sample was small (n=8) and self-selecting, this is consistent with the idiographic </w:t>
            </w:r>
            <w:r w:rsidRPr="00732EED">
              <w:rPr>
                <w:sz w:val="18"/>
                <w:szCs w:val="18"/>
              </w:rPr>
              <w:lastRenderedPageBreak/>
              <w:t>requirements of qualitative research to provide depth over breadth.</w:t>
            </w:r>
          </w:p>
        </w:tc>
        <w:tc>
          <w:tcPr>
            <w:tcW w:w="888" w:type="pct"/>
          </w:tcPr>
          <w:p w14:paraId="56544FC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7B85321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findings are highly coherent, with super-ordinate themes supported by clear convergences across the accounts. For example, “the chasm” between biomedical perspectives and patient needs was prevalent across all eight participants. The authors successfully mapped individual sensory experiences (e.g., “pit of </w:t>
            </w:r>
            <w:r w:rsidRPr="00732EED">
              <w:rPr>
                <w:sz w:val="18"/>
                <w:szCs w:val="18"/>
              </w:rPr>
              <w:lastRenderedPageBreak/>
              <w:t>fire”) to broader psychological and social consequences.</w:t>
            </w:r>
          </w:p>
        </w:tc>
        <w:tc>
          <w:tcPr>
            <w:tcW w:w="958" w:type="pct"/>
          </w:tcPr>
          <w:p w14:paraId="3FDFDAC0" w14:textId="1E93F685"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data is exceptionally rich, derived from verbatim transcripts of semi-structured interviews lasting between 40 and 120 minutes. The authors included sufficient raw data in the results to validate their interpretations and provided a detailed table of participant characteristics to </w:t>
            </w:r>
            <w:r w:rsidR="00E9589B" w:rsidRPr="00732EED">
              <w:rPr>
                <w:sz w:val="18"/>
                <w:szCs w:val="18"/>
              </w:rPr>
              <w:t>contextualize</w:t>
            </w:r>
            <w:r w:rsidRPr="00732EED">
              <w:rPr>
                <w:sz w:val="18"/>
                <w:szCs w:val="18"/>
              </w:rPr>
              <w:t xml:space="preserve"> the findings.</w:t>
            </w:r>
          </w:p>
        </w:tc>
        <w:tc>
          <w:tcPr>
            <w:tcW w:w="946" w:type="pct"/>
          </w:tcPr>
          <w:p w14:paraId="09D7C05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4FB3D4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directly addresses a “dearth of evidence” regarding the psychological and social aspects of pain management specifically for the SCI population</w:t>
            </w:r>
          </w:p>
          <w:p w14:paraId="256A749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The findings offer high clinical relevance by suggesting a shift in rehabilitation from purely pharmacological pain relief toward biopsychosocial pain </w:t>
            </w:r>
            <w:r w:rsidRPr="00732EED">
              <w:rPr>
                <w:sz w:val="18"/>
                <w:szCs w:val="18"/>
              </w:rPr>
              <w:lastRenderedPageBreak/>
              <w:t>management and acceptance-based therapies.</w:t>
            </w:r>
          </w:p>
        </w:tc>
      </w:tr>
      <w:tr w:rsidR="0027538E" w:rsidRPr="00732EED" w14:paraId="1B7A8ED6"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30B8AD1B" w14:textId="77777777" w:rsidR="0027538E" w:rsidRPr="00732EED" w:rsidRDefault="0027538E" w:rsidP="0027538E">
            <w:pPr>
              <w:rPr>
                <w:sz w:val="18"/>
                <w:szCs w:val="18"/>
              </w:rPr>
            </w:pPr>
            <w:r w:rsidRPr="00732EED">
              <w:rPr>
                <w:sz w:val="18"/>
                <w:szCs w:val="18"/>
              </w:rPr>
              <w:lastRenderedPageBreak/>
              <w:t>23</w:t>
            </w:r>
          </w:p>
        </w:tc>
        <w:tc>
          <w:tcPr>
            <w:tcW w:w="839" w:type="pct"/>
          </w:tcPr>
          <w:p w14:paraId="37D5C55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Kirkham et. al,</w:t>
            </w:r>
          </w:p>
          <w:p w14:paraId="1EFF9A1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2015</w:t>
            </w:r>
          </w:p>
        </w:tc>
        <w:tc>
          <w:tcPr>
            <w:tcW w:w="934" w:type="pct"/>
          </w:tcPr>
          <w:p w14:paraId="4EC7C3F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Low: </w:t>
            </w:r>
            <w:r w:rsidRPr="00732EED">
              <w:rPr>
                <w:sz w:val="18"/>
                <w:szCs w:val="18"/>
              </w:rPr>
              <w:tab/>
            </w:r>
          </w:p>
          <w:p w14:paraId="60B4CEF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follows a rigorous and systematic Interpretative Phenomenological Analysis (IPA) procedure, adhering to established qualitative quality criteria (e.g., Yardley, 2008). While the sample size is small and homogeneous (n=7 White British women), the authors note this is a standard and intentional feature of IPA designed to allow for deep idiographic analysis.</w:t>
            </w:r>
          </w:p>
        </w:tc>
        <w:tc>
          <w:tcPr>
            <w:tcW w:w="888" w:type="pct"/>
          </w:tcPr>
          <w:p w14:paraId="1375A2F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2F9BC8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strongly supported by the data, with a “triple hermeneutic” approach that grounds interpretation in the participants' own accounts of their artwork. There is clear consistency across the themes (e.g., the "Pain as Object" theme) as similar visual metaphors and descriptions were found across multiple participants, such as the use of spikes and jagged shapes to represent suffering.</w:t>
            </w:r>
          </w:p>
        </w:tc>
        <w:tc>
          <w:tcPr>
            <w:tcW w:w="958" w:type="pct"/>
          </w:tcPr>
          <w:p w14:paraId="61C1E52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data is exceptionally rich, utilizing both visual (drawings) and verbal (in-depth interviews lasting 45-70 minutes) representations. The authors provide “sufficient density of evidence” for each theme by including both the original images and verbatim transcripts that capture the nuanced, subjective experience of pain.</w:t>
            </w:r>
          </w:p>
        </w:tc>
        <w:tc>
          <w:tcPr>
            <w:tcW w:w="946" w:type="pct"/>
          </w:tcPr>
          <w:p w14:paraId="6681C54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applicable to the understanding of chronic pain, an “invisible” condition that is notoriously difficult for patients to articulate. By using pictorial representations, the research directly addresses clinical needs for better methods to investigate the "hidden, elusive qualities of pain" and offers practical suggestions for therapeutic interventions.</w:t>
            </w:r>
          </w:p>
        </w:tc>
      </w:tr>
      <w:tr w:rsidR="0027538E" w:rsidRPr="00732EED" w14:paraId="0CC3789B"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47C6713F" w14:textId="77777777" w:rsidR="0027538E" w:rsidRPr="00732EED" w:rsidRDefault="0027538E" w:rsidP="0027538E">
            <w:pPr>
              <w:rPr>
                <w:sz w:val="18"/>
                <w:szCs w:val="18"/>
              </w:rPr>
            </w:pPr>
            <w:r w:rsidRPr="00732EED">
              <w:rPr>
                <w:sz w:val="18"/>
                <w:szCs w:val="18"/>
              </w:rPr>
              <w:t>24</w:t>
            </w:r>
          </w:p>
        </w:tc>
        <w:tc>
          <w:tcPr>
            <w:tcW w:w="839" w:type="pct"/>
          </w:tcPr>
          <w:p w14:paraId="22F35EF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MacNeela</w:t>
            </w:r>
            <w:proofErr w:type="spellEnd"/>
            <w:r w:rsidRPr="00732EED">
              <w:rPr>
                <w:sz w:val="18"/>
                <w:szCs w:val="18"/>
              </w:rPr>
              <w:t xml:space="preserve"> et al., 2015</w:t>
            </w:r>
          </w:p>
        </w:tc>
        <w:tc>
          <w:tcPr>
            <w:tcW w:w="934" w:type="pct"/>
          </w:tcPr>
          <w:p w14:paraId="6D901FB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D1CDF4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authors utilized a rigorous, stepwise meta-ethnographic methodology to re-analyze existing findings. They applied Meyrick’s (2006) criteria for quality appraisal to evaluate the transparency and systematicity of each study, specifically excluding those that omitted critical information on interview content or researcher interpretation.</w:t>
            </w:r>
          </w:p>
        </w:tc>
        <w:tc>
          <w:tcPr>
            <w:tcW w:w="888" w:type="pct"/>
          </w:tcPr>
          <w:p w14:paraId="67AFA60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well-supported by reciprocal translation, which identified cross-study similarities, and refutational analysis, which accounted for divergent findings. These were integrated into a final “line of argument” that logically connects the themes of distress, loss, and self-management.</w:t>
            </w:r>
          </w:p>
        </w:tc>
        <w:tc>
          <w:tcPr>
            <w:tcW w:w="958" w:type="pct"/>
          </w:tcPr>
          <w:p w14:paraId="58821E1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paper synthesizes a substantial volume of data from 38 peer-reviewed articles (representing 28 empirical investigations) published over 17 years. The sample included studies from multiple disciplines (psychology, medicine, physiotherapy, nursing) and various healthcare settings.</w:t>
            </w:r>
          </w:p>
        </w:tc>
        <w:tc>
          <w:tcPr>
            <w:tcW w:w="946" w:type="pct"/>
          </w:tcPr>
          <w:p w14:paraId="12C8F1E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studies were selected based on strict inclusion criteria requiring a qualitative research design focused specifically on the subjective experience of chronic low back pain</w:t>
            </w:r>
          </w:p>
          <w:p w14:paraId="41F528C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This ensures the findings are directly applicable to understanding the personal and social impact of the condition.</w:t>
            </w:r>
          </w:p>
          <w:p w14:paraId="752AF9F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r>
      <w:tr w:rsidR="0027538E" w:rsidRPr="00732EED" w14:paraId="2D76F0CE"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41F69512" w14:textId="77777777" w:rsidR="0027538E" w:rsidRPr="00732EED" w:rsidRDefault="0027538E" w:rsidP="0027538E">
            <w:pPr>
              <w:rPr>
                <w:sz w:val="18"/>
                <w:szCs w:val="18"/>
              </w:rPr>
            </w:pPr>
            <w:r w:rsidRPr="00732EED">
              <w:rPr>
                <w:sz w:val="18"/>
                <w:szCs w:val="18"/>
              </w:rPr>
              <w:t>25</w:t>
            </w:r>
          </w:p>
        </w:tc>
        <w:tc>
          <w:tcPr>
            <w:tcW w:w="839" w:type="pct"/>
          </w:tcPr>
          <w:p w14:paraId="2BC1A74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Ojala et al., 2015</w:t>
            </w:r>
          </w:p>
          <w:p w14:paraId="3F3C5E63" w14:textId="4B1517E8"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t>
            </w:r>
            <w:r w:rsidR="00EC7AE5" w:rsidRPr="00732EED">
              <w:rPr>
                <w:sz w:val="18"/>
                <w:szCs w:val="18"/>
              </w:rPr>
              <w:t>a</w:t>
            </w:r>
            <w:r w:rsidRPr="00732EED">
              <w:rPr>
                <w:sz w:val="18"/>
                <w:szCs w:val="18"/>
              </w:rPr>
              <w:t>)</w:t>
            </w:r>
          </w:p>
        </w:tc>
        <w:tc>
          <w:tcPr>
            <w:tcW w:w="934" w:type="pct"/>
          </w:tcPr>
          <w:p w14:paraId="09FDC9E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employed a rigorous four-phase phenomenological method (Giorgi’s method) designed to minimize bias through bracketing (</w:t>
            </w:r>
            <w:proofErr w:type="spellStart"/>
            <w:r w:rsidRPr="00732EED">
              <w:rPr>
                <w:sz w:val="18"/>
                <w:szCs w:val="18"/>
              </w:rPr>
              <w:t>epoche</w:t>
            </w:r>
            <w:proofErr w:type="spellEnd"/>
            <w:r w:rsidRPr="00732EED">
              <w:rPr>
                <w:sz w:val="18"/>
                <w:szCs w:val="18"/>
              </w:rPr>
              <w:t>). The research process was transparent, utilizing a team-based approach to verify meaning units and perspectives, which enhances the trustworthiness of the results.</w:t>
            </w:r>
          </w:p>
        </w:tc>
        <w:tc>
          <w:tcPr>
            <w:tcW w:w="888" w:type="pct"/>
          </w:tcPr>
          <w:p w14:paraId="6837061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The findings are logically structured into four </w:t>
            </w:r>
            <w:proofErr w:type="gramStart"/>
            <w:r w:rsidRPr="00732EED">
              <w:rPr>
                <w:sz w:val="18"/>
                <w:szCs w:val="18"/>
              </w:rPr>
              <w:t>essential</w:t>
            </w:r>
            <w:proofErr w:type="gramEnd"/>
            <w:r w:rsidRPr="00732EED">
              <w:rPr>
                <w:sz w:val="18"/>
                <w:szCs w:val="18"/>
              </w:rPr>
              <w:t>, overlapping themes, Invisibility, Negativity, Dominance, and Affectivity, that directly emerge from the four-phase analysis. The paper demonstrates a clear, consistent link between the underlying interview data and the final synthesis of the “essence” of chronic pain.</w:t>
            </w:r>
          </w:p>
        </w:tc>
        <w:tc>
          <w:tcPr>
            <w:tcW w:w="958" w:type="pct"/>
          </w:tcPr>
          <w:p w14:paraId="21F0BD0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utilized a relatively large sample for qualitative research, consisting of 34 participants from diverse sources. This resulted in a rich dataset of 631 transcribed pages of in-depth interviews, and the author confirmed that data saturation was reached by the final interview.</w:t>
            </w:r>
          </w:p>
        </w:tc>
        <w:tc>
          <w:tcPr>
            <w:tcW w:w="946" w:type="pct"/>
          </w:tcPr>
          <w:p w14:paraId="2B8F886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C6FFA3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highly applicable to the core research aim of understanding the lived experience of chronic pain from a patient's perspective</w:t>
            </w:r>
          </w:p>
          <w:p w14:paraId="2EDE9E9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It successfully addresses the multidimensional nature of the condition, providing insights into the psychological, social, and pedagogical aspects often neglected in traditional medical models.</w:t>
            </w:r>
          </w:p>
        </w:tc>
      </w:tr>
      <w:tr w:rsidR="0027538E" w:rsidRPr="00732EED" w14:paraId="6D7E2A3D"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4700E288" w14:textId="77777777" w:rsidR="0027538E" w:rsidRPr="00732EED" w:rsidRDefault="0027538E" w:rsidP="0027538E">
            <w:pPr>
              <w:rPr>
                <w:sz w:val="18"/>
                <w:szCs w:val="18"/>
              </w:rPr>
            </w:pPr>
            <w:r w:rsidRPr="00732EED">
              <w:rPr>
                <w:sz w:val="18"/>
                <w:szCs w:val="18"/>
              </w:rPr>
              <w:t>26</w:t>
            </w:r>
          </w:p>
        </w:tc>
        <w:tc>
          <w:tcPr>
            <w:tcW w:w="839" w:type="pct"/>
          </w:tcPr>
          <w:p w14:paraId="07FF5121" w14:textId="7AE58F23"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Ojala et al., 2015</w:t>
            </w:r>
            <w:r w:rsidR="00EC7AE5" w:rsidRPr="00732EED">
              <w:rPr>
                <w:sz w:val="18"/>
                <w:szCs w:val="18"/>
              </w:rPr>
              <w:t xml:space="preserve"> (b)</w:t>
            </w:r>
          </w:p>
        </w:tc>
        <w:tc>
          <w:tcPr>
            <w:tcW w:w="934" w:type="pct"/>
          </w:tcPr>
          <w:p w14:paraId="68D80AA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The study follows a rigorous and well-documented </w:t>
            </w:r>
            <w:r w:rsidRPr="00732EED">
              <w:rPr>
                <w:sz w:val="18"/>
                <w:szCs w:val="18"/>
              </w:rPr>
              <w:lastRenderedPageBreak/>
              <w:t>qualitative framework using Giorgi’s four-phase phenomenological method. Researchers employed clear inclusion criteria, ethical oversight, and a multidisciplinary team to perform the final synthesis, which enhances the credibility of the analysis.</w:t>
            </w:r>
          </w:p>
        </w:tc>
        <w:tc>
          <w:tcPr>
            <w:tcW w:w="888" w:type="pct"/>
          </w:tcPr>
          <w:p w14:paraId="431E3E5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7A4AE2A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The findings are consistently supported by the underlying data, with subthemes (such as “Being disbelieved” and “Denying pain”) clearly linked to specific participant experiences and direct quotes. Furthermore, the results align with existing literature regarding the psychosocial impact of “unseen” chronic pain.</w:t>
            </w:r>
          </w:p>
        </w:tc>
        <w:tc>
          <w:tcPr>
            <w:tcW w:w="958" w:type="pct"/>
          </w:tcPr>
          <w:p w14:paraId="25E6FAD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2931C47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The data is exceptionally rich, consisting of 631 transcribed pages from in-depth interviews with 34 participants. The authors explicitly noted that data saturation was reached by the final interview, ensuring a comprehensive exploration of the phenomenon. </w:t>
            </w:r>
          </w:p>
        </w:tc>
        <w:tc>
          <w:tcPr>
            <w:tcW w:w="946" w:type="pct"/>
          </w:tcPr>
          <w:p w14:paraId="754B42E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study is directly applicable to understanding the </w:t>
            </w:r>
            <w:r w:rsidRPr="00732EED">
              <w:rPr>
                <w:sz w:val="18"/>
                <w:szCs w:val="18"/>
              </w:rPr>
              <w:lastRenderedPageBreak/>
              <w:t>lived experience of chronic pain and the limitations of the traditional medical model</w:t>
            </w:r>
          </w:p>
          <w:p w14:paraId="635275C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It provides deep insight into how the “invisibility” of pain affects patient interactions with the healthcare and social security systems.</w:t>
            </w:r>
          </w:p>
        </w:tc>
      </w:tr>
      <w:tr w:rsidR="0027538E" w:rsidRPr="00732EED" w14:paraId="7D4FAC49"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C274E2A" w14:textId="77777777" w:rsidR="0027538E" w:rsidRPr="00732EED" w:rsidRDefault="0027538E" w:rsidP="0027538E">
            <w:pPr>
              <w:rPr>
                <w:sz w:val="18"/>
                <w:szCs w:val="18"/>
              </w:rPr>
            </w:pPr>
            <w:r w:rsidRPr="00732EED">
              <w:rPr>
                <w:sz w:val="18"/>
                <w:szCs w:val="18"/>
              </w:rPr>
              <w:lastRenderedPageBreak/>
              <w:t>27</w:t>
            </w:r>
          </w:p>
        </w:tc>
        <w:tc>
          <w:tcPr>
            <w:tcW w:w="839" w:type="pct"/>
          </w:tcPr>
          <w:p w14:paraId="2AEE593B" w14:textId="720A945C"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Ojala et. al, 2015</w:t>
            </w:r>
            <w:r w:rsidR="00EC7AE5" w:rsidRPr="00732EED">
              <w:rPr>
                <w:sz w:val="18"/>
                <w:szCs w:val="18"/>
              </w:rPr>
              <w:t xml:space="preserve"> (c)</w:t>
            </w:r>
          </w:p>
        </w:tc>
        <w:tc>
          <w:tcPr>
            <w:tcW w:w="934" w:type="pct"/>
          </w:tcPr>
          <w:p w14:paraId="14E1FA3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employed a rigorous and recognized four-phase phenomenological method (Giorgi’s) to analyze data. It utilized a multidisciplinary team for synthesis to ensure credibility and practiced “bracketing” to minimize researcher bias. However, the researchers noted that results were not returned to participants for checking, a common qualitative validation step, and acknowledged that some participants might have exaggerated their experiences since it was their first time being heard.</w:t>
            </w:r>
          </w:p>
        </w:tc>
        <w:tc>
          <w:tcPr>
            <w:tcW w:w="888" w:type="pct"/>
          </w:tcPr>
          <w:p w14:paraId="3C48B1E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highly coherent, as the researchers clearly outlined how individual “meaning units” were transformed into “meaning structures” and eventually synthesized into a comprehensive “eidetic structure”. The resulting seven subthemes (e.g., State of reflection, Acceptance of pain) are logically interconnected and supported by direct participant quotes and existing literature on the biopsychosocial paradigm of pain.</w:t>
            </w:r>
          </w:p>
        </w:tc>
        <w:tc>
          <w:tcPr>
            <w:tcW w:w="958" w:type="pct"/>
          </w:tcPr>
          <w:p w14:paraId="4BDE8F7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4319A5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supported by a large volume of data, including 631 pages of transcribed interviews from 34 participants. This sample size is substantial for a qualitative phenomenological study, and the researchers explicitly stated they reached data saturation, as no new meaning units emerged by the final interview. The participants also represented a diverse range of ages and chronic pain diagnoses.</w:t>
            </w:r>
          </w:p>
        </w:tc>
        <w:tc>
          <w:tcPr>
            <w:tcW w:w="946" w:type="pct"/>
          </w:tcPr>
          <w:p w14:paraId="6DFA256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relevant to its aim of exploring the subjective meaning and management of chronic pain from the patient's perspective</w:t>
            </w:r>
          </w:p>
          <w:p w14:paraId="307B17E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 By focusing on successful management strategies and the “altered self,” the findings provide actionable insights for clinical practice, emphasizing the need for a holistic, conversational approach in therapy. </w:t>
            </w:r>
          </w:p>
        </w:tc>
      </w:tr>
      <w:tr w:rsidR="0027538E" w:rsidRPr="00732EED" w14:paraId="4CD32D45"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4916A65" w14:textId="77777777" w:rsidR="0027538E" w:rsidRPr="00732EED" w:rsidRDefault="0027538E" w:rsidP="0027538E">
            <w:pPr>
              <w:rPr>
                <w:sz w:val="18"/>
                <w:szCs w:val="18"/>
              </w:rPr>
            </w:pPr>
            <w:r w:rsidRPr="00732EED">
              <w:rPr>
                <w:sz w:val="18"/>
                <w:szCs w:val="18"/>
              </w:rPr>
              <w:t>28</w:t>
            </w:r>
          </w:p>
        </w:tc>
        <w:tc>
          <w:tcPr>
            <w:tcW w:w="839" w:type="pct"/>
          </w:tcPr>
          <w:p w14:paraId="09ABAAE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Röing</w:t>
            </w:r>
            <w:proofErr w:type="spellEnd"/>
            <w:r w:rsidRPr="00732EED">
              <w:rPr>
                <w:sz w:val="18"/>
                <w:szCs w:val="18"/>
              </w:rPr>
              <w:t xml:space="preserve"> &amp; Sanner 2015</w:t>
            </w:r>
          </w:p>
        </w:tc>
        <w:tc>
          <w:tcPr>
            <w:tcW w:w="934" w:type="pct"/>
          </w:tcPr>
          <w:p w14:paraId="19C7AC9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The authors followed a systematic five-phase meta-ethnographic process to synthesize the data. However, they identified significant design flaws in many of the original 12 studies, such as the failure to develop an “outcome space” or establish logical relations between categories, which are core requirements of the </w:t>
            </w:r>
            <w:proofErr w:type="spellStart"/>
            <w:r w:rsidRPr="00732EED">
              <w:rPr>
                <w:sz w:val="18"/>
                <w:szCs w:val="18"/>
              </w:rPr>
              <w:t>phenomenographic</w:t>
            </w:r>
            <w:proofErr w:type="spellEnd"/>
            <w:r w:rsidRPr="00732EED">
              <w:rPr>
                <w:sz w:val="18"/>
                <w:szCs w:val="18"/>
              </w:rPr>
              <w:t xml:space="preserve"> method.</w:t>
            </w:r>
          </w:p>
        </w:tc>
        <w:tc>
          <w:tcPr>
            <w:tcW w:w="888" w:type="pct"/>
          </w:tcPr>
          <w:p w14:paraId="1C350CC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strongly supported by a clear audit trail showing the translation of original study constructs into synthesized key phrases. The resulting four categories are logically related in a process of “recurring loops,” and the authors demonstrate that these findings are consistent with broader literature on chronic illness experiences, such as profound fatigue and identity threats.</w:t>
            </w:r>
          </w:p>
        </w:tc>
        <w:tc>
          <w:tcPr>
            <w:tcW w:w="958" w:type="pct"/>
          </w:tcPr>
          <w:p w14:paraId="3A38D62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synthesis is based on 12 selected articles representing a total of 148 individuals across various chronic conditions. While the data is rich, the authors acknowledge that certain areas, specifically identity, lacked adequate data in the heart and renal failure studies, which they attribute to either incomplete original analyses or the “struggle for pure survival” overshadowing other concerns.</w:t>
            </w:r>
          </w:p>
        </w:tc>
        <w:tc>
          <w:tcPr>
            <w:tcW w:w="946" w:type="pct"/>
          </w:tcPr>
          <w:p w14:paraId="317DAE6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D9788E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is highly relevant to understanding the qualitative variations in patients' lived experiences of chronic illness</w:t>
            </w:r>
          </w:p>
          <w:p w14:paraId="796B81D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By focusing on the ways illness is experienced rather than individual case studies, it provides a comprehensive framework (the outcome space) that is directly applicable to improving patient education and empowerment in healthcare settings.</w:t>
            </w:r>
          </w:p>
          <w:p w14:paraId="2C62293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r>
      <w:tr w:rsidR="0027538E" w:rsidRPr="00732EED" w14:paraId="55CDC8B6"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C7C7C31" w14:textId="77777777" w:rsidR="0027538E" w:rsidRPr="00732EED" w:rsidRDefault="0027538E" w:rsidP="0027538E">
            <w:pPr>
              <w:rPr>
                <w:sz w:val="18"/>
                <w:szCs w:val="18"/>
              </w:rPr>
            </w:pPr>
            <w:r w:rsidRPr="00732EED">
              <w:rPr>
                <w:sz w:val="18"/>
                <w:szCs w:val="18"/>
              </w:rPr>
              <w:t>29</w:t>
            </w:r>
          </w:p>
        </w:tc>
        <w:tc>
          <w:tcPr>
            <w:tcW w:w="839" w:type="pct"/>
          </w:tcPr>
          <w:p w14:paraId="2EB5529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Svensson et. al, </w:t>
            </w:r>
          </w:p>
          <w:p w14:paraId="7D2F6A0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2015</w:t>
            </w:r>
          </w:p>
        </w:tc>
        <w:tc>
          <w:tcPr>
            <w:tcW w:w="934" w:type="pct"/>
          </w:tcPr>
          <w:p w14:paraId="1F03D807" w14:textId="73EFC664"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The study utilized a rigorous phenomenological </w:t>
            </w:r>
            <w:r w:rsidRPr="00732EED">
              <w:rPr>
                <w:sz w:val="18"/>
                <w:szCs w:val="18"/>
              </w:rPr>
              <w:lastRenderedPageBreak/>
              <w:t>hermeneutical design with a clear three-</w:t>
            </w:r>
            <w:r w:rsidR="00B93F1C" w:rsidRPr="00732EED">
              <w:rPr>
                <w:sz w:val="18"/>
                <w:szCs w:val="18"/>
              </w:rPr>
              <w:t>Phase</w:t>
            </w:r>
            <w:r w:rsidRPr="00732EED">
              <w:rPr>
                <w:sz w:val="18"/>
                <w:szCs w:val="18"/>
              </w:rPr>
              <w:t xml:space="preserve"> analysis process (naïve understanding, structural analysis, and comprehensive understanding). Trustworthiness was strengthened through continuous discussion between authors to validate interpretations and by addressing the researcher's pre-understanding.</w:t>
            </w:r>
          </w:p>
        </w:tc>
        <w:tc>
          <w:tcPr>
            <w:tcW w:w="888" w:type="pct"/>
          </w:tcPr>
          <w:p w14:paraId="718348A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findings are strongly supported by the </w:t>
            </w:r>
            <w:r w:rsidRPr="00732EED">
              <w:rPr>
                <w:sz w:val="18"/>
                <w:szCs w:val="18"/>
              </w:rPr>
              <w:lastRenderedPageBreak/>
              <w:t>narrative data, with clear themes like “struggling to understand a deceiving body” and “breakthrough pain fueling fear” emerging directly from the analysis. The results are also consistent with previous studies regarding the social isolation and lack of healthcare support experienced by this population.</w:t>
            </w:r>
          </w:p>
        </w:tc>
        <w:tc>
          <w:tcPr>
            <w:tcW w:w="958" w:type="pct"/>
          </w:tcPr>
          <w:p w14:paraId="54870CC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Moderate: While the interviews provided “rich data” and were </w:t>
            </w:r>
            <w:r w:rsidRPr="00732EED">
              <w:rPr>
                <w:sz w:val="18"/>
                <w:szCs w:val="18"/>
              </w:rPr>
              <w:lastRenderedPageBreak/>
              <w:t>lengthy (50-75 minutes), the sample size was small (10 women) and limited to those living in their own homes in a single Swedish city. The study specifically excluded more frail individuals living in special housing, which may limit the breadth of the findings.</w:t>
            </w:r>
          </w:p>
        </w:tc>
        <w:tc>
          <w:tcPr>
            <w:tcW w:w="946" w:type="pct"/>
          </w:tcPr>
          <w:p w14:paraId="5C020D8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study is directly applicable to the clinical and </w:t>
            </w:r>
            <w:r w:rsidRPr="00732EED">
              <w:rPr>
                <w:sz w:val="18"/>
                <w:szCs w:val="18"/>
              </w:rPr>
              <w:lastRenderedPageBreak/>
              <w:t>social context of the review question, as it focuses specifically on the lived experience of older women with VCF, a group often marginalized or “abandoned” by current medical and surgical treatment models.</w:t>
            </w:r>
          </w:p>
        </w:tc>
      </w:tr>
      <w:tr w:rsidR="0027538E" w:rsidRPr="00732EED" w14:paraId="7158D6E0"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5299D1B2" w14:textId="77777777" w:rsidR="0027538E" w:rsidRPr="00732EED" w:rsidRDefault="0027538E" w:rsidP="0027538E">
            <w:pPr>
              <w:rPr>
                <w:sz w:val="18"/>
                <w:szCs w:val="18"/>
              </w:rPr>
            </w:pPr>
            <w:r w:rsidRPr="00732EED">
              <w:rPr>
                <w:sz w:val="18"/>
                <w:szCs w:val="18"/>
              </w:rPr>
              <w:lastRenderedPageBreak/>
              <w:t>30</w:t>
            </w:r>
          </w:p>
        </w:tc>
        <w:tc>
          <w:tcPr>
            <w:tcW w:w="839" w:type="pct"/>
          </w:tcPr>
          <w:p w14:paraId="720E82D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Coleman et. al, </w:t>
            </w:r>
          </w:p>
          <w:p w14:paraId="31BF330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2016</w:t>
            </w:r>
          </w:p>
        </w:tc>
        <w:tc>
          <w:tcPr>
            <w:tcW w:w="934" w:type="pct"/>
          </w:tcPr>
          <w:p w14:paraId="0F1545D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followed rigorous Interpretative Phenomenological Analysis (IPA) guidelines and included quality assurance steps like independent audits and participant validation. However, the sample was recruited from a single support group, which the authors acknowledge may lead to self-selection bias, as members might have different narratives than non-members.</w:t>
            </w:r>
          </w:p>
        </w:tc>
        <w:tc>
          <w:tcPr>
            <w:tcW w:w="888" w:type="pct"/>
          </w:tcPr>
          <w:p w14:paraId="3E245E8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strongly supported by underlying data, with themes directly emerging from rich verbatim quotes from participants describing their pain (e.g., “woodpecker,” “hammering,” or “lightning”). The results are consistent with the limited existing qualitative literature on SCD pain.</w:t>
            </w:r>
          </w:p>
        </w:tc>
        <w:tc>
          <w:tcPr>
            <w:tcW w:w="958" w:type="pct"/>
          </w:tcPr>
          <w:p w14:paraId="144C628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data is highly rich and in-depth, with interviews lasting up to 120 minutes and involving detailed multi-layered coding. However, the quantity of data is limited by the small sample size of only seven participants, and the authors note that those with the most severe pain might have been unable to attend the recruitment site.</w:t>
            </w:r>
          </w:p>
        </w:tc>
        <w:tc>
          <w:tcPr>
            <w:tcW w:w="946" w:type="pct"/>
          </w:tcPr>
          <w:p w14:paraId="516D837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directly applicable to the specific context of understanding the lived experience of SCD pain. It addresses a significant gap in research by focusing on the meaning and nature of pain rather than just its consequences or quantitative measurement.</w:t>
            </w:r>
          </w:p>
        </w:tc>
      </w:tr>
      <w:tr w:rsidR="0027538E" w:rsidRPr="00732EED" w14:paraId="1A54793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78383221" w14:textId="77777777" w:rsidR="0027538E" w:rsidRPr="00732EED" w:rsidRDefault="0027538E" w:rsidP="0027538E">
            <w:pPr>
              <w:rPr>
                <w:sz w:val="18"/>
                <w:szCs w:val="18"/>
              </w:rPr>
            </w:pPr>
            <w:r w:rsidRPr="00732EED">
              <w:rPr>
                <w:sz w:val="18"/>
                <w:szCs w:val="18"/>
              </w:rPr>
              <w:t>31</w:t>
            </w:r>
          </w:p>
        </w:tc>
        <w:tc>
          <w:tcPr>
            <w:tcW w:w="839" w:type="pct"/>
          </w:tcPr>
          <w:p w14:paraId="1EE8056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Rambod et. al,</w:t>
            </w:r>
          </w:p>
          <w:p w14:paraId="46247CD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2016</w:t>
            </w:r>
          </w:p>
        </w:tc>
        <w:tc>
          <w:tcPr>
            <w:tcW w:w="934" w:type="pct"/>
          </w:tcPr>
          <w:p w14:paraId="00D6FD7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utilizes a well-defined hermeneutic phenomenological approach and follows van Manen’s six-step framework for analysis. It explicitly addresses trustworthiness through member checking, peer debriefing, and an audit trail. However, the sample is limited to a single hemophilia center in Iran, and the authors acknowledge a limitation regarding the historical lack of access to replacement factor for some participants, which may have influenced their long-term pain experiences.</w:t>
            </w:r>
          </w:p>
        </w:tc>
        <w:tc>
          <w:tcPr>
            <w:tcW w:w="888" w:type="pct"/>
          </w:tcPr>
          <w:p w14:paraId="52C63CC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the underlying data, with clear thematic links between the participants' lived experiences and the resulting themes of physical, psychological, and social impairment. The study also demonstrates consistency by aligning its results with existing quantitative and qualitative literature on chronic pain and hemophilia.</w:t>
            </w:r>
          </w:p>
        </w:tc>
        <w:tc>
          <w:tcPr>
            <w:tcW w:w="958" w:type="pct"/>
          </w:tcPr>
          <w:p w14:paraId="1A1799B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gathered “experientially rich information” from 14 participants, which is generally considered sufficient for a phenomenological study to reach thematic saturation. While the data is deep and includes detailed personal anecdotes, the scope is restricted to a specific cultural and clinical setting in Shiraz, Iran.</w:t>
            </w:r>
          </w:p>
        </w:tc>
        <w:tc>
          <w:tcPr>
            <w:tcW w:w="946" w:type="pct"/>
          </w:tcPr>
          <w:p w14:paraId="167179A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applicable to the lived experience of hemophilia, focusing specifically on the meaning of pain in this unique population. It addresses the specific nuances of hemophilia, such as pain resulting from recurrent joint bleeds since childhood, which distinguishes it from other chronic pain conditions.</w:t>
            </w:r>
          </w:p>
        </w:tc>
      </w:tr>
      <w:tr w:rsidR="0027538E" w:rsidRPr="00732EED" w14:paraId="2737A80A"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5BA4D3B" w14:textId="77777777" w:rsidR="0027538E" w:rsidRPr="00732EED" w:rsidRDefault="0027538E" w:rsidP="0027538E">
            <w:pPr>
              <w:rPr>
                <w:sz w:val="18"/>
                <w:szCs w:val="18"/>
              </w:rPr>
            </w:pPr>
            <w:r w:rsidRPr="00732EED">
              <w:rPr>
                <w:sz w:val="18"/>
                <w:szCs w:val="18"/>
              </w:rPr>
              <w:t>32</w:t>
            </w:r>
          </w:p>
        </w:tc>
        <w:tc>
          <w:tcPr>
            <w:tcW w:w="839" w:type="pct"/>
          </w:tcPr>
          <w:p w14:paraId="473190A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Angel et. al,</w:t>
            </w:r>
          </w:p>
          <w:p w14:paraId="5386FD5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2017</w:t>
            </w:r>
          </w:p>
        </w:tc>
        <w:tc>
          <w:tcPr>
            <w:tcW w:w="934" w:type="pct"/>
          </w:tcPr>
          <w:p w14:paraId="7CB1753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Low: The study employs a rigorous </w:t>
            </w:r>
            <w:proofErr w:type="spellStart"/>
            <w:r w:rsidRPr="00732EED">
              <w:rPr>
                <w:sz w:val="18"/>
                <w:szCs w:val="18"/>
              </w:rPr>
              <w:t>Ricoeurian</w:t>
            </w:r>
            <w:proofErr w:type="spellEnd"/>
            <w:r w:rsidRPr="00732EED">
              <w:rPr>
                <w:sz w:val="18"/>
                <w:szCs w:val="18"/>
              </w:rPr>
              <w:t xml:space="preserve"> phenomenological-hermeneutic </w:t>
            </w:r>
            <w:r w:rsidRPr="00732EED">
              <w:rPr>
                <w:sz w:val="18"/>
                <w:szCs w:val="18"/>
              </w:rPr>
              <w:lastRenderedPageBreak/>
              <w:t>approach with clearly defined steps for interpretation (naïve, structural, and critical). It utilizes a purposeful sample of 25 informants from a previous randomized controlled trial, ensuring participants had diverse experiences with the intervention. Rigor was maintained through constant data consultation and collaborative analysis between researchers.</w:t>
            </w:r>
          </w:p>
        </w:tc>
        <w:tc>
          <w:tcPr>
            <w:tcW w:w="888" w:type="pct"/>
          </w:tcPr>
          <w:p w14:paraId="3EEB199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findings are strongly supported by the underlying data, with a clear </w:t>
            </w:r>
            <w:r w:rsidRPr="00732EED">
              <w:rPr>
                <w:sz w:val="18"/>
                <w:szCs w:val="18"/>
              </w:rPr>
              <w:lastRenderedPageBreak/>
              <w:t>and logical link between participant experiences and the identified master narratives. The study provides a detailed table (Table 1) summarizing the situation of all 25 participants and uses extensive direct quotes to illustrate and validate the themes of “getting on with life” versus “being stuck”.</w:t>
            </w:r>
          </w:p>
        </w:tc>
        <w:tc>
          <w:tcPr>
            <w:tcW w:w="958" w:type="pct"/>
          </w:tcPr>
          <w:p w14:paraId="5C42C3C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With 25 informants, the study offers a substantial sample size for qualitative research, </w:t>
            </w:r>
            <w:r w:rsidRPr="00732EED">
              <w:rPr>
                <w:sz w:val="18"/>
                <w:szCs w:val="18"/>
              </w:rPr>
              <w:lastRenderedPageBreak/>
              <w:t>allowing for rich, in-depth accounts of the lived experience. The data is particularly valuable due to its longitudinal nature, capturing perspectives 2-4 years after the initial intervention, which provides significant depth regarding long-term coping and identity shifts.</w:t>
            </w:r>
          </w:p>
        </w:tc>
        <w:tc>
          <w:tcPr>
            <w:tcW w:w="946" w:type="pct"/>
          </w:tcPr>
          <w:p w14:paraId="085E5D8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study is highly applicable to clinical and rehabilitative contexts for </w:t>
            </w:r>
            <w:r w:rsidRPr="00732EED">
              <w:rPr>
                <w:sz w:val="18"/>
                <w:szCs w:val="18"/>
              </w:rPr>
              <w:lastRenderedPageBreak/>
              <w:t>chronic pain management. It directly addresses how patients understand themselves and their future, providing specific insights into the role healthcare professionals play in helping patients configure meaningful recovery narratives.</w:t>
            </w:r>
          </w:p>
        </w:tc>
      </w:tr>
      <w:tr w:rsidR="0027538E" w:rsidRPr="00732EED" w14:paraId="59440D01"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D365BDB" w14:textId="77777777" w:rsidR="0027538E" w:rsidRPr="00732EED" w:rsidRDefault="0027538E" w:rsidP="0027538E">
            <w:pPr>
              <w:rPr>
                <w:sz w:val="18"/>
                <w:szCs w:val="18"/>
              </w:rPr>
            </w:pPr>
            <w:r w:rsidRPr="00732EED">
              <w:rPr>
                <w:sz w:val="18"/>
                <w:szCs w:val="18"/>
              </w:rPr>
              <w:lastRenderedPageBreak/>
              <w:t>33</w:t>
            </w:r>
          </w:p>
        </w:tc>
        <w:tc>
          <w:tcPr>
            <w:tcW w:w="839" w:type="pct"/>
          </w:tcPr>
          <w:p w14:paraId="496E9A5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Hassani et al., 2017</w:t>
            </w:r>
          </w:p>
        </w:tc>
        <w:tc>
          <w:tcPr>
            <w:tcW w:w="934" w:type="pct"/>
          </w:tcPr>
          <w:p w14:paraId="3323641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FC32BC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employed a rigorous descriptive phenomenological approach using Colaizzi’s nine-step method for data analysis. Trustworthiness was established through Lincoln and Guba’s criteria, including member checking (returning to participants for validation), peer debriefing, and the use of a supervisor to independently code data to ensure credibility and dependability.</w:t>
            </w:r>
          </w:p>
        </w:tc>
        <w:tc>
          <w:tcPr>
            <w:tcW w:w="888" w:type="pct"/>
          </w:tcPr>
          <w:p w14:paraId="2D7278C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highly coherent, as the extracted themes and subthemes, such as “patience and trust in God” and “aversion to physical dependence”, are consistently supported by rich, verbatim participant quotations. The authors also logically connect their results to existing literature while explaining how cultural and religious contexts influence the specific meaning of resilience in this population.</w:t>
            </w:r>
          </w:p>
        </w:tc>
        <w:tc>
          <w:tcPr>
            <w:tcW w:w="958" w:type="pct"/>
          </w:tcPr>
          <w:p w14:paraId="1B91740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researchers achieved data saturation after 24 interview sessions with 22 participants. The depth of data is significant, with 767 significant statements and phrases extracted to form the basis of the analysis. The study also provides a detailed demographic breakdown of the participants to ensure transparency.</w:t>
            </w:r>
          </w:p>
        </w:tc>
        <w:tc>
          <w:tcPr>
            <w:tcW w:w="946" w:type="pct"/>
          </w:tcPr>
          <w:p w14:paraId="361D917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762DA1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directly applicable to understanding the experience of resilience in elderly populations with chronic illness</w:t>
            </w:r>
          </w:p>
          <w:p w14:paraId="1655D6B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It specifically targets hospitalized older adults (aged 65+) and explores the personal, external, and contextual factors that facilitate or hinder their ability to adapt to health challenges.</w:t>
            </w:r>
          </w:p>
          <w:p w14:paraId="7619DD1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r>
      <w:tr w:rsidR="0027538E" w:rsidRPr="00732EED" w14:paraId="01B361E7"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22B3C232" w14:textId="77777777" w:rsidR="0027538E" w:rsidRPr="00732EED" w:rsidRDefault="0027538E" w:rsidP="0027538E">
            <w:pPr>
              <w:rPr>
                <w:sz w:val="18"/>
                <w:szCs w:val="18"/>
              </w:rPr>
            </w:pPr>
            <w:r w:rsidRPr="00732EED">
              <w:rPr>
                <w:sz w:val="18"/>
                <w:szCs w:val="18"/>
              </w:rPr>
              <w:t>34</w:t>
            </w:r>
          </w:p>
        </w:tc>
        <w:tc>
          <w:tcPr>
            <w:tcW w:w="839" w:type="pct"/>
          </w:tcPr>
          <w:p w14:paraId="652DC20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Morton et al., 2017</w:t>
            </w:r>
          </w:p>
        </w:tc>
        <w:tc>
          <w:tcPr>
            <w:tcW w:w="934" w:type="pct"/>
          </w:tcPr>
          <w:p w14:paraId="2779FD9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majority of the contributing primary studies (20) met all or most of the NICE checklist criteria for quality. Only three studies were of low quality, and their limitations were unlikely to significantly alter the overall conclusions.</w:t>
            </w:r>
          </w:p>
        </w:tc>
        <w:tc>
          <w:tcPr>
            <w:tcW w:w="888" w:type="pct"/>
          </w:tcPr>
          <w:p w14:paraId="0E0211F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were consistently supported by the underlying data across a range of chronic conditions and digital intervention (DI) designs. Where discrepancies existed, they were generally explained by specific factors like DI design or patient beliefs.</w:t>
            </w:r>
          </w:p>
        </w:tc>
        <w:tc>
          <w:tcPr>
            <w:tcW w:w="958" w:type="pct"/>
          </w:tcPr>
          <w:p w14:paraId="0077626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While the primary findings were supported by rich and varied data across many studies, some specific areas, such as perceptions of medication changes, relied on relatively “thin data” from the contributing papers.</w:t>
            </w:r>
          </w:p>
        </w:tc>
        <w:tc>
          <w:tcPr>
            <w:tcW w:w="946" w:type="pct"/>
          </w:tcPr>
          <w:p w14:paraId="7F07F6E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F9870D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All studies included in the review were highly applicable to the review question, as they focused specifically on adult populations with chronic physical illnesses using digital self-management tools.</w:t>
            </w:r>
          </w:p>
          <w:p w14:paraId="462E850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r>
      <w:tr w:rsidR="0027538E" w:rsidRPr="00732EED" w14:paraId="363C2522"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9BF790A" w14:textId="77777777" w:rsidR="0027538E" w:rsidRPr="00732EED" w:rsidRDefault="0027538E" w:rsidP="0027538E">
            <w:pPr>
              <w:rPr>
                <w:sz w:val="18"/>
                <w:szCs w:val="18"/>
              </w:rPr>
            </w:pPr>
            <w:r w:rsidRPr="00732EED">
              <w:rPr>
                <w:sz w:val="18"/>
                <w:szCs w:val="18"/>
              </w:rPr>
              <w:t>35</w:t>
            </w:r>
          </w:p>
        </w:tc>
        <w:tc>
          <w:tcPr>
            <w:tcW w:w="839" w:type="pct"/>
          </w:tcPr>
          <w:p w14:paraId="21934F3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Palacios-</w:t>
            </w:r>
            <w:proofErr w:type="spellStart"/>
            <w:r w:rsidRPr="00732EED">
              <w:rPr>
                <w:sz w:val="18"/>
                <w:szCs w:val="18"/>
              </w:rPr>
              <w:t>Ceña</w:t>
            </w:r>
            <w:proofErr w:type="spellEnd"/>
            <w:r w:rsidRPr="00732EED">
              <w:rPr>
                <w:sz w:val="18"/>
                <w:szCs w:val="18"/>
              </w:rPr>
              <w:t xml:space="preserve"> et. al, </w:t>
            </w:r>
          </w:p>
          <w:p w14:paraId="2B531F5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2017</w:t>
            </w:r>
          </w:p>
        </w:tc>
        <w:tc>
          <w:tcPr>
            <w:tcW w:w="934" w:type="pct"/>
          </w:tcPr>
          <w:p w14:paraId="2EE61A15" w14:textId="17E0D2F9"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The study utilized a robust qualitative phenomenological design that included bracketing to mitigate researcher bias. It adhered to the Consolidated Criteria for Reporting Qualitative Research (COREQ) and employed triangulation, external auditing, </w:t>
            </w:r>
            <w:r w:rsidRPr="00732EED">
              <w:rPr>
                <w:sz w:val="18"/>
                <w:szCs w:val="18"/>
              </w:rPr>
              <w:lastRenderedPageBreak/>
              <w:t xml:space="preserve">and patient verification to ensure </w:t>
            </w:r>
            <w:r w:rsidR="00E9589B" w:rsidRPr="00732EED">
              <w:rPr>
                <w:sz w:val="18"/>
                <w:szCs w:val="18"/>
              </w:rPr>
              <w:t>rigor</w:t>
            </w:r>
            <w:r w:rsidRPr="00732EED">
              <w:rPr>
                <w:sz w:val="18"/>
                <w:szCs w:val="18"/>
              </w:rPr>
              <w:t>. Minor limitations, such as the exclusion of male participants and conducting some interviews in coffee shops, are transparently acknowledged.</w:t>
            </w:r>
          </w:p>
        </w:tc>
        <w:tc>
          <w:tcPr>
            <w:tcW w:w="888" w:type="pct"/>
          </w:tcPr>
          <w:p w14:paraId="4C836A6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emerging themes are strongly supported by rich, verbatim narratives and patient drawings. The findings are consistently aligned with previous qualitative research regarding the “invisible” nature of migraine and the sense of </w:t>
            </w:r>
            <w:r w:rsidRPr="00732EED">
              <w:rPr>
                <w:sz w:val="18"/>
                <w:szCs w:val="18"/>
              </w:rPr>
              <w:lastRenderedPageBreak/>
              <w:t>helplessness experienced by patients.</w:t>
            </w:r>
          </w:p>
        </w:tc>
        <w:tc>
          <w:tcPr>
            <w:tcW w:w="958" w:type="pct"/>
          </w:tcPr>
          <w:p w14:paraId="6896A66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767B5A5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researchers achieved information redundancy (saturation) with 20 participants. The data set is extensive, comprising 1,951 minutes of recorded interviews, supplemented by researchers’ </w:t>
            </w:r>
            <w:r w:rsidRPr="00732EED">
              <w:rPr>
                <w:sz w:val="18"/>
                <w:szCs w:val="18"/>
              </w:rPr>
              <w:lastRenderedPageBreak/>
              <w:t>field notes and symbolic drawings from the patients.</w:t>
            </w:r>
          </w:p>
        </w:tc>
        <w:tc>
          <w:tcPr>
            <w:tcW w:w="946" w:type="pct"/>
          </w:tcPr>
          <w:p w14:paraId="7546BFE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study is highly applicable to clinical contexts involving chronic migraine (CM), specifically targeting women, who are disproportionately affected by the condition. It provides specific insights into doctor-patient relationships and the </w:t>
            </w:r>
            <w:r w:rsidRPr="00732EED">
              <w:rPr>
                <w:sz w:val="18"/>
                <w:szCs w:val="18"/>
              </w:rPr>
              <w:lastRenderedPageBreak/>
              <w:t>impact of CM on work and family life.</w:t>
            </w:r>
          </w:p>
        </w:tc>
      </w:tr>
      <w:tr w:rsidR="0027538E" w:rsidRPr="00732EED" w14:paraId="6DF67C22"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C694FB6" w14:textId="77777777" w:rsidR="0027538E" w:rsidRPr="00732EED" w:rsidRDefault="0027538E" w:rsidP="0027538E">
            <w:pPr>
              <w:rPr>
                <w:sz w:val="18"/>
                <w:szCs w:val="18"/>
              </w:rPr>
            </w:pPr>
            <w:r w:rsidRPr="00732EED">
              <w:rPr>
                <w:sz w:val="18"/>
                <w:szCs w:val="18"/>
              </w:rPr>
              <w:lastRenderedPageBreak/>
              <w:t>36</w:t>
            </w:r>
          </w:p>
        </w:tc>
        <w:tc>
          <w:tcPr>
            <w:tcW w:w="839" w:type="pct"/>
          </w:tcPr>
          <w:p w14:paraId="2F23C21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Schütze et. al, </w:t>
            </w:r>
          </w:p>
          <w:p w14:paraId="09DA0FC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2017</w:t>
            </w:r>
          </w:p>
        </w:tc>
        <w:tc>
          <w:tcPr>
            <w:tcW w:w="934" w:type="pct"/>
          </w:tcPr>
          <w:p w14:paraId="0D9BFED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48C44C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employed a clear and rigorous design using Interpretative Phenomenological Analysis (IPA), which is appropriate for exploring subjective experiences</w:t>
            </w:r>
          </w:p>
          <w:p w14:paraId="0436D1B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It utilized a purposive sample with strict inclusion criteria, specifically a score of ≥ 30 on the Pain Catastrophizing Scale, to ensure the participants were relevant to the research aims. Validity was further strengthened by following COREQ guidelines and conducting an independent audit of all transcripts and coding by a second author.</w:t>
            </w:r>
          </w:p>
        </w:tc>
        <w:tc>
          <w:tcPr>
            <w:tcW w:w="888" w:type="pct"/>
          </w:tcPr>
          <w:p w14:paraId="46175FD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9C5CF6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strongly supported by the underlying data, with a clear “hermeneutic circle” established between participant quotes and abstracted themes</w:t>
            </w:r>
          </w:p>
          <w:p w14:paraId="04B31AC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There is striking congruence across participants regarding triggers for rumination and the internal conflict between positive and negative metacognitions. Furthermore, the qualitative results align with existing quantitative pain research and established theoretical models like the S-REF model.</w:t>
            </w:r>
          </w:p>
        </w:tc>
        <w:tc>
          <w:tcPr>
            <w:tcW w:w="958" w:type="pct"/>
          </w:tcPr>
          <w:p w14:paraId="66182FFE" w14:textId="250CCDCE"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data is exceptionally rich, providing thick descriptions of the idiographic perspectives of 15 participants, which is considered a “fairly large sample” for the IPA methodology. The study provides detailed verbatim quotes that illustrate nuanced psychological states, such as “</w:t>
            </w:r>
            <w:r w:rsidR="00E9589B" w:rsidRPr="00732EED">
              <w:rPr>
                <w:sz w:val="18"/>
                <w:szCs w:val="18"/>
              </w:rPr>
              <w:t>stinking</w:t>
            </w:r>
            <w:r w:rsidRPr="00732EED">
              <w:rPr>
                <w:sz w:val="18"/>
                <w:szCs w:val="18"/>
              </w:rPr>
              <w:t xml:space="preserve">’ </w:t>
            </w:r>
            <w:r w:rsidR="00E9589B" w:rsidRPr="00732EED">
              <w:rPr>
                <w:sz w:val="18"/>
                <w:szCs w:val="18"/>
              </w:rPr>
              <w:t>thinking</w:t>
            </w:r>
            <w:r w:rsidRPr="00732EED">
              <w:rPr>
                <w:sz w:val="18"/>
                <w:szCs w:val="18"/>
              </w:rPr>
              <w:t>’” and the “misery-go-round,” ensuring the data’s quality and depth.</w:t>
            </w:r>
          </w:p>
        </w:tc>
        <w:tc>
          <w:tcPr>
            <w:tcW w:w="946" w:type="pct"/>
          </w:tcPr>
          <w:p w14:paraId="48F6175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3EA25F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is highly applicable to the context of chronic pain management, as it specifically targets a clinical population (Chronic Low Back Pain) with high levels of a known poor-outcome predictor (Pain Catastrophizing)</w:t>
            </w:r>
          </w:p>
          <w:p w14:paraId="68BE776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The findings provide direct, actionable insights for the development of Metacognitive Therapy (MCT) and other “third wave” psychological interventions.</w:t>
            </w:r>
          </w:p>
        </w:tc>
      </w:tr>
      <w:tr w:rsidR="0027538E" w:rsidRPr="00732EED" w14:paraId="6CE468E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24051186" w14:textId="77777777" w:rsidR="0027538E" w:rsidRPr="00732EED" w:rsidRDefault="0027538E" w:rsidP="0027538E">
            <w:pPr>
              <w:rPr>
                <w:sz w:val="18"/>
                <w:szCs w:val="18"/>
              </w:rPr>
            </w:pPr>
            <w:r w:rsidRPr="00732EED">
              <w:rPr>
                <w:sz w:val="18"/>
                <w:szCs w:val="18"/>
              </w:rPr>
              <w:t>37</w:t>
            </w:r>
          </w:p>
        </w:tc>
        <w:tc>
          <w:tcPr>
            <w:tcW w:w="839" w:type="pct"/>
          </w:tcPr>
          <w:p w14:paraId="717E0E2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Toye et al., 2017</w:t>
            </w:r>
          </w:p>
        </w:tc>
        <w:tc>
          <w:tcPr>
            <w:tcW w:w="934" w:type="pct"/>
          </w:tcPr>
          <w:p w14:paraId="0BF2E60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06EB8C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employed a rigorous and transparent methodology based on established meta-ethnography frameworks. The authors used a systematic search strategy with clear inclusion/exclusion criteria and utilized multiple reviewers to challenge and resolve interpretations, ensuring findings remained grounded in the data. While they acknowledge the lack of consensus on quality appraisal for primary qualitative studies, they prioritized conceptual insight over purely methodological reporting.</w:t>
            </w:r>
          </w:p>
        </w:tc>
        <w:tc>
          <w:tcPr>
            <w:tcW w:w="888" w:type="pct"/>
          </w:tcPr>
          <w:p w14:paraId="32B2E91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demonstrate strong consistency across the included syntheses. Major conceptual categories, such as “My life is impoverished and confined” and “Deciding to end the quest for the grail,” were consistently supported by 7 out of the 11 included Qualitative Evidence Syntheses (QES). The final “Line of Argument” synthesizes these categories into a logical and cohesive narrative.</w:t>
            </w:r>
          </w:p>
        </w:tc>
        <w:tc>
          <w:tcPr>
            <w:tcW w:w="958" w:type="pct"/>
          </w:tcPr>
          <w:p w14:paraId="14A5899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“mega-ethnography” is supported by an exceptionally large and rich dataset. It synthesizes 11 QES, which collectively represent 155 unique primary qualitative studies (reported across 187 papers) and encompass the experiences of more than 5,000 participants (n = 5236).</w:t>
            </w:r>
          </w:p>
        </w:tc>
        <w:tc>
          <w:tcPr>
            <w:tcW w:w="946" w:type="pct"/>
          </w:tcPr>
          <w:p w14:paraId="2D9CA14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studies included were highly specific to the review question. The authors explicitly screened and excluded studies that did not focus on patients' experiences, non-malignant pain, or chronic conditions to ensure that the final synthesis directly addressed the core phenomenon of interest.</w:t>
            </w:r>
          </w:p>
        </w:tc>
      </w:tr>
      <w:tr w:rsidR="0027538E" w:rsidRPr="00732EED" w14:paraId="1EDB1242"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1198BC39" w14:textId="77777777" w:rsidR="0027538E" w:rsidRPr="00732EED" w:rsidRDefault="0027538E" w:rsidP="0027538E">
            <w:pPr>
              <w:rPr>
                <w:sz w:val="18"/>
                <w:szCs w:val="18"/>
              </w:rPr>
            </w:pPr>
            <w:r w:rsidRPr="00732EED">
              <w:rPr>
                <w:sz w:val="18"/>
                <w:szCs w:val="18"/>
              </w:rPr>
              <w:lastRenderedPageBreak/>
              <w:t>38</w:t>
            </w:r>
          </w:p>
        </w:tc>
        <w:tc>
          <w:tcPr>
            <w:tcW w:w="839" w:type="pct"/>
          </w:tcPr>
          <w:p w14:paraId="2B799A3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Twiddy et. al,</w:t>
            </w:r>
          </w:p>
          <w:p w14:paraId="731E231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2017</w:t>
            </w:r>
          </w:p>
        </w:tc>
        <w:tc>
          <w:tcPr>
            <w:tcW w:w="934" w:type="pct"/>
          </w:tcPr>
          <w:p w14:paraId="6634436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The study employed a clear descriptive qualitative design with purposive sampling and researcher triangulation (including an external researcher) to enhance </w:t>
            </w:r>
            <w:proofErr w:type="spellStart"/>
            <w:r w:rsidRPr="00732EED">
              <w:rPr>
                <w:sz w:val="18"/>
                <w:szCs w:val="18"/>
              </w:rPr>
              <w:t>rigour</w:t>
            </w:r>
            <w:proofErr w:type="spellEnd"/>
            <w:r w:rsidRPr="00732EED">
              <w:rPr>
                <w:sz w:val="18"/>
                <w:szCs w:val="18"/>
              </w:rPr>
              <w:t>. However, it is limited by a small sample size (18 participants) recruited only from a tertiary level pain team, which the authors admit may not reflect the experiences of young adults managed in primary care.</w:t>
            </w:r>
          </w:p>
        </w:tc>
        <w:tc>
          <w:tcPr>
            <w:tcW w:w="888" w:type="pct"/>
          </w:tcPr>
          <w:p w14:paraId="7E09B1F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4FDF0E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consistently supported by the underlying data, with four clear themes (thwarted opportunities, peer separation, illness validity, and dependency) illustrated through direct participant quotes. The researchers also used a systematic phase where subsequent focus groups verified data from previous ones to ensure consistency.</w:t>
            </w:r>
          </w:p>
        </w:tc>
        <w:tc>
          <w:tcPr>
            <w:tcW w:w="958" w:type="pct"/>
          </w:tcPr>
          <w:p w14:paraId="2D0FBE8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500D67D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collected rich and meaningful data through focus groups, and the researchers reported reaching theoretical saturation. Nevertheless, the data comes from only 18 participants in four groups, which is a relatively small volume for broad generalizations.</w:t>
            </w:r>
          </w:p>
        </w:tc>
        <w:tc>
          <w:tcPr>
            <w:tcW w:w="946" w:type="pct"/>
          </w:tcPr>
          <w:p w14:paraId="2D553CF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A10500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directly applicable to the specific context of understanding the developmental and service needs of emerging adults (18-30 years) with chronic pain. The study specifically targets a gap in qualitative research for this unique population within the UK's National Health Service (NHS).</w:t>
            </w:r>
          </w:p>
        </w:tc>
      </w:tr>
      <w:tr w:rsidR="0027538E" w:rsidRPr="00732EED" w14:paraId="4F337FB1"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5582F2A" w14:textId="77777777" w:rsidR="0027538E" w:rsidRPr="00732EED" w:rsidRDefault="0027538E" w:rsidP="0027538E">
            <w:pPr>
              <w:rPr>
                <w:sz w:val="18"/>
                <w:szCs w:val="18"/>
              </w:rPr>
            </w:pPr>
            <w:r w:rsidRPr="00732EED">
              <w:rPr>
                <w:sz w:val="18"/>
                <w:szCs w:val="18"/>
              </w:rPr>
              <w:t>39</w:t>
            </w:r>
          </w:p>
        </w:tc>
        <w:tc>
          <w:tcPr>
            <w:tcW w:w="839" w:type="pct"/>
          </w:tcPr>
          <w:p w14:paraId="3316392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Cooper et al., </w:t>
            </w:r>
          </w:p>
          <w:p w14:paraId="769B26F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2018</w:t>
            </w:r>
          </w:p>
        </w:tc>
        <w:tc>
          <w:tcPr>
            <w:tcW w:w="934" w:type="pct"/>
          </w:tcPr>
          <w:p w14:paraId="3931D7F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8373F0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employed a clear and appropriate qualitative design (Interpretative Phenomenological Analysis) framed by the Transtheoretical Model</w:t>
            </w:r>
          </w:p>
          <w:p w14:paraId="0A78D12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Rigor was maintained through verbatim transcription, reflexive field notes, independent coding by a second reviewer, and member checks with participants</w:t>
            </w:r>
          </w:p>
          <w:p w14:paraId="57FC52B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The authors also transparently acknowledged limitations regarding sample demographics.</w:t>
            </w:r>
          </w:p>
        </w:tc>
        <w:tc>
          <w:tcPr>
            <w:tcW w:w="888" w:type="pct"/>
          </w:tcPr>
          <w:p w14:paraId="05FEA50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three superordinate themes are well-supported by extensive verbatim extracts from participants, ensuring the findings are grounded in the raw data. Furthermore, the findings regarding the “vicious cycle” of weight and pain and fear-avoidance are consistent with existing theoretical models and previous quantitative research.</w:t>
            </w:r>
          </w:p>
        </w:tc>
        <w:tc>
          <w:tcPr>
            <w:tcW w:w="958" w:type="pct"/>
          </w:tcPr>
          <w:p w14:paraId="150ECAC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While the sample of 18 participants is robust for an IPA study and data saturation was reportedly reached, the typical interview length of 25 minutes is relatively brief for “in-depth” qualitative research. This may slightly limit the richness of the data compared to longer, more exhaustive interviews.</w:t>
            </w:r>
          </w:p>
        </w:tc>
        <w:tc>
          <w:tcPr>
            <w:tcW w:w="946" w:type="pct"/>
          </w:tcPr>
          <w:p w14:paraId="7384F83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applicable to the specific context of the review question, as it focuses exclusively on the lived experiences and perceptions of adults with both overweight/obesity and chronic musculoskeletal pain. The findings offer specific, actionable insights for healthcare professionals in clinical practice.</w:t>
            </w:r>
          </w:p>
        </w:tc>
      </w:tr>
      <w:tr w:rsidR="0027538E" w:rsidRPr="00732EED" w14:paraId="397B98FB"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05B6932E" w14:textId="77777777" w:rsidR="0027538E" w:rsidRPr="00732EED" w:rsidRDefault="0027538E" w:rsidP="0027538E">
            <w:pPr>
              <w:rPr>
                <w:sz w:val="18"/>
                <w:szCs w:val="18"/>
              </w:rPr>
            </w:pPr>
            <w:r w:rsidRPr="00732EED">
              <w:rPr>
                <w:sz w:val="18"/>
                <w:szCs w:val="18"/>
              </w:rPr>
              <w:t>40</w:t>
            </w:r>
          </w:p>
        </w:tc>
        <w:tc>
          <w:tcPr>
            <w:tcW w:w="839" w:type="pct"/>
          </w:tcPr>
          <w:p w14:paraId="4838F21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Gutke et al., </w:t>
            </w:r>
          </w:p>
          <w:p w14:paraId="4BAB9CB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2018</w:t>
            </w:r>
          </w:p>
        </w:tc>
        <w:tc>
          <w:tcPr>
            <w:tcW w:w="934" w:type="pct"/>
          </w:tcPr>
          <w:p w14:paraId="11A8F6B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employed the rigorous Empirical Phenomenological Psychological (EPP) method, which involves systematic steps like phenomenological reduction to minimize researcher bias. To further ensure objectivity, the researchers used independent interviewers with no prior relationship to the participants or clinical experience in the field. Participants were also selected using well-defined clinical diagnostic criteria.</w:t>
            </w:r>
          </w:p>
        </w:tc>
        <w:tc>
          <w:tcPr>
            <w:tcW w:w="888" w:type="pct"/>
          </w:tcPr>
          <w:p w14:paraId="1A0CE40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strongly supported by the underlying data, with the researchers identifying clear constituents and typologies (Ongoing Struggle vs. Adaptation and Acceptance) that directly reflect the participants' narratives. The findings are also consistent with previous qualitative research that identified similar struggles in women with postpartum pelvic girdle pain.</w:t>
            </w:r>
          </w:p>
        </w:tc>
        <w:tc>
          <w:tcPr>
            <w:tcW w:w="958" w:type="pct"/>
          </w:tcPr>
          <w:p w14:paraId="7B95BB4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While the sample size is small (9 participants), which is typical for idiographic qualitative research, the data is exceptionally rich. Interviews lasted up to 120 minutes, and the participants provided a unique long-term perspective, reflecting on experiences spanning 2 to 13 years of living with the condition.</w:t>
            </w:r>
          </w:p>
        </w:tc>
        <w:tc>
          <w:tcPr>
            <w:tcW w:w="946" w:type="pct"/>
          </w:tcPr>
          <w:p w14:paraId="3A3FB7D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The study is highly applicable to the specific context of understanding the existential and long-term impact of chronic pregnancy-related pelvic girdle pain. It addresses a noted gap in literature by focusing on women many years after delivery, rather than just the immediate postpartum period. </w:t>
            </w:r>
          </w:p>
        </w:tc>
      </w:tr>
      <w:tr w:rsidR="0027538E" w:rsidRPr="00732EED" w14:paraId="466B144D"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5A896AC" w14:textId="77777777" w:rsidR="0027538E" w:rsidRPr="00732EED" w:rsidRDefault="0027538E" w:rsidP="0027538E">
            <w:pPr>
              <w:rPr>
                <w:sz w:val="18"/>
                <w:szCs w:val="18"/>
              </w:rPr>
            </w:pPr>
            <w:r w:rsidRPr="00732EED">
              <w:rPr>
                <w:sz w:val="18"/>
                <w:szCs w:val="18"/>
              </w:rPr>
              <w:lastRenderedPageBreak/>
              <w:t>41</w:t>
            </w:r>
          </w:p>
        </w:tc>
        <w:tc>
          <w:tcPr>
            <w:tcW w:w="839" w:type="pct"/>
          </w:tcPr>
          <w:p w14:paraId="3FA914E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Hearn et. al, </w:t>
            </w:r>
          </w:p>
          <w:p w14:paraId="5492F81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2018</w:t>
            </w:r>
          </w:p>
        </w:tc>
        <w:tc>
          <w:tcPr>
            <w:tcW w:w="934" w:type="pct"/>
          </w:tcPr>
          <w:p w14:paraId="254584D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employs Interpretative Phenomenological Analysis (IPA), a recognized qualitative method, and uses independent auditors to ensure the themes are grounded in the data. However, the authors acknowledge a small (n=8), self-selecting sample that was primarily over age 60, which may not represent the broader, more diverse spinal cord injury (SCI) population.</w:t>
            </w:r>
          </w:p>
        </w:tc>
        <w:tc>
          <w:tcPr>
            <w:tcW w:w="888" w:type="pct"/>
          </w:tcPr>
          <w:p w14:paraId="770531A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D4F74F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demonstrate strong internal coherence; the three super-ordinate themes are directly and transparently supported by rich verbatim quotes from the participants</w:t>
            </w:r>
          </w:p>
          <w:p w14:paraId="0C470DB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 The analysis follows a systematic approach to ensure themes remain grounded in the data throughout the process. </w:t>
            </w:r>
          </w:p>
        </w:tc>
        <w:tc>
          <w:tcPr>
            <w:tcW w:w="958" w:type="pct"/>
          </w:tcPr>
          <w:p w14:paraId="1CE5BAC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While a sample size of eight is considered methodologically appropriate for the idiographic depth required by IPA, the data is drawn from a single specialist center. The interviews were detailed (40-60 minutes), providing “thick” description, but the quantity of data is limited by the small cohort size.</w:t>
            </w:r>
          </w:p>
        </w:tc>
        <w:tc>
          <w:tcPr>
            <w:tcW w:w="946" w:type="pct"/>
          </w:tcPr>
          <w:p w14:paraId="343A94C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specific to the context of neuropathic pain (NP) within a rehabilitation setting for those with SCI. It directly addresses the “critical time window” of early rehabilitation, making it extremely applicable to understanding inpatient experiences and adjustment.</w:t>
            </w:r>
          </w:p>
        </w:tc>
      </w:tr>
      <w:tr w:rsidR="0027538E" w:rsidRPr="00732EED" w14:paraId="29189B1B"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14F69EAC" w14:textId="77777777" w:rsidR="0027538E" w:rsidRPr="00732EED" w:rsidRDefault="0027538E" w:rsidP="0027538E">
            <w:pPr>
              <w:rPr>
                <w:sz w:val="18"/>
                <w:szCs w:val="18"/>
              </w:rPr>
            </w:pPr>
            <w:r w:rsidRPr="00732EED">
              <w:rPr>
                <w:sz w:val="18"/>
                <w:szCs w:val="18"/>
              </w:rPr>
              <w:t>42</w:t>
            </w:r>
          </w:p>
        </w:tc>
        <w:tc>
          <w:tcPr>
            <w:tcW w:w="839" w:type="pct"/>
          </w:tcPr>
          <w:p w14:paraId="5431F80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Leder, 2018</w:t>
            </w:r>
          </w:p>
        </w:tc>
        <w:tc>
          <w:tcPr>
            <w:tcW w:w="934" w:type="pct"/>
          </w:tcPr>
          <w:p w14:paraId="1C04688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702AC9E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paper utilizes a phenomenological approach, which is inherently subjective and exploratory rather than quantitative</w:t>
            </w:r>
          </w:p>
          <w:p w14:paraId="34915C7E" w14:textId="712C74A4"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While it is externally peer-reviewed and written by an expert with both medical (MD) and philosophical (PhD) credentials, it relies on personal anecdotes, biographical notes, and selected literary </w:t>
            </w:r>
            <w:r w:rsidR="00E9589B" w:rsidRPr="00732EED">
              <w:rPr>
                <w:sz w:val="18"/>
                <w:szCs w:val="18"/>
              </w:rPr>
              <w:t>pathography</w:t>
            </w:r>
            <w:r w:rsidRPr="00732EED">
              <w:rPr>
                <w:sz w:val="18"/>
                <w:szCs w:val="18"/>
              </w:rPr>
              <w:t xml:space="preserve"> rather than a standardized, blinded, or controlled study design.</w:t>
            </w:r>
          </w:p>
        </w:tc>
        <w:tc>
          <w:tcPr>
            <w:tcW w:w="888" w:type="pct"/>
          </w:tcPr>
          <w:p w14:paraId="47962E0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strongly supported by the underlying data. The author systematically maps four specific experiential commonalities, constriction of space, disruption of time, isolation, and disempowerment, across both populations. The parallels drawn between the “internal” prison of the body and the “external” prison of the state are logically consistent and reinforced by direct quotes from both groups.</w:t>
            </w:r>
          </w:p>
        </w:tc>
        <w:tc>
          <w:tcPr>
            <w:tcW w:w="958" w:type="pct"/>
          </w:tcPr>
          <w:p w14:paraId="6771B895" w14:textId="4608BB93"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data is highly rich in quality, drawing from “</w:t>
            </w:r>
            <w:r w:rsidR="00E9589B" w:rsidRPr="00732EED">
              <w:rPr>
                <w:sz w:val="18"/>
                <w:szCs w:val="18"/>
              </w:rPr>
              <w:t>pathography’s</w:t>
            </w:r>
            <w:r w:rsidRPr="00732EED">
              <w:rPr>
                <w:sz w:val="18"/>
                <w:szCs w:val="18"/>
              </w:rPr>
              <w:t>” (first-person illness narratives) and transcripts of philosophical discussions with maximum-security prisoners collected over decades. However, the quantity is limited to a small selection of specific voices (e.g., three academics and a few named inmates), which may not represent the full diversity of these populations.</w:t>
            </w:r>
          </w:p>
        </w:tc>
        <w:tc>
          <w:tcPr>
            <w:tcW w:w="946" w:type="pct"/>
          </w:tcPr>
          <w:p w14:paraId="10C322B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paper is directly applicable to its specific context. It explicitly seeks to bridge the gap between those suffering from chronic pain/illness and those in long-term incarceration. The strategies for coping (adaptability, mental freedom, etc.) are derived directly from the “personal authority” of individuals living in these exact circumstances.</w:t>
            </w:r>
          </w:p>
        </w:tc>
      </w:tr>
      <w:tr w:rsidR="0027538E" w:rsidRPr="00732EED" w14:paraId="2C4B77C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30032A9C" w14:textId="77777777" w:rsidR="0027538E" w:rsidRPr="00732EED" w:rsidRDefault="0027538E" w:rsidP="0027538E">
            <w:pPr>
              <w:rPr>
                <w:sz w:val="18"/>
                <w:szCs w:val="18"/>
              </w:rPr>
            </w:pPr>
            <w:r w:rsidRPr="00732EED">
              <w:rPr>
                <w:sz w:val="18"/>
                <w:szCs w:val="18"/>
              </w:rPr>
              <w:t>43</w:t>
            </w:r>
          </w:p>
        </w:tc>
        <w:tc>
          <w:tcPr>
            <w:tcW w:w="839" w:type="pct"/>
          </w:tcPr>
          <w:p w14:paraId="0486674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Lee et al, 2018</w:t>
            </w:r>
          </w:p>
        </w:tc>
        <w:tc>
          <w:tcPr>
            <w:tcW w:w="934" w:type="pct"/>
          </w:tcPr>
          <w:p w14:paraId="333603DD" w14:textId="4E813C9C" w:rsidR="0027538E" w:rsidRPr="00732EED" w:rsidRDefault="0064717D" w:rsidP="0064717D">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small purposive sample (n=8) and potential researcher influence (interviewer was an experienced physiotherapist) though IPA appropriate; limited generalizability (Methods, pp.3–4). </w:t>
            </w:r>
            <w:r w:rsidR="0027538E" w:rsidRPr="00732EED">
              <w:rPr>
                <w:sz w:val="18"/>
                <w:szCs w:val="18"/>
              </w:rPr>
              <w:t>Interpretative Phenomenological Analysis (IPA)</w:t>
            </w:r>
            <w:r w:rsidRPr="00732EED">
              <w:rPr>
                <w:sz w:val="18"/>
                <w:szCs w:val="18"/>
              </w:rPr>
              <w:t>.</w:t>
            </w:r>
          </w:p>
        </w:tc>
        <w:tc>
          <w:tcPr>
            <w:tcW w:w="888" w:type="pct"/>
          </w:tcPr>
          <w:p w14:paraId="3A3EF7AC" w14:textId="63916D13" w:rsidR="0027538E" w:rsidRPr="00732EED" w:rsidRDefault="0064717D" w:rsidP="0064717D">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clear analytic process (line-by-line IPA, NVivo, team review, patient advisory and clinician triangulation) and well-linked themes (Analysis/Results, pp.4–6). </w:t>
            </w:r>
            <w:r w:rsidR="0027538E" w:rsidRPr="00732EED">
              <w:rPr>
                <w:sz w:val="18"/>
                <w:szCs w:val="18"/>
              </w:rPr>
              <w:t>Experiences of 8 patients diagnosed with COPD experiencing moderate to severe COPD pain</w:t>
            </w:r>
            <w:r w:rsidRPr="00732EED">
              <w:rPr>
                <w:sz w:val="18"/>
                <w:szCs w:val="18"/>
              </w:rPr>
              <w:t>.</w:t>
            </w:r>
          </w:p>
        </w:tc>
        <w:tc>
          <w:tcPr>
            <w:tcW w:w="958" w:type="pct"/>
          </w:tcPr>
          <w:p w14:paraId="1CB058C7" w14:textId="2FB0E059" w:rsidR="0027538E" w:rsidRPr="00732EED" w:rsidRDefault="0064717D"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rich, in-depth interviews (40–90 min) produce detailed accounts, but sample size and limited diversity constrain breadth (Table 2, pp.4–5).</w:t>
            </w:r>
          </w:p>
        </w:tc>
        <w:tc>
          <w:tcPr>
            <w:tcW w:w="946" w:type="pct"/>
          </w:tcPr>
          <w:p w14:paraId="344A9539" w14:textId="38B31376" w:rsidR="0027538E" w:rsidRPr="00732EED" w:rsidRDefault="0064717D"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addresses an understudied, clinically important issue (pain in COPD), with clear implications for pulmonary rehabilitation and psychosocial management (Introduction/Discussion, pp.2,7).</w:t>
            </w:r>
            <w:r w:rsidRPr="00732EED">
              <w:rPr>
                <w:rFonts w:ascii="Segoe UI" w:hAnsi="Segoe UI" w:cs="Segoe UI"/>
                <w:color w:val="09090B"/>
                <w:sz w:val="18"/>
                <w:szCs w:val="18"/>
                <w:shd w:val="clear" w:color="auto" w:fill="FFFFFF"/>
              </w:rPr>
              <w:t xml:space="preserve"> </w:t>
            </w:r>
            <w:r w:rsidR="0027538E" w:rsidRPr="00732EED">
              <w:rPr>
                <w:sz w:val="18"/>
                <w:szCs w:val="18"/>
              </w:rPr>
              <w:t>Semi-structured interviews with thematic synthesis</w:t>
            </w:r>
            <w:r w:rsidRPr="00732EED">
              <w:rPr>
                <w:sz w:val="18"/>
                <w:szCs w:val="18"/>
              </w:rPr>
              <w:t>. consistent and plausible findings supported by strong analytic procedures, but confidence tempered by small sample size and limited generalizability.</w:t>
            </w:r>
          </w:p>
        </w:tc>
      </w:tr>
      <w:tr w:rsidR="0027538E" w:rsidRPr="00732EED" w14:paraId="63395D9A"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663E3553" w14:textId="77777777" w:rsidR="0027538E" w:rsidRPr="00732EED" w:rsidRDefault="0027538E" w:rsidP="0027538E">
            <w:pPr>
              <w:rPr>
                <w:sz w:val="18"/>
                <w:szCs w:val="18"/>
              </w:rPr>
            </w:pPr>
            <w:r w:rsidRPr="00732EED">
              <w:rPr>
                <w:sz w:val="18"/>
                <w:szCs w:val="18"/>
              </w:rPr>
              <w:t>44</w:t>
            </w:r>
          </w:p>
        </w:tc>
        <w:tc>
          <w:tcPr>
            <w:tcW w:w="839" w:type="pct"/>
          </w:tcPr>
          <w:p w14:paraId="7B90A7E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Hazaveh</w:t>
            </w:r>
            <w:proofErr w:type="spellEnd"/>
            <w:r w:rsidRPr="00732EED">
              <w:rPr>
                <w:sz w:val="18"/>
                <w:szCs w:val="18"/>
              </w:rPr>
              <w:t xml:space="preserve"> and Hovey, </w:t>
            </w:r>
          </w:p>
          <w:p w14:paraId="7786920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2018</w:t>
            </w:r>
          </w:p>
        </w:tc>
        <w:tc>
          <w:tcPr>
            <w:tcW w:w="934" w:type="pct"/>
          </w:tcPr>
          <w:p w14:paraId="009CDE1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1D0150E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The study utilized a rigorous interpretive phenomenological approach with verbatim transcription and dual-author analysis to ensure credibility. However, the authors acknowledge limitations including a very small sample size (n=6), recruitment from only two local sites in Montreal, and a significant gender imbalance (5 women, 1 man), which limits the breadth of the findings.</w:t>
            </w:r>
          </w:p>
        </w:tc>
        <w:tc>
          <w:tcPr>
            <w:tcW w:w="888" w:type="pct"/>
          </w:tcPr>
          <w:p w14:paraId="5689965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775A816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The findings are highly coherent, with a clear and logical link between the raw interview data (direct quotes) and the identified themes of loss, disbelief, and healthcare dissatisfaction</w:t>
            </w:r>
          </w:p>
          <w:p w14:paraId="6624430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Furthermore, the authors demonstrate that their findings are consistent with existing qualitative literature on chronic pain and identity.</w:t>
            </w:r>
          </w:p>
        </w:tc>
        <w:tc>
          <w:tcPr>
            <w:tcW w:w="958" w:type="pct"/>
          </w:tcPr>
          <w:p w14:paraId="182D781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Moderate: While the number of participants is low, the depth of </w:t>
            </w:r>
            <w:r w:rsidRPr="00732EED">
              <w:rPr>
                <w:sz w:val="18"/>
                <w:szCs w:val="18"/>
              </w:rPr>
              <w:lastRenderedPageBreak/>
              <w:t>data is significant, with individual interviews lasting between 60 to 120 minutes. The researchers noted they reached a point where “no further information was necessary,” suggesting thematic saturation for this specific group. However, the small participant pool inherently limits the richness compared to larger qualitative studies.</w:t>
            </w:r>
          </w:p>
        </w:tc>
        <w:tc>
          <w:tcPr>
            <w:tcW w:w="946" w:type="pct"/>
          </w:tcPr>
          <w:p w14:paraId="23648B1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study is directly applicable to the clinical </w:t>
            </w:r>
            <w:r w:rsidRPr="00732EED">
              <w:rPr>
                <w:sz w:val="18"/>
                <w:szCs w:val="18"/>
              </w:rPr>
              <w:lastRenderedPageBreak/>
              <w:t>understanding of chronic orofacial pain. It specifically addresses a gap in the literature by moving beyond biomedical measurements (like 0-10 scales) to explore the subjective psychosocial impact on patients, which is highly relevant for healthcare providers.</w:t>
            </w:r>
          </w:p>
        </w:tc>
      </w:tr>
      <w:tr w:rsidR="0027538E" w:rsidRPr="00732EED" w14:paraId="2B926995"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2AC8D223" w14:textId="77777777" w:rsidR="0027538E" w:rsidRPr="00732EED" w:rsidRDefault="0027538E" w:rsidP="0027538E">
            <w:pPr>
              <w:rPr>
                <w:sz w:val="18"/>
                <w:szCs w:val="18"/>
              </w:rPr>
            </w:pPr>
            <w:r w:rsidRPr="00732EED">
              <w:rPr>
                <w:sz w:val="18"/>
                <w:szCs w:val="18"/>
              </w:rPr>
              <w:lastRenderedPageBreak/>
              <w:t>45</w:t>
            </w:r>
          </w:p>
        </w:tc>
        <w:tc>
          <w:tcPr>
            <w:tcW w:w="839" w:type="pct"/>
          </w:tcPr>
          <w:p w14:paraId="75323F7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McGeechan et al.,</w:t>
            </w:r>
          </w:p>
          <w:p w14:paraId="23BA6FC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2018</w:t>
            </w:r>
          </w:p>
        </w:tc>
        <w:tc>
          <w:tcPr>
            <w:tcW w:w="934" w:type="pct"/>
          </w:tcPr>
          <w:p w14:paraId="425F2FB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utilizes a longitudinal design and follows established quality principles (Yardley, 2000) for qualitative research. However, it relies on a very small convenience sample (n=6), and the authors acknowledge limitations such as an unknown recruitment rate and the use of gatekeepers who may have introduced bias.</w:t>
            </w:r>
          </w:p>
        </w:tc>
        <w:tc>
          <w:tcPr>
            <w:tcW w:w="888" w:type="pct"/>
          </w:tcPr>
          <w:p w14:paraId="58B5393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b/>
            </w:r>
          </w:p>
          <w:p w14:paraId="3B6101B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clearly supported by the underlying data, with verbatim quotes directly illustrating the identified themes</w:t>
            </w:r>
          </w:p>
          <w:p w14:paraId="138BCAA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The results are consistent with existing theories like biographical disruption while extending the specific concept of “future disorientation” to a new population.</w:t>
            </w:r>
          </w:p>
        </w:tc>
        <w:tc>
          <w:tcPr>
            <w:tcW w:w="958" w:type="pct"/>
          </w:tcPr>
          <w:p w14:paraId="74EA6E9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While the longitudinal approach (two interviews over six months) provides richness and depth, the total volume of data is limited by the small participant pool and the loss of one participant at follow-up. Additionally, interview lengths varied significantly (18 to 120 minutes), which may impact the consistency of data depth.</w:t>
            </w:r>
          </w:p>
        </w:tc>
        <w:tc>
          <w:tcPr>
            <w:tcW w:w="946" w:type="pct"/>
          </w:tcPr>
          <w:p w14:paraId="60A07AD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795F6C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directly applicable to understanding the psychosocial and physical consequences of living with cancer as a chronic illness</w:t>
            </w:r>
          </w:p>
          <w:p w14:paraId="1F2A0F1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It specifically addresses a research gap by including male perspectives and exploring how these experiences evolve over time.</w:t>
            </w:r>
          </w:p>
        </w:tc>
      </w:tr>
      <w:tr w:rsidR="0027538E" w:rsidRPr="00732EED" w14:paraId="31291B11"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2AE94CC0" w14:textId="77777777" w:rsidR="0027538E" w:rsidRPr="00732EED" w:rsidRDefault="0027538E" w:rsidP="0027538E">
            <w:pPr>
              <w:rPr>
                <w:sz w:val="18"/>
                <w:szCs w:val="18"/>
              </w:rPr>
            </w:pPr>
            <w:r w:rsidRPr="00732EED">
              <w:rPr>
                <w:sz w:val="18"/>
                <w:szCs w:val="18"/>
              </w:rPr>
              <w:t>46</w:t>
            </w:r>
          </w:p>
        </w:tc>
        <w:tc>
          <w:tcPr>
            <w:tcW w:w="839" w:type="pct"/>
          </w:tcPr>
          <w:p w14:paraId="5332308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Mengshoel</w:t>
            </w:r>
            <w:proofErr w:type="spellEnd"/>
            <w:r w:rsidRPr="00732EED">
              <w:rPr>
                <w:sz w:val="18"/>
                <w:szCs w:val="18"/>
              </w:rPr>
              <w:t xml:space="preserve"> et al., 2018</w:t>
            </w:r>
          </w:p>
        </w:tc>
        <w:tc>
          <w:tcPr>
            <w:tcW w:w="934" w:type="pct"/>
          </w:tcPr>
          <w:p w14:paraId="477B74A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authors utilized a systematic search and the QUARI appraisal tool to evaluate primary studies. However, they noted that many primary studies lacked information on reflexivity and the researchers' philosophical or theoretical perspectives.</w:t>
            </w:r>
          </w:p>
        </w:tc>
        <w:tc>
          <w:tcPr>
            <w:tcW w:w="888" w:type="pct"/>
          </w:tcPr>
          <w:p w14:paraId="6637999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synthesized findings regarding validation and legitimation were consistent across the 28 reports. The authors maintained a clear analytical connection between the primary study extracts and the overarching concepts identified.</w:t>
            </w:r>
          </w:p>
          <w:p w14:paraId="7E0CFF8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c>
          <w:tcPr>
            <w:tcW w:w="958" w:type="pct"/>
          </w:tcPr>
          <w:p w14:paraId="53B4335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paper draws on a rich and large dataset comprising 28 reports and 475 informants from diverse geographic locations, including Europe, North America, Asia, and Africa. The data covers a wide range of ages (16-80) and time since diagnosis.</w:t>
            </w:r>
          </w:p>
        </w:tc>
        <w:tc>
          <w:tcPr>
            <w:tcW w:w="946" w:type="pct"/>
          </w:tcPr>
          <w:p w14:paraId="432355B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selection was highly specific to the review question, as researchers screened 93 papers to identify the 28 that explicitly included detailed information on patients' diagnostic experiences with fibromyalgia.</w:t>
            </w:r>
          </w:p>
          <w:p w14:paraId="3D9C530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r>
      <w:tr w:rsidR="0027538E" w:rsidRPr="00732EED" w14:paraId="03A01F8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1001C84" w14:textId="77777777" w:rsidR="0027538E" w:rsidRPr="00732EED" w:rsidRDefault="0027538E" w:rsidP="0027538E">
            <w:pPr>
              <w:rPr>
                <w:sz w:val="18"/>
                <w:szCs w:val="18"/>
              </w:rPr>
            </w:pPr>
            <w:r w:rsidRPr="00732EED">
              <w:rPr>
                <w:sz w:val="18"/>
                <w:szCs w:val="18"/>
              </w:rPr>
              <w:t>47</w:t>
            </w:r>
          </w:p>
        </w:tc>
        <w:tc>
          <w:tcPr>
            <w:tcW w:w="839" w:type="pct"/>
          </w:tcPr>
          <w:p w14:paraId="4C52B66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Stensland &amp; Sanders, </w:t>
            </w:r>
          </w:p>
          <w:p w14:paraId="1C2CDEC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2018</w:t>
            </w:r>
          </w:p>
        </w:tc>
        <w:tc>
          <w:tcPr>
            <w:tcW w:w="934" w:type="pct"/>
          </w:tcPr>
          <w:p w14:paraId="006AF26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The study utilizes an established qualitative framework (van Manen’s phenomenology) and describes clear steps for recruitment, data collection, and iterative thematic analysis. However, the authors admit to using non-probability convenience sampling and acknowledge a </w:t>
            </w:r>
            <w:r w:rsidRPr="00732EED">
              <w:rPr>
                <w:sz w:val="18"/>
                <w:szCs w:val="18"/>
              </w:rPr>
              <w:lastRenderedPageBreak/>
              <w:t>significant lack of racial and ethnic diversity, as all participants were Caucasian.</w:t>
            </w:r>
          </w:p>
        </w:tc>
        <w:tc>
          <w:tcPr>
            <w:tcW w:w="888" w:type="pct"/>
          </w:tcPr>
          <w:p w14:paraId="21E1194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The findings are strongly supported by the underlying data, with themes directly reflected in numerous detailed participant narratives. The results are logically organized by system levels (from self to society) and show consistency with </w:t>
            </w:r>
            <w:r w:rsidRPr="00732EED">
              <w:rPr>
                <w:sz w:val="18"/>
                <w:szCs w:val="18"/>
              </w:rPr>
              <w:lastRenderedPageBreak/>
              <w:t>existing, albeit limited, literature on chronic pain.</w:t>
            </w:r>
          </w:p>
        </w:tc>
        <w:tc>
          <w:tcPr>
            <w:tcW w:w="958" w:type="pct"/>
          </w:tcPr>
          <w:p w14:paraId="5394834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Moderate: </w:t>
            </w:r>
            <w:r w:rsidRPr="00732EED">
              <w:rPr>
                <w:sz w:val="18"/>
                <w:szCs w:val="18"/>
              </w:rPr>
              <w:tab/>
            </w:r>
          </w:p>
          <w:p w14:paraId="037E0EA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With 21 participants and 23 in-depth interviews, the study provides “vivid, in-depth depictions” of the lived experience. While the quantity of data is sufficient for a phenomenological study, its “richness” is limited by the homogeneity of the sample, </w:t>
            </w:r>
            <w:r w:rsidRPr="00732EED">
              <w:rPr>
                <w:sz w:val="18"/>
                <w:szCs w:val="18"/>
              </w:rPr>
              <w:lastRenderedPageBreak/>
              <w:t>which excludes the perspectives of diverse ethnic groups who may experience pain differently.</w:t>
            </w:r>
          </w:p>
        </w:tc>
        <w:tc>
          <w:tcPr>
            <w:tcW w:w="946" w:type="pct"/>
          </w:tcPr>
          <w:p w14:paraId="16041CF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36D9025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highly applicable to the context of gerontological social work and pain management, as it specifically targets the “grossly lacking” area of qualitative research regarding older adults’ actual experiences with CLBP</w:t>
            </w:r>
          </w:p>
          <w:p w14:paraId="3E3B4A5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It offers direct practice implications for social workers in multidisciplinary pain settings.</w:t>
            </w:r>
          </w:p>
        </w:tc>
      </w:tr>
      <w:tr w:rsidR="0027538E" w:rsidRPr="00732EED" w14:paraId="652C1BBB"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0E59CA3" w14:textId="77777777" w:rsidR="0027538E" w:rsidRPr="00732EED" w:rsidRDefault="0027538E" w:rsidP="0027538E">
            <w:pPr>
              <w:rPr>
                <w:sz w:val="18"/>
                <w:szCs w:val="18"/>
              </w:rPr>
            </w:pPr>
            <w:r w:rsidRPr="00732EED">
              <w:rPr>
                <w:sz w:val="18"/>
                <w:szCs w:val="18"/>
              </w:rPr>
              <w:lastRenderedPageBreak/>
              <w:t>48</w:t>
            </w:r>
          </w:p>
        </w:tc>
        <w:tc>
          <w:tcPr>
            <w:tcW w:w="839" w:type="pct"/>
          </w:tcPr>
          <w:p w14:paraId="73B6EDF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Stensland &amp; Sanders, 2018</w:t>
            </w:r>
          </w:p>
        </w:tc>
        <w:tc>
          <w:tcPr>
            <w:tcW w:w="934" w:type="pct"/>
          </w:tcPr>
          <w:p w14:paraId="4BD3BA8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employed a well-defined phenomenological method (van Manen’s Phenomenology of Practice) and explicitly established rigor through audit trails, verbatim quotes, and peer debriefing. However, the authors acknowledge significant limitations, including the use of nonprobability convenience sampling and a complete lack of racial and ethnic diversity in the sample (all participants were Caucasian).</w:t>
            </w:r>
          </w:p>
        </w:tc>
        <w:tc>
          <w:tcPr>
            <w:tcW w:w="888" w:type="pct"/>
          </w:tcPr>
          <w:p w14:paraId="14A8987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highly coherent, with each subtheme (Corporeality, Temporality, Relationality, and Spatiality) being extensively supported by verbatim participant data. The authors also demonstrate how their findings align with or expand upon existing qualitative and quantitative literature regarding chronic pain and sleep disruption.</w:t>
            </w:r>
          </w:p>
        </w:tc>
        <w:tc>
          <w:tcPr>
            <w:tcW w:w="958" w:type="pct"/>
          </w:tcPr>
          <w:p w14:paraId="22ED5CD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provides rich, “thick description” derived from 21 in-depth interviews, with a median duration of 61 minutes. The quantity of data was sufficient to develop complex thematic structures, and the quality is enhanced by the use of generous verbatim language to ensure interpretations are rooted in participant experience.</w:t>
            </w:r>
          </w:p>
        </w:tc>
        <w:tc>
          <w:tcPr>
            <w:tcW w:w="946" w:type="pct"/>
          </w:tcPr>
          <w:p w14:paraId="070EFDD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This research is directly relevant to the study of chronic low back pain (CLBP) in older adults, as it specifically addresses a noted gap in the literature. It focuses on a population (those 65 and older) that has been underrepresented in previous qualitative reviews of CLBP.</w:t>
            </w:r>
          </w:p>
        </w:tc>
      </w:tr>
      <w:tr w:rsidR="0027538E" w:rsidRPr="00732EED" w14:paraId="4BA82F55"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6830C8D8" w14:textId="77777777" w:rsidR="0027538E" w:rsidRPr="00732EED" w:rsidRDefault="0027538E" w:rsidP="0027538E">
            <w:pPr>
              <w:rPr>
                <w:sz w:val="18"/>
                <w:szCs w:val="18"/>
              </w:rPr>
            </w:pPr>
            <w:r w:rsidRPr="00732EED">
              <w:rPr>
                <w:sz w:val="18"/>
                <w:szCs w:val="18"/>
              </w:rPr>
              <w:t>49</w:t>
            </w:r>
          </w:p>
        </w:tc>
        <w:tc>
          <w:tcPr>
            <w:tcW w:w="839" w:type="pct"/>
          </w:tcPr>
          <w:p w14:paraId="3296069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Stensland &amp; Sanders, 2018</w:t>
            </w:r>
          </w:p>
        </w:tc>
        <w:tc>
          <w:tcPr>
            <w:tcW w:w="934" w:type="pct"/>
          </w:tcPr>
          <w:p w14:paraId="4087E649" w14:textId="1DC58791"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used an established qualitative framework (van Manen’s phenomenology) and employed rigorous line-by-line thematic coding. However, the authors acknowledge significant limitations, including a lack of racial and ethnic diversity (all participants were Caucasian) and the use of nonprobability convenience sampling, which prevents broad generalizability.</w:t>
            </w:r>
          </w:p>
        </w:tc>
        <w:tc>
          <w:tcPr>
            <w:tcW w:w="888" w:type="pct"/>
          </w:tcPr>
          <w:p w14:paraId="389A5C0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the underlying data, with specific subthemes (e.g., “Falling Apart”) supported by up to 19 of the 21 participants. The study also demonstrates consistency with, and expansion upon, existing literature regarding the social and physical losses associated with chronic pain.</w:t>
            </w:r>
          </w:p>
        </w:tc>
        <w:tc>
          <w:tcPr>
            <w:tcW w:w="958" w:type="pct"/>
          </w:tcPr>
          <w:p w14:paraId="14C96CC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is exceptionally rich and high-quality, derived from 23 in-depth interviews that lasted up to 109 minutes and were transcribed verbatim. However, the quantity of data is limited by a small sample size of 21 participants from a single Midwestern location, which may not capture the full spectrum of the aging experience with CLBP.</w:t>
            </w:r>
          </w:p>
        </w:tc>
        <w:tc>
          <w:tcPr>
            <w:tcW w:w="946" w:type="pct"/>
          </w:tcPr>
          <w:p w14:paraId="0E5E1DC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applicable to the intersection of chronic pain and aging, specifically focusing on how CLBP impacts retirement, housing, health, and independence. It addresses a specific gap in research, as older adults are often neglected in pain studies despite having unique age-related outcomes like fear of nursing home admission.</w:t>
            </w:r>
          </w:p>
        </w:tc>
      </w:tr>
      <w:tr w:rsidR="0027538E" w:rsidRPr="00732EED" w14:paraId="5B337D31"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0E2CAEE4" w14:textId="77777777" w:rsidR="0027538E" w:rsidRPr="00732EED" w:rsidRDefault="0027538E" w:rsidP="0027538E">
            <w:pPr>
              <w:rPr>
                <w:sz w:val="18"/>
                <w:szCs w:val="18"/>
              </w:rPr>
            </w:pPr>
            <w:r w:rsidRPr="00732EED">
              <w:rPr>
                <w:sz w:val="18"/>
                <w:szCs w:val="18"/>
              </w:rPr>
              <w:t>50</w:t>
            </w:r>
          </w:p>
        </w:tc>
        <w:tc>
          <w:tcPr>
            <w:tcW w:w="839" w:type="pct"/>
          </w:tcPr>
          <w:p w14:paraId="633E209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Bath et al.,</w:t>
            </w:r>
          </w:p>
          <w:p w14:paraId="617530C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2019</w:t>
            </w:r>
          </w:p>
        </w:tc>
        <w:tc>
          <w:tcPr>
            <w:tcW w:w="934" w:type="pct"/>
          </w:tcPr>
          <w:p w14:paraId="67DDEA2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The study used strategies for trustworthiness such as team debriefing, verbatim quotes, and checking themes with a stakeholder group. However, limitations included a disconnect between the research team and the interviewers, meaning analysts could not follow up on specific participant responses. There was also a potential “healthy worker effect,” as the study did not include individuals who had </w:t>
            </w:r>
            <w:r w:rsidRPr="00732EED">
              <w:rPr>
                <w:sz w:val="18"/>
                <w:szCs w:val="18"/>
              </w:rPr>
              <w:lastRenderedPageBreak/>
              <w:t>already left farming due to their condition.</w:t>
            </w:r>
          </w:p>
        </w:tc>
        <w:tc>
          <w:tcPr>
            <w:tcW w:w="888" w:type="pct"/>
          </w:tcPr>
          <w:p w14:paraId="476DF26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High: The findings are strongly supported by the underlying data, with themes directly illustrated by participant quotes. Furthermore, the findings, such as the “pushing through” mentality and barriers to care, are consistent with similar qualitative research conducted on farmers in New Zealand, Ireland, and South Georgia.</w:t>
            </w:r>
          </w:p>
        </w:tc>
        <w:tc>
          <w:tcPr>
            <w:tcW w:w="958" w:type="pct"/>
          </w:tcPr>
          <w:p w14:paraId="5FF83CE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utilized 12 in-depth, face-to-face interviews, which provided enough depth to identify two overarching themes and four sub-themes. However, the interviews were relatively short (20-30 minutes), and the sample was heavily gender-skewed (11 men, 1 woman) and localized to within 400km of Saskatoon, which may limit the richness and diversity of the data.</w:t>
            </w:r>
          </w:p>
        </w:tc>
        <w:tc>
          <w:tcPr>
            <w:tcW w:w="946" w:type="pct"/>
          </w:tcPr>
          <w:p w14:paraId="5144E5D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applicable to the specific context of the review question, as it directly explores the unique environmental and occupational challenges, such as extreme seasonality and geographical isolation, faced by farmers in the Saskatchewan region. The findings are intended to inform tailored health services for rural and remote farming communities.</w:t>
            </w:r>
          </w:p>
        </w:tc>
      </w:tr>
      <w:tr w:rsidR="0027538E" w:rsidRPr="00732EED" w14:paraId="662D0E02"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6156B131" w14:textId="77777777" w:rsidR="0027538E" w:rsidRPr="00732EED" w:rsidRDefault="0027538E" w:rsidP="0027538E">
            <w:pPr>
              <w:rPr>
                <w:sz w:val="18"/>
                <w:szCs w:val="18"/>
              </w:rPr>
            </w:pPr>
            <w:r w:rsidRPr="00732EED">
              <w:rPr>
                <w:sz w:val="18"/>
                <w:szCs w:val="18"/>
              </w:rPr>
              <w:t>51</w:t>
            </w:r>
          </w:p>
        </w:tc>
        <w:tc>
          <w:tcPr>
            <w:tcW w:w="839" w:type="pct"/>
          </w:tcPr>
          <w:p w14:paraId="55D8905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Cheng et al, 2019</w:t>
            </w:r>
          </w:p>
        </w:tc>
        <w:tc>
          <w:tcPr>
            <w:tcW w:w="934" w:type="pct"/>
          </w:tcPr>
          <w:p w14:paraId="70258CB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B94ADD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review utilized a rigorous, structured seven-step meta-ethnography approach and applied the validated Joanna Briggs Institute Qualitative Assessment and Review Instrument (JBI-QARI) to appraise the quality of all 26 included studies</w:t>
            </w:r>
          </w:p>
          <w:p w14:paraId="41DDC4B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Two reviewers worked independently to ensure transparency and minimize bias.</w:t>
            </w:r>
          </w:p>
        </w:tc>
        <w:tc>
          <w:tcPr>
            <w:tcW w:w="888" w:type="pct"/>
          </w:tcPr>
          <w:p w14:paraId="73D1199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underlying data, with a clear mapping of themes to primary studies. Table 4 demonstrates that major findings, such as “problematic symptoms” and “taking medication,” are consistently identified across the vast majority of the 26 studies, showing high internal consistency.</w:t>
            </w:r>
          </w:p>
          <w:p w14:paraId="37D09A8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c>
          <w:tcPr>
            <w:tcW w:w="958" w:type="pct"/>
          </w:tcPr>
          <w:p w14:paraId="58C484C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review synthesized data from 26 studies involving 654 participants. This is a substantial sample for qualitative synthesis, spanning ten countries and nearly three decades of research (1990-2017), providing a rich and comprehensive dataset.</w:t>
            </w:r>
          </w:p>
        </w:tc>
        <w:tc>
          <w:tcPr>
            <w:tcW w:w="946" w:type="pct"/>
          </w:tcPr>
          <w:p w14:paraId="0627BE4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included studies are highly relevant to the review's specific focus on adults with multiple chronic conditions (MCCs). The inclusion criteria strictly targeted papers describing lived experiences of coping, ensuring the findings directly address the core research question.</w:t>
            </w:r>
          </w:p>
          <w:p w14:paraId="3DBBBC2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r>
      <w:tr w:rsidR="0027538E" w:rsidRPr="00732EED" w14:paraId="3559C0FC"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697F62A0" w14:textId="77777777" w:rsidR="0027538E" w:rsidRPr="00732EED" w:rsidRDefault="0027538E" w:rsidP="0027538E">
            <w:pPr>
              <w:rPr>
                <w:sz w:val="18"/>
                <w:szCs w:val="18"/>
              </w:rPr>
            </w:pPr>
            <w:r w:rsidRPr="00732EED">
              <w:rPr>
                <w:sz w:val="18"/>
                <w:szCs w:val="18"/>
              </w:rPr>
              <w:t>52</w:t>
            </w:r>
          </w:p>
        </w:tc>
        <w:tc>
          <w:tcPr>
            <w:tcW w:w="839" w:type="pct"/>
          </w:tcPr>
          <w:p w14:paraId="56F796A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Hughes et al., </w:t>
            </w:r>
          </w:p>
          <w:p w14:paraId="735B482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2019</w:t>
            </w:r>
          </w:p>
        </w:tc>
        <w:tc>
          <w:tcPr>
            <w:tcW w:w="934" w:type="pct"/>
          </w:tcPr>
          <w:p w14:paraId="0FECD97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0C5E778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followed established guidelines for Interpretative Phenomenological Analysis (IPA) and utilized multiple analysts to cross-check and agree upon themes. However, limitations include a small, self-selected sample from online forums which may represent “better functioning” individuals, and the use of telephone interviews which could have hindered rapport-building and the exploration of photographs.</w:t>
            </w:r>
          </w:p>
        </w:tc>
        <w:tc>
          <w:tcPr>
            <w:tcW w:w="888" w:type="pct"/>
          </w:tcPr>
          <w:p w14:paraId="1F1C47B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AF810D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clearly supported by the underlying data, with superordinate themes emerging directly from participant narratives and photographs. The researchers ensured coherence by grounding their interpretations in repeated references to verbatim transcripts and conducting regular discussions between authors to justify their findings.</w:t>
            </w:r>
          </w:p>
        </w:tc>
        <w:tc>
          <w:tcPr>
            <w:tcW w:w="958" w:type="pct"/>
          </w:tcPr>
          <w:p w14:paraId="39AC093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data is qualitatively rich, derived from a week-long photo-elicitation period and in-depth interviews lasting up to 90 minutes. While the sample size of six is standard for the idiographic nature of IPA, the authors acknowledge that the data may lack the quantity and breadth to represent the full spectrum of pain experiences in the broader paraplegic population.</w:t>
            </w:r>
          </w:p>
        </w:tc>
        <w:tc>
          <w:tcPr>
            <w:tcW w:w="946" w:type="pct"/>
          </w:tcPr>
          <w:p w14:paraId="17EB34E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applicable to the specific context of understanding how chronic pain and mobility issues intersect to influence the quality of life (QoL) for individuals with paraplegia. It addresses a recognized gap in existing literature regarding the in-depth, personal meaning-making associated with pain and disability.</w:t>
            </w:r>
          </w:p>
        </w:tc>
      </w:tr>
      <w:tr w:rsidR="0027538E" w:rsidRPr="00732EED" w14:paraId="604F256E"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4F4D646E" w14:textId="77777777" w:rsidR="0027538E" w:rsidRPr="00732EED" w:rsidRDefault="0027538E" w:rsidP="0027538E">
            <w:pPr>
              <w:rPr>
                <w:sz w:val="18"/>
                <w:szCs w:val="18"/>
              </w:rPr>
            </w:pPr>
            <w:r w:rsidRPr="00732EED">
              <w:rPr>
                <w:sz w:val="18"/>
                <w:szCs w:val="18"/>
              </w:rPr>
              <w:t>53</w:t>
            </w:r>
          </w:p>
        </w:tc>
        <w:tc>
          <w:tcPr>
            <w:tcW w:w="839" w:type="pct"/>
          </w:tcPr>
          <w:p w14:paraId="6712A47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Rodríguez et al., 2019</w:t>
            </w:r>
          </w:p>
        </w:tc>
        <w:tc>
          <w:tcPr>
            <w:tcW w:w="934" w:type="pct"/>
          </w:tcPr>
          <w:p w14:paraId="513CD85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employed rigorous qualitative standards, including the use of a 32-item checklist (COREQ) for reporting and a triangulation strategy involving researchers from different disciplines (nursing and computing) to reach intersubjective agreement. Additionally, data analysis followed established grounded theory practices like open coding and reached data saturation by the sixth interview.</w:t>
            </w:r>
          </w:p>
        </w:tc>
        <w:tc>
          <w:tcPr>
            <w:tcW w:w="888" w:type="pct"/>
          </w:tcPr>
          <w:p w14:paraId="2643D99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clearly supported by the underlying data, with major themes (e.g., impact of pain, social support) illustrated by direct, translated quotes from the participants. Furthermore, the study's results, such as the functional limitations and emotional impacts of spinal deformity, are consistent with previous related research conducted in other regions like Canada and Norway.</w:t>
            </w:r>
          </w:p>
        </w:tc>
        <w:tc>
          <w:tcPr>
            <w:tcW w:w="958" w:type="pct"/>
          </w:tcPr>
          <w:p w14:paraId="13FF763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The data is rich, consisting of </w:t>
            </w:r>
            <w:proofErr w:type="gramStart"/>
            <w:r w:rsidRPr="00732EED">
              <w:rPr>
                <w:sz w:val="18"/>
                <w:szCs w:val="18"/>
              </w:rPr>
              <w:t>30-60 minute</w:t>
            </w:r>
            <w:proofErr w:type="gramEnd"/>
            <w:r w:rsidRPr="00732EED">
              <w:rPr>
                <w:sz w:val="18"/>
                <w:szCs w:val="18"/>
              </w:rPr>
              <w:t xml:space="preserve"> semi-structured interviews that were recorded and transcribed verbatim. The study also used validated questionnaires (ODI, SRS-22r, and WHOQOL-BREF) to create detailed profiles for each participant. However, the sample size is relatively small (10 participants) and localized to a single university hospital in Santiago.</w:t>
            </w:r>
          </w:p>
        </w:tc>
        <w:tc>
          <w:tcPr>
            <w:tcW w:w="946" w:type="pct"/>
          </w:tcPr>
          <w:p w14:paraId="4A66AED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highly applicable to the review question regarding chronic pain in older adults, as they specifically explore the unique Chilean cultural and societal context. The study provides specific insights into how local factors, such as public transportation infrastructure and Latin intergenerational family dynamics, influence the pain experience.</w:t>
            </w:r>
          </w:p>
        </w:tc>
      </w:tr>
      <w:tr w:rsidR="0027538E" w:rsidRPr="00732EED" w14:paraId="271D8AFD"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575BE24C" w14:textId="77777777" w:rsidR="0027538E" w:rsidRPr="00732EED" w:rsidRDefault="0027538E" w:rsidP="0027538E">
            <w:pPr>
              <w:rPr>
                <w:sz w:val="18"/>
                <w:szCs w:val="18"/>
              </w:rPr>
            </w:pPr>
            <w:r w:rsidRPr="00732EED">
              <w:rPr>
                <w:sz w:val="18"/>
                <w:szCs w:val="18"/>
              </w:rPr>
              <w:lastRenderedPageBreak/>
              <w:t>54</w:t>
            </w:r>
          </w:p>
        </w:tc>
        <w:tc>
          <w:tcPr>
            <w:tcW w:w="839" w:type="pct"/>
          </w:tcPr>
          <w:p w14:paraId="7B0568A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Toye et al., 2019</w:t>
            </w:r>
          </w:p>
        </w:tc>
        <w:tc>
          <w:tcPr>
            <w:tcW w:w="934" w:type="pct"/>
          </w:tcPr>
          <w:p w14:paraId="198DCAB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6FA64004" w14:textId="5E6F9FD4"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researchers followed established </w:t>
            </w:r>
            <w:r w:rsidR="00B93F1C" w:rsidRPr="00732EED">
              <w:rPr>
                <w:sz w:val="18"/>
                <w:szCs w:val="18"/>
              </w:rPr>
              <w:t>Phase</w:t>
            </w:r>
            <w:r w:rsidRPr="00732EED">
              <w:rPr>
                <w:sz w:val="18"/>
                <w:szCs w:val="18"/>
              </w:rPr>
              <w:t>s of meta-ethnography to ensure a rigorous interpretive process. However, they explicitly noted that they did not use a formal checklist to appraise the quality of the included syntheses, arguing that such appraisals can be “pettifogging” and that there is no agreed-upon method for determining quality in this context. Additionally, the screening process was conducted by a single researcher without a second-party verification, though the authors provided a detailed justification for this based on the researcher's expertise and the nature of qualitative review.</w:t>
            </w:r>
          </w:p>
        </w:tc>
        <w:tc>
          <w:tcPr>
            <w:tcW w:w="888" w:type="pct"/>
          </w:tcPr>
          <w:p w14:paraId="57F2D77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demonstrate strong coherence as they were developed through “constant comparison” and “translation” of concepts across the nine included syntheses. To maintain grounding in the data, researchers challenged each other’s interpretations, and any disagreements were resolved through discussion with a third reviewer. The resulting 10 conceptual categories and the final model were organized collaboratively to ensure they reflected the essence of the underlying data.</w:t>
            </w:r>
          </w:p>
          <w:p w14:paraId="1A41779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c>
          <w:tcPr>
            <w:tcW w:w="958" w:type="pct"/>
          </w:tcPr>
          <w:p w14:paraId="5C963AB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A5679C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paper draws on a substantial and rich dataset, synthesizing 9 qualitative evidence syntheses (QES) which collectively incorporate 128 published reports and data from more than 2,000 individuals living with rheumatoid arthritis. From these, the authors extracted 76 distinct review findings to build their conceptual model.</w:t>
            </w:r>
          </w:p>
        </w:tc>
        <w:tc>
          <w:tcPr>
            <w:tcW w:w="946" w:type="pct"/>
          </w:tcPr>
          <w:p w14:paraId="328AD38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2E2EFF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studies supporting the findings are highly applicable, as the search was specifically designed to identify syntheses exploring the lived experience of rheumatoid arthritis (RA). The included QES cover a broad geographic range (e.g., UK, USA, Netherlands, Scandinavia, and Asia), providing a comprehensive view of the patient experience across different healthcare contexts.</w:t>
            </w:r>
          </w:p>
        </w:tc>
      </w:tr>
      <w:tr w:rsidR="0027538E" w:rsidRPr="00732EED" w14:paraId="748DA40F"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3369C9BA" w14:textId="77777777" w:rsidR="0027538E" w:rsidRPr="00732EED" w:rsidRDefault="0027538E" w:rsidP="0027538E">
            <w:pPr>
              <w:rPr>
                <w:sz w:val="18"/>
                <w:szCs w:val="18"/>
              </w:rPr>
            </w:pPr>
            <w:r w:rsidRPr="00732EED">
              <w:rPr>
                <w:sz w:val="18"/>
                <w:szCs w:val="18"/>
              </w:rPr>
              <w:t>55</w:t>
            </w:r>
          </w:p>
        </w:tc>
        <w:tc>
          <w:tcPr>
            <w:tcW w:w="839" w:type="pct"/>
          </w:tcPr>
          <w:p w14:paraId="7C6CB8C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Mustafa et al.,</w:t>
            </w:r>
          </w:p>
          <w:p w14:paraId="71F9FD8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2020</w:t>
            </w:r>
          </w:p>
        </w:tc>
        <w:tc>
          <w:tcPr>
            <w:tcW w:w="934" w:type="pct"/>
          </w:tcPr>
          <w:p w14:paraId="1E7F8C9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utilized a well-defined interpretive phenomenological approach based on van Manen’s phenomenology of practice. Researchers used purposeful and snowball sampling to reach a specific, hard-to-access population and conducted interviews in the participants' preferred languages (English, Hindi, or Urdu) to ensure accuracy. While the authors noted they could not restrict the sample to a single religious or regional Indian group, this diversity was acknowledged as a factor for future study rather than a flaw in the current design.</w:t>
            </w:r>
          </w:p>
        </w:tc>
        <w:tc>
          <w:tcPr>
            <w:tcW w:w="888" w:type="pct"/>
          </w:tcPr>
          <w:p w14:paraId="1E415C6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the underlying data, with four clear themes (body, space, relationships, and time) emerging directly from participant narratives. The results are consistent with existing literature regarding the impact of gender roles and the “healthy immigrant effect” on health outcomes. The link between the “dual gender role” (balancing housework and outside employment) and exacerbated pain is clearly demonstrated through the participants' own accounts.</w:t>
            </w:r>
          </w:p>
        </w:tc>
        <w:tc>
          <w:tcPr>
            <w:tcW w:w="958" w:type="pct"/>
          </w:tcPr>
          <w:p w14:paraId="4C82328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provided rich, “thick descriptions” through hour-long, one-on-one interviews with 13 women. While a sample of 13 is appropriate for a phenomenological study (which suggests 6 to 15 participants), the absolute quantity of data is small compared to larger mixed-methods or quantitative reviews. The richness of the qualitative data is high, but the small sample size limits the ability to generalize across all Indian subcultures.</w:t>
            </w:r>
          </w:p>
        </w:tc>
        <w:tc>
          <w:tcPr>
            <w:tcW w:w="946" w:type="pct"/>
          </w:tcPr>
          <w:p w14:paraId="39D8785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08CCC7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directly applicable to the specific context of providing culturally sensitive chronic pain care in Canada. The study addresses a significant public health gap, as Indian-Canadians are a rapidly growing population who report higher pain intensity than non-immigrants. It provides specific insights into how cultural expectations and immigration challenges (like the loss of domestic help) specifically influence pain experiences in this community.</w:t>
            </w:r>
          </w:p>
        </w:tc>
      </w:tr>
      <w:tr w:rsidR="0027538E" w:rsidRPr="00732EED" w14:paraId="23D69C71"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8DBCCAE" w14:textId="77777777" w:rsidR="0027538E" w:rsidRPr="00732EED" w:rsidRDefault="0027538E" w:rsidP="0027538E">
            <w:pPr>
              <w:rPr>
                <w:sz w:val="18"/>
                <w:szCs w:val="18"/>
              </w:rPr>
            </w:pPr>
            <w:r w:rsidRPr="00732EED">
              <w:rPr>
                <w:sz w:val="18"/>
                <w:szCs w:val="18"/>
              </w:rPr>
              <w:t>56</w:t>
            </w:r>
          </w:p>
        </w:tc>
        <w:tc>
          <w:tcPr>
            <w:tcW w:w="839" w:type="pct"/>
          </w:tcPr>
          <w:p w14:paraId="23482B8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Roenne</w:t>
            </w:r>
            <w:proofErr w:type="spellEnd"/>
            <w:r w:rsidRPr="00732EED">
              <w:rPr>
                <w:sz w:val="18"/>
                <w:szCs w:val="18"/>
              </w:rPr>
              <w:t xml:space="preserve"> et al.,</w:t>
            </w:r>
          </w:p>
          <w:p w14:paraId="22BA4DF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2020</w:t>
            </w:r>
          </w:p>
        </w:tc>
        <w:tc>
          <w:tcPr>
            <w:tcW w:w="934" w:type="pct"/>
          </w:tcPr>
          <w:p w14:paraId="604E66A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3AC5180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utilized a robust qualitative design following </w:t>
            </w:r>
            <w:proofErr w:type="spellStart"/>
            <w:r w:rsidRPr="00732EED">
              <w:rPr>
                <w:sz w:val="18"/>
                <w:szCs w:val="18"/>
              </w:rPr>
              <w:t>Ricoeur’s</w:t>
            </w:r>
            <w:proofErr w:type="spellEnd"/>
            <w:r w:rsidRPr="00732EED">
              <w:rPr>
                <w:sz w:val="18"/>
                <w:szCs w:val="18"/>
              </w:rPr>
              <w:t xml:space="preserve"> philosophy of interpretation and sought to </w:t>
            </w:r>
            <w:r w:rsidRPr="00732EED">
              <w:rPr>
                <w:sz w:val="18"/>
                <w:szCs w:val="18"/>
              </w:rPr>
              <w:lastRenderedPageBreak/>
              <w:t>meet COREQ reporting recommendations</w:t>
            </w:r>
          </w:p>
          <w:p w14:paraId="36373B4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It addressed researcher reflexivity and used triangulation to enhance trustworthiness</w:t>
            </w:r>
          </w:p>
          <w:p w14:paraId="7FE8F25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However, it relied on a small convenience and purposive sample of 10 patients from a single country (Denmark), and the authors acknowledge potential selection bias and the lack of criteria regarding the duration of the patients’ treatment trajectory.</w:t>
            </w:r>
          </w:p>
        </w:tc>
        <w:tc>
          <w:tcPr>
            <w:tcW w:w="888" w:type="pct"/>
          </w:tcPr>
          <w:p w14:paraId="26A7047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findings are clearly and logically derived from the underlying data through a three-level interpretative process. The </w:t>
            </w:r>
            <w:r w:rsidRPr="00732EED">
              <w:rPr>
                <w:sz w:val="18"/>
                <w:szCs w:val="18"/>
              </w:rPr>
              <w:lastRenderedPageBreak/>
              <w:t>study provides a detailed mapping in Table 3, which explicitly links raw participant quotes (meaningful units) to specific sub-themes and key themes, demonstrating a consistent and transparent relationship between the data and the findings.</w:t>
            </w:r>
          </w:p>
        </w:tc>
        <w:tc>
          <w:tcPr>
            <w:tcW w:w="958" w:type="pct"/>
          </w:tcPr>
          <w:p w14:paraId="7063676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Although the sample size is small (N=10), the authors reached data saturation after eight interviews and conducted two additional interviews to </w:t>
            </w:r>
            <w:r w:rsidRPr="00732EED">
              <w:rPr>
                <w:sz w:val="18"/>
                <w:szCs w:val="18"/>
              </w:rPr>
              <w:lastRenderedPageBreak/>
              <w:t>ensure “high information power”. The data collected was “rich and in-depth,” with interviews lasting an average of 52 minutes, providing sufficient substance to explore sensitive personal and family dynamics.</w:t>
            </w:r>
          </w:p>
        </w:tc>
        <w:tc>
          <w:tcPr>
            <w:tcW w:w="946" w:type="pct"/>
          </w:tcPr>
          <w:p w14:paraId="3082C54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study is directly and specifically applicable to the context of chronic non-malignant pain (CNP) rehabilitation. It explores the </w:t>
            </w:r>
            <w:r w:rsidRPr="00732EED">
              <w:rPr>
                <w:sz w:val="18"/>
                <w:szCs w:val="18"/>
              </w:rPr>
              <w:lastRenderedPageBreak/>
              <w:t>primary experiences, needs, and preferences of patients regarding the involvement of relatives, providing insights that are highly relevant to clinical practice in multidisciplinary pain centers.</w:t>
            </w:r>
          </w:p>
        </w:tc>
      </w:tr>
      <w:tr w:rsidR="0027538E" w:rsidRPr="00732EED" w14:paraId="5C4A479F"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7B3C739D" w14:textId="77777777" w:rsidR="0027538E" w:rsidRPr="00732EED" w:rsidRDefault="0027538E" w:rsidP="0027538E">
            <w:pPr>
              <w:rPr>
                <w:sz w:val="18"/>
                <w:szCs w:val="18"/>
              </w:rPr>
            </w:pPr>
            <w:r w:rsidRPr="00732EED">
              <w:rPr>
                <w:sz w:val="18"/>
                <w:szCs w:val="18"/>
              </w:rPr>
              <w:lastRenderedPageBreak/>
              <w:t>57</w:t>
            </w:r>
          </w:p>
        </w:tc>
        <w:tc>
          <w:tcPr>
            <w:tcW w:w="839" w:type="pct"/>
          </w:tcPr>
          <w:p w14:paraId="592C42B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Skúladóttir et al.,</w:t>
            </w:r>
          </w:p>
          <w:p w14:paraId="12079FD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2020</w:t>
            </w:r>
          </w:p>
        </w:tc>
        <w:tc>
          <w:tcPr>
            <w:tcW w:w="934" w:type="pct"/>
          </w:tcPr>
          <w:p w14:paraId="498B307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7BCF957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employed a rigorous 12-step phenomenological approach (the Vancouver School) designed specifically for exploring lived experiences</w:t>
            </w:r>
          </w:p>
          <w:p w14:paraId="65A57AE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It utilized member checking for verification and strictly adhered to the COREQ 32-item checklist to ensure reporting quality</w:t>
            </w:r>
          </w:p>
          <w:p w14:paraId="1867C76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While one participant was lost to follow-up, the methodology remained robust for qualitative inquiry.</w:t>
            </w:r>
          </w:p>
        </w:tc>
        <w:tc>
          <w:tcPr>
            <w:tcW w:w="888" w:type="pct"/>
          </w:tcPr>
          <w:p w14:paraId="6059A71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Findings are strongly supported by direct participant quotes that illustrate a clear transition from “survival mode” to “reconstruction”. The themes identified remained consistent across participants from three different rehabilitation sites. Furthermore, the results are highly consistent with findings from similar international studies.</w:t>
            </w:r>
          </w:p>
        </w:tc>
        <w:tc>
          <w:tcPr>
            <w:tcW w:w="958" w:type="pct"/>
          </w:tcPr>
          <w:p w14:paraId="6A6AF92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24E6814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data is rich and longitudinal, consisting of 21 interviews conducted before and after the intervention. However, the sample size is small (n=11), and the authors acknowledge that the 3-month follow-up period may have been too short to fully capture the long-term “reconstruction” phase of the participants' lives.</w:t>
            </w:r>
          </w:p>
        </w:tc>
        <w:tc>
          <w:tcPr>
            <w:tcW w:w="946" w:type="pct"/>
          </w:tcPr>
          <w:p w14:paraId="39F953C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D10103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directly applicable to understanding the lived experience of chronic pain and the impact of multidisciplinary rehabilitation. By including participants from all three major rehabilitation centers in Iceland with various diagnoses, the findings are highly relevant to the specific context of pain management programs.</w:t>
            </w:r>
          </w:p>
        </w:tc>
      </w:tr>
      <w:tr w:rsidR="0027538E" w:rsidRPr="00732EED" w14:paraId="31435ED7"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28AA8976" w14:textId="77777777" w:rsidR="0027538E" w:rsidRPr="00732EED" w:rsidRDefault="0027538E" w:rsidP="0027538E">
            <w:pPr>
              <w:rPr>
                <w:sz w:val="18"/>
                <w:szCs w:val="18"/>
              </w:rPr>
            </w:pPr>
            <w:r w:rsidRPr="00732EED">
              <w:rPr>
                <w:sz w:val="18"/>
                <w:szCs w:val="18"/>
              </w:rPr>
              <w:t>58</w:t>
            </w:r>
          </w:p>
        </w:tc>
        <w:tc>
          <w:tcPr>
            <w:tcW w:w="839" w:type="pct"/>
          </w:tcPr>
          <w:p w14:paraId="3168408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Yildirim Duman</w:t>
            </w:r>
          </w:p>
          <w:p w14:paraId="0780013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2020</w:t>
            </w:r>
          </w:p>
        </w:tc>
        <w:tc>
          <w:tcPr>
            <w:tcW w:w="934" w:type="pct"/>
          </w:tcPr>
          <w:p w14:paraId="54BA643B" w14:textId="516DD60C"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The study employed a descriptive phenomenological approach and adhered to the Consolidated Criteria for Reporting Qualitative Research (COREQ) guidelines to ensure quality. Reliability was enhanced through expert triangulation and participant feedback (member checking). However, the sample size is very small (n=10), the research was conducted in a single geographic province, and the author acknowledges that personal presuppositions may have influenced the inductive </w:t>
            </w:r>
            <w:r w:rsidRPr="00732EED">
              <w:rPr>
                <w:sz w:val="18"/>
                <w:szCs w:val="18"/>
              </w:rPr>
              <w:lastRenderedPageBreak/>
              <w:t xml:space="preserve">data analysis. Additionally, there is a discrepancy in the reported interview duration (1440 minutes is noted as 60 hours, whereas it is </w:t>
            </w:r>
            <w:r w:rsidR="00EC7AE5" w:rsidRPr="00732EED">
              <w:rPr>
                <w:sz w:val="18"/>
                <w:szCs w:val="18"/>
              </w:rPr>
              <w:t>24</w:t>
            </w:r>
            <w:r w:rsidRPr="00732EED">
              <w:rPr>
                <w:sz w:val="18"/>
                <w:szCs w:val="18"/>
              </w:rPr>
              <w:t xml:space="preserve"> hours).</w:t>
            </w:r>
          </w:p>
        </w:tc>
        <w:tc>
          <w:tcPr>
            <w:tcW w:w="888" w:type="pct"/>
          </w:tcPr>
          <w:p w14:paraId="0DA4047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684B818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strongly supported by the underlying data, with clear links between participant quotes and the identified themes of social support, disease management, and information sources</w:t>
            </w:r>
          </w:p>
          <w:p w14:paraId="33B4D20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The subthemes, such as “perceived barriers” and “emotional and spiritual state,” provide a consistent narrative that directly addresses the study's aim to understand lived experiences.</w:t>
            </w:r>
          </w:p>
        </w:tc>
        <w:tc>
          <w:tcPr>
            <w:tcW w:w="958" w:type="pct"/>
          </w:tcPr>
          <w:p w14:paraId="3AEA93B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While the researcher notes that data saturation was reached, the study relies on a limited pool of 10 participants. The data provided is rich, with individual interviews lasting 45 to 60 minutes and yielding 12-14 pages of transcript per person, but the overall quantity of data is constrained by the small sample size.</w:t>
            </w:r>
          </w:p>
        </w:tc>
        <w:tc>
          <w:tcPr>
            <w:tcW w:w="946" w:type="pct"/>
          </w:tcPr>
          <w:p w14:paraId="543285C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applicable to the context of chronic disease self-management, focusing on prevalent conditions like hypertension and diabetes. The results offer specific insights into the role of family support and religious practices, which are vital for healthcare professionals designing patient-centered care programs.</w:t>
            </w:r>
          </w:p>
        </w:tc>
      </w:tr>
      <w:tr w:rsidR="0027538E" w:rsidRPr="00732EED" w14:paraId="20A6F074"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009A2A63" w14:textId="77777777" w:rsidR="0027538E" w:rsidRPr="00732EED" w:rsidRDefault="0027538E" w:rsidP="0027538E">
            <w:pPr>
              <w:rPr>
                <w:sz w:val="18"/>
                <w:szCs w:val="18"/>
              </w:rPr>
            </w:pPr>
            <w:r w:rsidRPr="00732EED">
              <w:rPr>
                <w:sz w:val="18"/>
                <w:szCs w:val="18"/>
              </w:rPr>
              <w:t>59</w:t>
            </w:r>
          </w:p>
        </w:tc>
        <w:tc>
          <w:tcPr>
            <w:tcW w:w="839" w:type="pct"/>
          </w:tcPr>
          <w:p w14:paraId="3558C7F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Andersen et al., 2021</w:t>
            </w:r>
          </w:p>
        </w:tc>
        <w:tc>
          <w:tcPr>
            <w:tcW w:w="934" w:type="pct"/>
          </w:tcPr>
          <w:p w14:paraId="29FD45A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Low: The study followed standard Interpretative Phenomenological Analysis (IPA) procedures, including individual transcript analysis and researcher reflexivity. While the authors noted that applying a specific theoretical framework (Kierkegaard) could potentially restrict findings, they mitigated this by ensuring initial inductive themes were developed before the theory was introduced.</w:t>
            </w:r>
          </w:p>
          <w:p w14:paraId="7466BA2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c>
          <w:tcPr>
            <w:tcW w:w="888" w:type="pct"/>
          </w:tcPr>
          <w:p w14:paraId="23FF4FA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The identified findings are strongly supported by verbatim data from the interviews. The themes, such as “despair” and “becoming oneself,” are logically derived from the participant accounts and are consistent with the underlying data regarding how patients respond to their illnesses. </w:t>
            </w:r>
          </w:p>
        </w:tc>
        <w:tc>
          <w:tcPr>
            <w:tcW w:w="958" w:type="pct"/>
          </w:tcPr>
          <w:p w14:paraId="149EA83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5A8C9F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study is grounded in 23 semi structured interviews, which is a substantial and high-quality sample for an IPA </w:t>
            </w:r>
            <w:proofErr w:type="gramStart"/>
            <w:r w:rsidRPr="00732EED">
              <w:rPr>
                <w:sz w:val="18"/>
                <w:szCs w:val="18"/>
              </w:rPr>
              <w:t>study .</w:t>
            </w:r>
            <w:proofErr w:type="gramEnd"/>
            <w:r w:rsidRPr="00732EED">
              <w:rPr>
                <w:sz w:val="18"/>
                <w:szCs w:val="18"/>
              </w:rPr>
              <w:t xml:space="preserve"> The participants represented a diverse range of ages, educational backgrounds, and illness durations, ensuring a rich dataset.</w:t>
            </w:r>
          </w:p>
        </w:tc>
        <w:tc>
          <w:tcPr>
            <w:tcW w:w="946" w:type="pct"/>
          </w:tcPr>
          <w:p w14:paraId="5759874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highly applicable to the specific context of existential challenges in chronic illness. The study directly addresses how patients with multiple sclerosis and chronic pain navigate identity and meaning, providing insights relevant to clinical health care practices.</w:t>
            </w:r>
          </w:p>
        </w:tc>
      </w:tr>
      <w:tr w:rsidR="0027538E" w:rsidRPr="00732EED" w14:paraId="791B9564"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F63672F" w14:textId="77777777" w:rsidR="0027538E" w:rsidRPr="00732EED" w:rsidRDefault="0027538E" w:rsidP="0027538E">
            <w:pPr>
              <w:rPr>
                <w:sz w:val="18"/>
                <w:szCs w:val="18"/>
              </w:rPr>
            </w:pPr>
            <w:r w:rsidRPr="00732EED">
              <w:rPr>
                <w:sz w:val="18"/>
                <w:szCs w:val="18"/>
              </w:rPr>
              <w:t>60</w:t>
            </w:r>
          </w:p>
        </w:tc>
        <w:tc>
          <w:tcPr>
            <w:tcW w:w="839" w:type="pct"/>
          </w:tcPr>
          <w:p w14:paraId="637A562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Fracso</w:t>
            </w:r>
            <w:proofErr w:type="spellEnd"/>
            <w:r w:rsidRPr="00732EED">
              <w:rPr>
                <w:sz w:val="18"/>
                <w:szCs w:val="18"/>
              </w:rPr>
              <w:t xml:space="preserve"> et al.,</w:t>
            </w:r>
          </w:p>
          <w:p w14:paraId="67472AF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2021</w:t>
            </w:r>
          </w:p>
        </w:tc>
        <w:tc>
          <w:tcPr>
            <w:tcW w:w="934" w:type="pct"/>
          </w:tcPr>
          <w:p w14:paraId="3047628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  The study followed the COREQ guidelines for reporting qualitative research. It employed investigator triangulation (two experts and one trained investigator) and reached theoretical saturation. While the authors acknowledged potential selection and social desirability biases, they utilized reflexive practices and pilot test sessions to ensure authenticity.</w:t>
            </w:r>
          </w:p>
        </w:tc>
        <w:tc>
          <w:tcPr>
            <w:tcW w:w="888" w:type="pct"/>
          </w:tcPr>
          <w:p w14:paraId="3D9B9C0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5BC865E" w14:textId="181A4BCF"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findings (four phenomenological categories) are logically derived from the transcripts using a rigorous </w:t>
            </w:r>
            <w:r w:rsidR="00E9589B" w:rsidRPr="00732EED">
              <w:rPr>
                <w:sz w:val="18"/>
                <w:szCs w:val="18"/>
              </w:rPr>
              <w:t>semi</w:t>
            </w:r>
            <w:r w:rsidRPr="00732EED">
              <w:rPr>
                <w:sz w:val="18"/>
                <w:szCs w:val="18"/>
              </w:rPr>
              <w:t>-pragmatic analysis based on Peirce's theory. Each theme is extensively supported by verbatim participant quotes, ensuring the results remain grounded in the underlying data.</w:t>
            </w:r>
          </w:p>
        </w:tc>
        <w:tc>
          <w:tcPr>
            <w:tcW w:w="958" w:type="pct"/>
          </w:tcPr>
          <w:p w14:paraId="7C7B79D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researchers conducted 37 in-depth interviews with 20 participants, utilizing a longitudinal design (interviews before and 6 months after the intervention). The sample included a diverse range of demographics, including different ages, socioeconomic backgrounds, and chronic conditions.</w:t>
            </w:r>
          </w:p>
        </w:tc>
        <w:tc>
          <w:tcPr>
            <w:tcW w:w="946" w:type="pct"/>
          </w:tcPr>
          <w:p w14:paraId="27FF42E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6B7023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is directly applicable to the review's context, as it specifically examines the lived experiences and existential needs of vulnerable patients participating in a chronic disease self-management program</w:t>
            </w:r>
          </w:p>
          <w:p w14:paraId="35DCF7C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It offers specific insights into how these programs foster empowerment in this population.</w:t>
            </w:r>
          </w:p>
        </w:tc>
      </w:tr>
      <w:tr w:rsidR="0027538E" w:rsidRPr="00732EED" w14:paraId="5CF9B8C2"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323F0B53" w14:textId="77777777" w:rsidR="0027538E" w:rsidRPr="00732EED" w:rsidRDefault="0027538E" w:rsidP="0027538E">
            <w:pPr>
              <w:rPr>
                <w:sz w:val="18"/>
                <w:szCs w:val="18"/>
              </w:rPr>
            </w:pPr>
            <w:r w:rsidRPr="00732EED">
              <w:rPr>
                <w:sz w:val="18"/>
                <w:szCs w:val="18"/>
              </w:rPr>
              <w:t>61</w:t>
            </w:r>
          </w:p>
        </w:tc>
        <w:tc>
          <w:tcPr>
            <w:tcW w:w="839" w:type="pct"/>
          </w:tcPr>
          <w:p w14:paraId="37A23B8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Honoré Grauslund et al.,</w:t>
            </w:r>
          </w:p>
          <w:p w14:paraId="65D1A13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2021</w:t>
            </w:r>
          </w:p>
        </w:tc>
        <w:tc>
          <w:tcPr>
            <w:tcW w:w="934" w:type="pct"/>
          </w:tcPr>
          <w:p w14:paraId="3622EDF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researchers noted significant challenges regarding participants limited Danish language proficiency and the absence of professional interpreters, which may have restricted the depth of the qualitative data. However, investigator triangulation (using researchers from different professional backgrounds) was employed to enhance the study's trustworthiness.</w:t>
            </w:r>
          </w:p>
        </w:tc>
        <w:tc>
          <w:tcPr>
            <w:tcW w:w="888" w:type="pct"/>
          </w:tcPr>
          <w:p w14:paraId="7510B40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specifically the three identified “essences”, are strongly supported by verbatim participant quotes and are logically consistent with existing concepts like fear-avoidance behavior and social isolation.</w:t>
            </w:r>
          </w:p>
        </w:tc>
        <w:tc>
          <w:tcPr>
            <w:tcW w:w="958" w:type="pct"/>
          </w:tcPr>
          <w:p w14:paraId="1CD8A9A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3EF1051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While 11 participants provided a sufficient sample for a phenomenological study, the authors acknowledged a lack of rhetorical depth in descriptions due to language barriers. Furthermore, only five of the eleven participants were quoted in the results section, potentially limiting the representativeness of the findings.</w:t>
            </w:r>
          </w:p>
        </w:tc>
        <w:tc>
          <w:tcPr>
            <w:tcW w:w="946" w:type="pct"/>
          </w:tcPr>
          <w:p w14:paraId="3F5C4D1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3075FF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directly applicable to understanding the lived experience of a specific minority group (Turkish immigrants) navigating chronic pain within a Western healthcare system. It offers specific insights into migration-related challenges and cultural nuances in rehabilitation.</w:t>
            </w:r>
          </w:p>
        </w:tc>
      </w:tr>
      <w:tr w:rsidR="0027538E" w:rsidRPr="00732EED" w14:paraId="79EB0B3A"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331DA7E" w14:textId="77777777" w:rsidR="0027538E" w:rsidRPr="00732EED" w:rsidRDefault="0027538E" w:rsidP="0027538E">
            <w:pPr>
              <w:rPr>
                <w:sz w:val="18"/>
                <w:szCs w:val="18"/>
              </w:rPr>
            </w:pPr>
            <w:r w:rsidRPr="00732EED">
              <w:rPr>
                <w:sz w:val="18"/>
                <w:szCs w:val="18"/>
              </w:rPr>
              <w:lastRenderedPageBreak/>
              <w:t>62</w:t>
            </w:r>
          </w:p>
        </w:tc>
        <w:tc>
          <w:tcPr>
            <w:tcW w:w="839" w:type="pct"/>
          </w:tcPr>
          <w:p w14:paraId="5A9802D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Keen et al., 2021</w:t>
            </w:r>
          </w:p>
        </w:tc>
        <w:tc>
          <w:tcPr>
            <w:tcW w:w="934" w:type="pct"/>
          </w:tcPr>
          <w:p w14:paraId="14B0ED4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Low:  </w:t>
            </w:r>
            <w:r w:rsidRPr="00732EED">
              <w:rPr>
                <w:sz w:val="18"/>
                <w:szCs w:val="18"/>
              </w:rPr>
              <w:tab/>
            </w:r>
          </w:p>
          <w:p w14:paraId="628AD4F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employed rigorous qualitative methods, including the Grid Elaboration Method (GEM) and Thematic Analysis (TA). Trustworthiness was established through a reliability test (blind-coding of transcripts) and a detailed reflexive statement acknowledging potential researcher bias. Ethical approval was also documented.</w:t>
            </w:r>
          </w:p>
        </w:tc>
        <w:tc>
          <w:tcPr>
            <w:tcW w:w="888" w:type="pct"/>
          </w:tcPr>
          <w:p w14:paraId="031804D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B7E2CB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regarding the inconsistent and experiential nature of pain models are strongly supported by verbatim participant quotes. The researchers used Social Representations Theory as a clear epistemological lens to explain how participants anchored and objectified their pain experiences.</w:t>
            </w:r>
          </w:p>
        </w:tc>
        <w:tc>
          <w:tcPr>
            <w:tcW w:w="958" w:type="pct"/>
          </w:tcPr>
          <w:p w14:paraId="4285E09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While the data provided rich insights, the authors noted that the sample size of 12 was “sub-optimal for robust TA”. Additionally, the remote interviewing format made it difficult to apply the GEM tool exactly as intended (limiting participants to one word/image per box).</w:t>
            </w:r>
          </w:p>
        </w:tc>
        <w:tc>
          <w:tcPr>
            <w:tcW w:w="946" w:type="pct"/>
          </w:tcPr>
          <w:p w14:paraId="2506D51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22A402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paper is directly relevant to clinical and research questions regarding pain management. It specifically explores how patients' prior conceptualizations of pain interact with Pain Neurophysiology Education (PNE), providing critical insights into why such interventions may lack practical utility for some individuals.</w:t>
            </w:r>
          </w:p>
        </w:tc>
      </w:tr>
      <w:tr w:rsidR="0027538E" w:rsidRPr="00732EED" w14:paraId="4BAAA751" w14:textId="77777777" w:rsidTr="00E46AB8">
        <w:trPr>
          <w:cnfStyle w:val="000000100000" w:firstRow="0" w:lastRow="0" w:firstColumn="0" w:lastColumn="0" w:oddVBand="0" w:evenVBand="0" w:oddHBand="1" w:evenHBand="0" w:firstRowFirstColumn="0" w:firstRowLastColumn="0" w:lastRowFirstColumn="0" w:lastRowLastColumn="0"/>
          <w:trHeight w:val="2735"/>
        </w:trPr>
        <w:tc>
          <w:tcPr>
            <w:cnfStyle w:val="001000000000" w:firstRow="0" w:lastRow="0" w:firstColumn="1" w:lastColumn="0" w:oddVBand="0" w:evenVBand="0" w:oddHBand="0" w:evenHBand="0" w:firstRowFirstColumn="0" w:firstRowLastColumn="0" w:lastRowFirstColumn="0" w:lastRowLastColumn="0"/>
            <w:tcW w:w="436" w:type="pct"/>
          </w:tcPr>
          <w:p w14:paraId="491A96B9" w14:textId="77777777" w:rsidR="0027538E" w:rsidRPr="00732EED" w:rsidRDefault="0027538E" w:rsidP="0027538E">
            <w:pPr>
              <w:rPr>
                <w:sz w:val="18"/>
                <w:szCs w:val="18"/>
              </w:rPr>
            </w:pPr>
            <w:r w:rsidRPr="00732EED">
              <w:rPr>
                <w:sz w:val="18"/>
                <w:szCs w:val="18"/>
              </w:rPr>
              <w:t>63</w:t>
            </w:r>
          </w:p>
        </w:tc>
        <w:tc>
          <w:tcPr>
            <w:tcW w:w="839" w:type="pct"/>
          </w:tcPr>
          <w:p w14:paraId="1C150B5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Stensland</w:t>
            </w:r>
          </w:p>
          <w:p w14:paraId="6E6154D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2021</w:t>
            </w:r>
          </w:p>
        </w:tc>
        <w:tc>
          <w:tcPr>
            <w:tcW w:w="934" w:type="pct"/>
          </w:tcPr>
          <w:p w14:paraId="27015B9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Low: The study followed Van Manen’s Phenomenology of Practice method, utilizing investigator triangulation and member checking (co-interpretation) to ensure rigor. Although the author noted limitations such as a lack of racial diversity and the use of convenience sampling, the study maintained high qualitative standards for transparency and reflexivity.</w:t>
            </w:r>
          </w:p>
        </w:tc>
        <w:tc>
          <w:tcPr>
            <w:tcW w:w="888" w:type="pct"/>
          </w:tcPr>
          <w:p w14:paraId="7A24217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725FD5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consistently and strongly supported by verbatim participant quotes, providing a clear audit trail from the data to the final themes. The sub-themes, such as the “apprehension of medication,” are logically derived from the participants' detailed accounts of their management struggles.</w:t>
            </w:r>
          </w:p>
        </w:tc>
        <w:tc>
          <w:tcPr>
            <w:tcW w:w="958" w:type="pct"/>
          </w:tcPr>
          <w:p w14:paraId="67741A1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researcher conducted 21 in-depth interviews (with two participants interviewed twice) with a median length of 61 minutes, yielding a rich and substantial dataset. The data was deemed sufficient to capture the “essential structure” of the lived experience of managing incurable pain.</w:t>
            </w:r>
          </w:p>
        </w:tc>
        <w:tc>
          <w:tcPr>
            <w:tcW w:w="946" w:type="pct"/>
          </w:tcPr>
          <w:p w14:paraId="6C1AB6E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7E6C89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This study is highly relevant as it addresses a “critical gap in the literature” by focusing specifically on the experiences of older adults with treatment-resistant chronic low back pain. It provides direct and actionable insights for gerontological social work practice and interdisciplinary healthcare.</w:t>
            </w:r>
          </w:p>
        </w:tc>
      </w:tr>
      <w:tr w:rsidR="0027538E" w:rsidRPr="00732EED" w14:paraId="20EC1387" w14:textId="77777777" w:rsidTr="00E46AB8">
        <w:trPr>
          <w:trHeight w:val="2735"/>
        </w:trPr>
        <w:tc>
          <w:tcPr>
            <w:cnfStyle w:val="001000000000" w:firstRow="0" w:lastRow="0" w:firstColumn="1" w:lastColumn="0" w:oddVBand="0" w:evenVBand="0" w:oddHBand="0" w:evenHBand="0" w:firstRowFirstColumn="0" w:firstRowLastColumn="0" w:lastRowFirstColumn="0" w:lastRowLastColumn="0"/>
            <w:tcW w:w="436" w:type="pct"/>
          </w:tcPr>
          <w:p w14:paraId="6CE1B36D" w14:textId="77777777" w:rsidR="0027538E" w:rsidRPr="00732EED" w:rsidRDefault="0027538E" w:rsidP="0027538E">
            <w:pPr>
              <w:rPr>
                <w:sz w:val="18"/>
                <w:szCs w:val="18"/>
              </w:rPr>
            </w:pPr>
            <w:r w:rsidRPr="00732EED">
              <w:rPr>
                <w:sz w:val="18"/>
                <w:szCs w:val="18"/>
              </w:rPr>
              <w:t>64</w:t>
            </w:r>
          </w:p>
        </w:tc>
        <w:tc>
          <w:tcPr>
            <w:tcW w:w="839" w:type="pct"/>
          </w:tcPr>
          <w:p w14:paraId="29AD571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Stensland </w:t>
            </w:r>
          </w:p>
          <w:p w14:paraId="79F3800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2021</w:t>
            </w:r>
          </w:p>
          <w:p w14:paraId="0D843304" w14:textId="086E396E"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t>
            </w:r>
            <w:r w:rsidR="00EC7AE5" w:rsidRPr="00732EED">
              <w:rPr>
                <w:sz w:val="18"/>
                <w:szCs w:val="18"/>
              </w:rPr>
              <w:t>b</w:t>
            </w:r>
            <w:r w:rsidRPr="00732EED">
              <w:rPr>
                <w:sz w:val="18"/>
                <w:szCs w:val="18"/>
              </w:rPr>
              <w:t>)</w:t>
            </w:r>
          </w:p>
        </w:tc>
        <w:tc>
          <w:tcPr>
            <w:tcW w:w="934" w:type="pct"/>
          </w:tcPr>
          <w:p w14:paraId="23A5CE3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 The study utilized Van Manen’s Phenomenology of Practice method and adhered to Lincoln and Guba’s framework for qualitative rigor. The researcher employed investigator triangulation and member checking (co-interpretation with participants) to ensure the findings accurately reflected their lived experiences. While the author noted limitations regarding convenience sampling and a lack of racial diversity, these were transparently discussed as part of the study's design.</w:t>
            </w:r>
          </w:p>
        </w:tc>
        <w:tc>
          <w:tcPr>
            <w:tcW w:w="888" w:type="pct"/>
          </w:tcPr>
          <w:p w14:paraId="2AE5ACF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consistently and strongly supported by verbatim participant quotes, providing a clear link between the raw data and the final themes. The development of themes, such as the battle between helplessness and perseverance, followed a logical, iterative process of interpretation and refinement.</w:t>
            </w:r>
          </w:p>
        </w:tc>
        <w:tc>
          <w:tcPr>
            <w:tcW w:w="958" w:type="pct"/>
          </w:tcPr>
          <w:p w14:paraId="4829390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involved 23 in-depth interviews with 21 participants, with a median interview length of 61 minutes. This provided a rich and substantial dataset that allowed for a deep, "vivid illustration" of the existential and psychological challenges faced by the participants.</w:t>
            </w:r>
          </w:p>
        </w:tc>
        <w:tc>
          <w:tcPr>
            <w:tcW w:w="946" w:type="pct"/>
          </w:tcPr>
          <w:p w14:paraId="707E7FD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FFB25F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paper is highly applicable to the specific context of geriatric healthcare and chronic pain management. It addresses a historical underrepresentation of older adults in pain research and provides direct insights into the psychological features of chronic low back pain, such as helplessness and suicidality, which are critical for clinical practice.</w:t>
            </w:r>
          </w:p>
        </w:tc>
      </w:tr>
      <w:tr w:rsidR="0027538E" w:rsidRPr="00732EED" w14:paraId="48D73BA0" w14:textId="77777777" w:rsidTr="00E46AB8">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436" w:type="pct"/>
          </w:tcPr>
          <w:p w14:paraId="1BB5EE9F" w14:textId="77777777" w:rsidR="0027538E" w:rsidRPr="00732EED" w:rsidRDefault="0027538E" w:rsidP="0027538E">
            <w:pPr>
              <w:rPr>
                <w:sz w:val="18"/>
                <w:szCs w:val="18"/>
              </w:rPr>
            </w:pPr>
            <w:r w:rsidRPr="00732EED">
              <w:rPr>
                <w:sz w:val="18"/>
                <w:szCs w:val="18"/>
              </w:rPr>
              <w:lastRenderedPageBreak/>
              <w:t>65</w:t>
            </w:r>
          </w:p>
        </w:tc>
        <w:tc>
          <w:tcPr>
            <w:tcW w:w="839" w:type="pct"/>
          </w:tcPr>
          <w:p w14:paraId="2D9015A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Toye et al., 2021</w:t>
            </w:r>
          </w:p>
        </w:tc>
        <w:tc>
          <w:tcPr>
            <w:tcW w:w="934" w:type="pct"/>
          </w:tcPr>
          <w:p w14:paraId="0B9BF4AD" w14:textId="4C6D173C"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Low:  The study utilized a rigorous seven-</w:t>
            </w:r>
            <w:r w:rsidR="00B93F1C" w:rsidRPr="00732EED">
              <w:rPr>
                <w:sz w:val="18"/>
                <w:szCs w:val="18"/>
              </w:rPr>
              <w:t>Phase</w:t>
            </w:r>
            <w:r w:rsidRPr="00732EED">
              <w:rPr>
                <w:sz w:val="18"/>
                <w:szCs w:val="18"/>
              </w:rPr>
              <w:t xml:space="preserve"> meta-ethnography approach and adhered to the </w:t>
            </w:r>
            <w:proofErr w:type="spellStart"/>
            <w:r w:rsidRPr="00732EED">
              <w:rPr>
                <w:sz w:val="18"/>
                <w:szCs w:val="18"/>
              </w:rPr>
              <w:t>eMERGe</w:t>
            </w:r>
            <w:proofErr w:type="spellEnd"/>
            <w:r w:rsidRPr="00732EED">
              <w:rPr>
                <w:sz w:val="18"/>
                <w:szCs w:val="18"/>
              </w:rPr>
              <w:t xml:space="preserve"> reporting guidelines. Rigor was maintained through investigator triangulation (three reviewers for analysis) and a formal appraisal process where two reviewers excluded “fatally flawed” primary studies. While the search was limited to a single database (MEDLINE), the authors justified this choice based on its known high yield for qualitative research.</w:t>
            </w:r>
          </w:p>
        </w:tc>
        <w:tc>
          <w:tcPr>
            <w:tcW w:w="888" w:type="pct"/>
          </w:tcPr>
          <w:p w14:paraId="7906431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049F7E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logically integrated into a conceptual model that describes the "healing journey" through an iterative process of constant comparison and abstraction. The results are highly coherent as they specifically build upon and refine an established “mega-ethnography” used as an index paper, ensuring the new findings are grounded in existing literature.</w:t>
            </w:r>
          </w:p>
        </w:tc>
        <w:tc>
          <w:tcPr>
            <w:tcW w:w="958" w:type="pct"/>
          </w:tcPr>
          <w:p w14:paraId="30B7DAF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w:t>
            </w:r>
            <w:r w:rsidRPr="00732EED">
              <w:rPr>
                <w:sz w:val="18"/>
                <w:szCs w:val="18"/>
              </w:rPr>
              <w:tab/>
            </w:r>
          </w:p>
          <w:p w14:paraId="185725B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synthesis is exceptionally comprehensive, drawing from 195 primary reports representing at least 3,589 individuals with chronic pain. The researchers collected data until theoretical saturation was achieved, and the sample provided significant breadth, covering diverse chronic conditions and geographic areas.</w:t>
            </w:r>
          </w:p>
        </w:tc>
        <w:tc>
          <w:tcPr>
            <w:tcW w:w="946" w:type="pct"/>
          </w:tcPr>
          <w:p w14:paraId="624EE7B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81C82E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paper is directly relevant to the understanding of patient recovery, offering a new conceptualization of healing as an ongoing journey rather than a destination. It provides actionable insights for clinical health interventions, such as the importance of validating pain through meaningful explanations and facilitating social reconnection.</w:t>
            </w:r>
          </w:p>
        </w:tc>
      </w:tr>
      <w:tr w:rsidR="0027538E" w:rsidRPr="00732EED" w14:paraId="1B21FB29"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04174331" w14:textId="77777777" w:rsidR="0027538E" w:rsidRPr="00732EED" w:rsidRDefault="0027538E" w:rsidP="0027538E">
            <w:pPr>
              <w:rPr>
                <w:sz w:val="18"/>
                <w:szCs w:val="18"/>
              </w:rPr>
            </w:pPr>
            <w:r w:rsidRPr="00732EED">
              <w:rPr>
                <w:sz w:val="18"/>
                <w:szCs w:val="18"/>
              </w:rPr>
              <w:t>66</w:t>
            </w:r>
          </w:p>
        </w:tc>
        <w:tc>
          <w:tcPr>
            <w:tcW w:w="839" w:type="pct"/>
          </w:tcPr>
          <w:p w14:paraId="0B796F0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Chala et al., </w:t>
            </w:r>
          </w:p>
          <w:p w14:paraId="4CA4B97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2022</w:t>
            </w:r>
          </w:p>
        </w:tc>
        <w:tc>
          <w:tcPr>
            <w:tcW w:w="934" w:type="pct"/>
          </w:tcPr>
          <w:p w14:paraId="666C730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  The study followed a rigorous Interpretative Phenomenological Analysis (IPA) approach and adhered to the COREQ checklist for reporting qualitative research. The researchers utilized investigator triangulation (independent coding by two members) and reflexivity to ensure the findings were grounded in the participants’ accounts. While limited to a single hospital setting, these limitations were transparently acknowledged.</w:t>
            </w:r>
          </w:p>
        </w:tc>
        <w:tc>
          <w:tcPr>
            <w:tcW w:w="888" w:type="pct"/>
          </w:tcPr>
          <w:p w14:paraId="6985E17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027206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five main themes are strongly supported by verbatim participant quotes, providing a clear audit trail from the raw data to the final interpretations. The findings are logically consistent with established psychosocial concepts, such as the “invisibility of pain” and its impact on self-identity, while also accounting for specific Ethiopian cultural nuances.</w:t>
            </w:r>
          </w:p>
        </w:tc>
        <w:tc>
          <w:tcPr>
            <w:tcW w:w="958" w:type="pct"/>
          </w:tcPr>
          <w:p w14:paraId="081282D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included 15 participants, which is considered a robust and appropriate sample size for the in-depth, idiographic nature of IPA. The data collection involved semi-structured interviews lasting up to 71 minutes, and the sample represented a diverse demographic range in terms of age, gender, and education levels.</w:t>
            </w:r>
          </w:p>
        </w:tc>
        <w:tc>
          <w:tcPr>
            <w:tcW w:w="946" w:type="pct"/>
          </w:tcPr>
          <w:p w14:paraId="4931EB7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This paper is highly relevant as it addresses a significant research gap concerning the lived experience of chronic pain in non-Western, developing countries. It provides specific, actionable insights into how collectivist cultural values and religious beliefs (e.g., holy water) influence pain management in Ethiopia. </w:t>
            </w:r>
          </w:p>
        </w:tc>
      </w:tr>
      <w:tr w:rsidR="0027538E" w:rsidRPr="00732EED" w14:paraId="54F66AFB"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01AD14B6" w14:textId="77777777" w:rsidR="0027538E" w:rsidRPr="00732EED" w:rsidRDefault="0027538E" w:rsidP="0027538E">
            <w:pPr>
              <w:rPr>
                <w:sz w:val="18"/>
                <w:szCs w:val="18"/>
              </w:rPr>
            </w:pPr>
            <w:r w:rsidRPr="00732EED">
              <w:rPr>
                <w:sz w:val="18"/>
                <w:szCs w:val="18"/>
              </w:rPr>
              <w:t>67</w:t>
            </w:r>
          </w:p>
        </w:tc>
        <w:tc>
          <w:tcPr>
            <w:tcW w:w="839" w:type="pct"/>
          </w:tcPr>
          <w:p w14:paraId="6800422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732EED">
              <w:rPr>
                <w:sz w:val="18"/>
                <w:szCs w:val="18"/>
              </w:rPr>
              <w:t>Kahere</w:t>
            </w:r>
            <w:proofErr w:type="spellEnd"/>
            <w:r w:rsidRPr="00732EED">
              <w:rPr>
                <w:sz w:val="18"/>
                <w:szCs w:val="18"/>
              </w:rPr>
              <w:t xml:space="preserve"> et al,</w:t>
            </w:r>
          </w:p>
          <w:p w14:paraId="6CF71A0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2022</w:t>
            </w:r>
          </w:p>
        </w:tc>
        <w:tc>
          <w:tcPr>
            <w:tcW w:w="934" w:type="pct"/>
          </w:tcPr>
          <w:p w14:paraId="5EAD738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Low:  The study employed a rigorous descriptive phenomenological design and adhered to the COREQ reporting guidelines. Trustworthiness was enhanced through investigator triangulation (independent coding by two authors using different methods) and member checking, where transcripts were returned to participants for correction. While the authors noted potential recall bias due to self-reporting, the </w:t>
            </w:r>
            <w:r w:rsidRPr="00732EED">
              <w:rPr>
                <w:sz w:val="18"/>
                <w:szCs w:val="18"/>
              </w:rPr>
              <w:lastRenderedPageBreak/>
              <w:t>overall design and conduct were robust.</w:t>
            </w:r>
          </w:p>
        </w:tc>
        <w:tc>
          <w:tcPr>
            <w:tcW w:w="888" w:type="pct"/>
          </w:tcPr>
          <w:p w14:paraId="3F36C44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3315ED9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consistently and strongly supported by verbatim participant quotes throughout the results section. The 13 identified subthemes are logically derived from the data and are congruent with existing literature from high-income countries and other disease contexts in South Africa.</w:t>
            </w:r>
          </w:p>
        </w:tc>
        <w:tc>
          <w:tcPr>
            <w:tcW w:w="958" w:type="pct"/>
          </w:tcPr>
          <w:p w14:paraId="6B49242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researchers conducted 15 in-depth interviews, which exceeded the point of code saturation (identified at 9-10 interviews). Data was collected across five different provincial hospitals to ensure a diverse range of demographic and socioeconomic profiles, providing a rich and “knowledge-rich” dataset.</w:t>
            </w:r>
          </w:p>
        </w:tc>
        <w:tc>
          <w:tcPr>
            <w:tcW w:w="946" w:type="pct"/>
          </w:tcPr>
          <w:p w14:paraId="6FFCEBF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This is the first study in South Africa to explore barriers to healthcare access specifically for chronic low back pain. It is highly relevant to the clinical and policy context of low- and middle-income countries (LMICs), offering specific insights into travel burdens, paper-based referral failures, and cultural beliefs that impact patient care.</w:t>
            </w:r>
          </w:p>
        </w:tc>
      </w:tr>
      <w:tr w:rsidR="0027538E" w:rsidRPr="00732EED" w14:paraId="67C9A134"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0C72F4D5" w14:textId="77777777" w:rsidR="0027538E" w:rsidRPr="00732EED" w:rsidRDefault="0027538E" w:rsidP="0027538E">
            <w:pPr>
              <w:rPr>
                <w:sz w:val="18"/>
                <w:szCs w:val="18"/>
              </w:rPr>
            </w:pPr>
            <w:r w:rsidRPr="00732EED">
              <w:rPr>
                <w:sz w:val="18"/>
                <w:szCs w:val="18"/>
              </w:rPr>
              <w:t>68</w:t>
            </w:r>
          </w:p>
        </w:tc>
        <w:tc>
          <w:tcPr>
            <w:tcW w:w="839" w:type="pct"/>
          </w:tcPr>
          <w:p w14:paraId="3127341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Altun et al.,</w:t>
            </w:r>
          </w:p>
          <w:p w14:paraId="480656B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2023</w:t>
            </w:r>
          </w:p>
        </w:tc>
        <w:tc>
          <w:tcPr>
            <w:tcW w:w="934" w:type="pct"/>
          </w:tcPr>
          <w:p w14:paraId="36393D5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employed a standard phenomenological approach and emphasized researcher reflexivity. However, the authors acknowledged several limitations, including a small sample size, potential social desirability bias, and the use of family members as interpreters, which may have influenced the depth or authenticity of the participants' disclosures.</w:t>
            </w:r>
          </w:p>
        </w:tc>
        <w:tc>
          <w:tcPr>
            <w:tcW w:w="888" w:type="pct"/>
          </w:tcPr>
          <w:p w14:paraId="4CF3E9E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five major themes identified are strongly and consistently supported by verbatim participant quotes. Furthermore, the findings are logically aligned with Levesque’s Patient-centered Access to Health care framework.</w:t>
            </w:r>
          </w:p>
        </w:tc>
        <w:tc>
          <w:tcPr>
            <w:tcW w:w="958" w:type="pct"/>
          </w:tcPr>
          <w:p w14:paraId="446244C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While the interviews were in-depth (lasting 45-90 minutes) and the researchers reported reaching data saturation, the sample size was small (n=10). Additionally, the authors noted that conversations were sometimes fragmented due to the use of interpreters, which may have limited the richness of the data. </w:t>
            </w:r>
          </w:p>
        </w:tc>
        <w:tc>
          <w:tcPr>
            <w:tcW w:w="946" w:type="pct"/>
          </w:tcPr>
          <w:p w14:paraId="08F6313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paper is directly applicable to the context of health equity and chronic pain management for marginalized populations. It provides specific, unique insights into how cultural values, gender roles, and refugee status intersect to shape healthcare access for Assyrian women.</w:t>
            </w:r>
          </w:p>
        </w:tc>
      </w:tr>
      <w:tr w:rsidR="0027538E" w:rsidRPr="00732EED" w14:paraId="600FC30A"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3D3A2C85" w14:textId="77777777" w:rsidR="0027538E" w:rsidRPr="00732EED" w:rsidRDefault="0027538E" w:rsidP="0027538E">
            <w:pPr>
              <w:rPr>
                <w:sz w:val="18"/>
                <w:szCs w:val="18"/>
              </w:rPr>
            </w:pPr>
            <w:r w:rsidRPr="00732EED">
              <w:rPr>
                <w:sz w:val="18"/>
                <w:szCs w:val="18"/>
              </w:rPr>
              <w:t>69</w:t>
            </w:r>
          </w:p>
        </w:tc>
        <w:tc>
          <w:tcPr>
            <w:tcW w:w="839" w:type="pct"/>
          </w:tcPr>
          <w:p w14:paraId="7BCAC1F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Joyce et al., 2023</w:t>
            </w:r>
          </w:p>
        </w:tc>
        <w:tc>
          <w:tcPr>
            <w:tcW w:w="934" w:type="pct"/>
          </w:tcPr>
          <w:p w14:paraId="2C80A7F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utilized an interpretive description design and followed SRQR reporting guidelines. However, the authors acknowledged a significant response bias, noting that participants willing to be interviewed were more likely to have had a positive experience. Additionally, the use of a convenience sample of only 12 out of 102 potential participants was cited as a limitation.</w:t>
            </w:r>
          </w:p>
        </w:tc>
        <w:tc>
          <w:tcPr>
            <w:tcW w:w="888" w:type="pct"/>
          </w:tcPr>
          <w:p w14:paraId="5EB8198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The findings are logically and theoretically coherent, particularly the use of Bandura’s self-efficacy model to deductively code and explain the theme of empowerment. Themes are consistently supported by verbatim participant quotes, and the qualitative findings were corroborated by descriptive quantitative data from the parent RCT. </w:t>
            </w:r>
          </w:p>
        </w:tc>
        <w:tc>
          <w:tcPr>
            <w:tcW w:w="958" w:type="pct"/>
          </w:tcPr>
          <w:p w14:paraId="57B81A5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While the researchers conducted in-depth, verbatim-transcribed interviews (30-60 minutes) and utilized investigator triangulation, they admitted that the sample size of 12 was a “low representation” of the overall trial population. This limited size may not have captured the full breadth of experiences, especially those of participants who did not improve.</w:t>
            </w:r>
          </w:p>
        </w:tc>
        <w:tc>
          <w:tcPr>
            <w:tcW w:w="946" w:type="pct"/>
          </w:tcPr>
          <w:p w14:paraId="4CD88F8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B07A9F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This paper is highly relevant as it specifically addresses a “paucity of research” regarding how underserved, low-income, and minority populations experience physical therapy. It provides critical, actionable insights into overcoming systemic distrust and health disparities in chronic pain management.</w:t>
            </w:r>
          </w:p>
        </w:tc>
      </w:tr>
      <w:tr w:rsidR="0027538E" w:rsidRPr="00732EED" w14:paraId="77CD6E43"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57BA48D3" w14:textId="77777777" w:rsidR="0027538E" w:rsidRPr="00732EED" w:rsidRDefault="0027538E" w:rsidP="0027538E">
            <w:pPr>
              <w:rPr>
                <w:sz w:val="18"/>
                <w:szCs w:val="18"/>
              </w:rPr>
            </w:pPr>
            <w:r w:rsidRPr="00732EED">
              <w:rPr>
                <w:sz w:val="18"/>
                <w:szCs w:val="18"/>
              </w:rPr>
              <w:t>70</w:t>
            </w:r>
          </w:p>
        </w:tc>
        <w:tc>
          <w:tcPr>
            <w:tcW w:w="839" w:type="pct"/>
          </w:tcPr>
          <w:p w14:paraId="2088999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Peppard et al.,</w:t>
            </w:r>
          </w:p>
          <w:p w14:paraId="33795F5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2023</w:t>
            </w:r>
          </w:p>
        </w:tc>
        <w:tc>
          <w:tcPr>
            <w:tcW w:w="934" w:type="pct"/>
          </w:tcPr>
          <w:p w14:paraId="524B87D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  The study followed a rigorous qualitative design using van Manen’s phenomenological approach and a six-step methodological framework for thematic analysis. Trustworthiness was supported by verbatim transcription verification, the use of NVivo software for data management, and researcher reflexivity, as the lead author was a female Navy nurse. Minor limitations like internet instability during Zoom interviews were transparently acknowledged.</w:t>
            </w:r>
          </w:p>
        </w:tc>
        <w:tc>
          <w:tcPr>
            <w:tcW w:w="888" w:type="pct"/>
          </w:tcPr>
          <w:p w14:paraId="36A7FB6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564A19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strongly and consistently supported by verbatim participant quotes for each of the eight identified themes. There is a logical and clear connection between the raw interview data and the final interpretations, and the results are noted to be consistent with previous research on musculoskeletal conditions and military sexual trauma (MST).</w:t>
            </w:r>
          </w:p>
        </w:tc>
        <w:tc>
          <w:tcPr>
            <w:tcW w:w="958" w:type="pct"/>
          </w:tcPr>
          <w:p w14:paraId="6099064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992065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researcher conducted 13 in-depth interviews and explicitly stated that data saturation was achieved. The sample was highly diverse, representing all major military branches (Army, Navy, Air Force, Marine Corps), various ranks (enlisted and officer), and a wide range of racial and ethnic backgrounds.</w:t>
            </w:r>
          </w:p>
        </w:tc>
        <w:tc>
          <w:tcPr>
            <w:tcW w:w="946" w:type="pct"/>
          </w:tcPr>
          <w:p w14:paraId="220A14D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exceptionally relevant to the context of military medicine and women's health, specifically addressing a documented “paucity of research” regarding the daily lived experiences of military women. The findings provide direct insights into Force Health Protection, clinical nursing practice, and gender-specific healthcare needs.</w:t>
            </w:r>
          </w:p>
        </w:tc>
      </w:tr>
      <w:tr w:rsidR="0027538E" w:rsidRPr="00732EED" w14:paraId="352F6776"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F0C0677" w14:textId="77777777" w:rsidR="0027538E" w:rsidRPr="00732EED" w:rsidRDefault="0027538E" w:rsidP="0027538E">
            <w:pPr>
              <w:rPr>
                <w:sz w:val="18"/>
                <w:szCs w:val="18"/>
              </w:rPr>
            </w:pPr>
            <w:r w:rsidRPr="00732EED">
              <w:rPr>
                <w:sz w:val="18"/>
                <w:szCs w:val="18"/>
              </w:rPr>
              <w:lastRenderedPageBreak/>
              <w:t>71</w:t>
            </w:r>
          </w:p>
        </w:tc>
        <w:tc>
          <w:tcPr>
            <w:tcW w:w="839" w:type="pct"/>
          </w:tcPr>
          <w:p w14:paraId="2B60BC1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Sun et al. 2023</w:t>
            </w:r>
          </w:p>
        </w:tc>
        <w:tc>
          <w:tcPr>
            <w:tcW w:w="934" w:type="pct"/>
          </w:tcPr>
          <w:p w14:paraId="391D061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29806A1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review followed rigorous protocols, including the PRISMA recommendations and the CASP qualitative appraisal tool. However, the authors noted that 15 of the 17 included studies were of moderate quality (only two were high), and the exclusion of non-English literature introduced a potential language bias.</w:t>
            </w:r>
          </w:p>
        </w:tc>
        <w:tc>
          <w:tcPr>
            <w:tcW w:w="888" w:type="pct"/>
          </w:tcPr>
          <w:p w14:paraId="3E73C3B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consistently supported across multiple perspectives (patients, caregivers, and providers) and are mapped to three clear, logically derived themes: resilience, interpersonal connections, and the care supply chain. The results also resonate with broader international literature regarding the gains and losses of care transitions.</w:t>
            </w:r>
          </w:p>
        </w:tc>
        <w:tc>
          <w:tcPr>
            <w:tcW w:w="958" w:type="pct"/>
          </w:tcPr>
          <w:p w14:paraId="7A28DE0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review synthesized 17 studies from nine different countries, providing a broad geographical and cultural range. However, the authors identified a “weakness in the existing literature” regarding the perspectives of healthcare providers and transition nurses, as only three of the included studies explored these specific viewpoints.</w:t>
            </w:r>
          </w:p>
        </w:tc>
        <w:tc>
          <w:tcPr>
            <w:tcW w:w="946" w:type="pct"/>
          </w:tcPr>
          <w:p w14:paraId="0CDAD7D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296FB3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This paper is highly relevant to the context of geriatric chronic disease management. It specifically addresses the “triadic process” of transition involving patients, families, and professionals, and focuses on the high-risk period of hospital-to-home discharge for an aging population with multimorbidity.</w:t>
            </w:r>
          </w:p>
        </w:tc>
      </w:tr>
      <w:tr w:rsidR="0027538E" w:rsidRPr="00732EED" w14:paraId="1A382EDD"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6A0D97A" w14:textId="77777777" w:rsidR="0027538E" w:rsidRPr="00732EED" w:rsidRDefault="0027538E" w:rsidP="0027538E">
            <w:pPr>
              <w:rPr>
                <w:sz w:val="18"/>
                <w:szCs w:val="18"/>
              </w:rPr>
            </w:pPr>
            <w:r w:rsidRPr="00732EED">
              <w:rPr>
                <w:sz w:val="18"/>
                <w:szCs w:val="18"/>
              </w:rPr>
              <w:t>72</w:t>
            </w:r>
          </w:p>
        </w:tc>
        <w:tc>
          <w:tcPr>
            <w:tcW w:w="839" w:type="pct"/>
          </w:tcPr>
          <w:p w14:paraId="13C425B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van Rysewyk et al., 2023</w:t>
            </w:r>
          </w:p>
        </w:tc>
        <w:tc>
          <w:tcPr>
            <w:tcW w:w="934" w:type="pct"/>
          </w:tcPr>
          <w:p w14:paraId="66E6C141" w14:textId="64446D06"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Low:   The study employed a rigorous mega-ethnography approach, following the established seven </w:t>
            </w:r>
            <w:r w:rsidR="00B93F1C" w:rsidRPr="00732EED">
              <w:rPr>
                <w:sz w:val="18"/>
                <w:szCs w:val="18"/>
              </w:rPr>
              <w:t>Phase</w:t>
            </w:r>
            <w:r w:rsidRPr="00732EED">
              <w:rPr>
                <w:sz w:val="18"/>
                <w:szCs w:val="18"/>
              </w:rPr>
              <w:t>s of meta-ethnography. It featured a comprehensive search of six databases and maintained high transparency through multidisciplinary steering committee oversight and Patient and Public Involvement (PPIE) throughout the design and analysis. While no official reporting guidelines exist for this specific review type, the authors followed systematic protocols and addressed potential language bias.</w:t>
            </w:r>
          </w:p>
        </w:tc>
        <w:tc>
          <w:tcPr>
            <w:tcW w:w="888" w:type="pct"/>
          </w:tcPr>
          <w:p w14:paraId="3D90BF2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eight identified themes were consistently supported across the 20 included Qualitative Evidence Syntheses (QES). These findings were further validated by a survey of 1,219 people, which showed strong or very strong agreement with the themes. Additionally, the results are highly consistent with previous meta-ethnographies in the field.</w:t>
            </w:r>
          </w:p>
        </w:tc>
        <w:tc>
          <w:tcPr>
            <w:tcW w:w="958" w:type="pct"/>
          </w:tcPr>
          <w:p w14:paraId="7502A55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review synthesized 20 high-level QES, which collectively represent more than 300 primary qualitative studies. This vast amount of qualitative data was supplemented by a large-scale survey, ensuring the findings are grounded in both a high quantity and a significant richness of evidence regarding the lived experience of pain.</w:t>
            </w:r>
          </w:p>
        </w:tc>
        <w:tc>
          <w:tcPr>
            <w:tcW w:w="946" w:type="pct"/>
          </w:tcPr>
          <w:p w14:paraId="018D065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directly relevant to the clinical and social understanding of chronic non-cancer pain (CNCP). It specifically addresses the “blind spot” in pain management by focusing on the meaning and impact of pain on everyday life, providing a validated summary that is highly applicable to health policy and practice.</w:t>
            </w:r>
          </w:p>
        </w:tc>
      </w:tr>
      <w:tr w:rsidR="0027538E" w:rsidRPr="00732EED" w14:paraId="6179238E"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786A9B2A" w14:textId="77777777" w:rsidR="0027538E" w:rsidRPr="00732EED" w:rsidRDefault="0027538E" w:rsidP="0027538E">
            <w:pPr>
              <w:rPr>
                <w:sz w:val="18"/>
                <w:szCs w:val="18"/>
              </w:rPr>
            </w:pPr>
            <w:r w:rsidRPr="00732EED">
              <w:rPr>
                <w:sz w:val="18"/>
                <w:szCs w:val="18"/>
              </w:rPr>
              <w:t>73</w:t>
            </w:r>
          </w:p>
        </w:tc>
        <w:tc>
          <w:tcPr>
            <w:tcW w:w="839" w:type="pct"/>
          </w:tcPr>
          <w:p w14:paraId="2CCF9F8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Albán-Reyes et al.,</w:t>
            </w:r>
          </w:p>
          <w:p w14:paraId="342779E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2024</w:t>
            </w:r>
          </w:p>
        </w:tc>
        <w:tc>
          <w:tcPr>
            <w:tcW w:w="934" w:type="pct"/>
          </w:tcPr>
          <w:p w14:paraId="697D2CF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study followed a robust phenomenological design and adhered to the COREQ 32-item checklist for qualitative research. It utilized expert-validated interview guides and a standardized questionnaire (CAD) with high internal consistency. However, the researchers noted that the CAD was not specifically validated for ballet dancers in Colombia, and the small sample size (n=17) from a single company may limit the generalizability of the findings.</w:t>
            </w:r>
          </w:p>
        </w:tc>
        <w:tc>
          <w:tcPr>
            <w:tcW w:w="888" w:type="pct"/>
          </w:tcPr>
          <w:p w14:paraId="0232346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the underlying data, with a clear link between the participants' interview responses and the quantitative results of the CAD. Furthermore, the study's findings regarding the prevalence and types of injuries are consistent with existing international literature on ballet professionals.</w:t>
            </w:r>
          </w:p>
        </w:tc>
        <w:tc>
          <w:tcPr>
            <w:tcW w:w="958" w:type="pct"/>
          </w:tcPr>
          <w:p w14:paraId="5B1224B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researchers achieved data saturation within the targeted population. The data collected is rich and detailed, derived from in-depth interviews averaging 59 minutes each, as well as a 31-item questionnaire that allowed for a comprehensive characterization of coping behaviors.</w:t>
            </w:r>
          </w:p>
        </w:tc>
        <w:tc>
          <w:tcPr>
            <w:tcW w:w="946" w:type="pct"/>
          </w:tcPr>
          <w:p w14:paraId="6218837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applicable to the context of managing chronic pain in professional dance. It specifically addresses the biopsychosocial factors and professional pressures unique to ballet dancers, such as the “ideal of perfection” and the “fear of being expelled,” making the findings highly relevant to the review question.</w:t>
            </w:r>
          </w:p>
        </w:tc>
      </w:tr>
      <w:tr w:rsidR="0027538E" w:rsidRPr="00732EED" w14:paraId="49FA0598"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F55F3EC" w14:textId="77777777" w:rsidR="0027538E" w:rsidRPr="00732EED" w:rsidRDefault="0027538E" w:rsidP="0027538E">
            <w:pPr>
              <w:rPr>
                <w:sz w:val="18"/>
                <w:szCs w:val="18"/>
              </w:rPr>
            </w:pPr>
            <w:r w:rsidRPr="00732EED">
              <w:rPr>
                <w:sz w:val="18"/>
                <w:szCs w:val="18"/>
              </w:rPr>
              <w:lastRenderedPageBreak/>
              <w:t>74</w:t>
            </w:r>
          </w:p>
        </w:tc>
        <w:tc>
          <w:tcPr>
            <w:tcW w:w="839" w:type="pct"/>
          </w:tcPr>
          <w:p w14:paraId="1F7B8FC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Bruger et al.,</w:t>
            </w:r>
          </w:p>
          <w:p w14:paraId="6248C16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2024</w:t>
            </w:r>
          </w:p>
        </w:tc>
        <w:tc>
          <w:tcPr>
            <w:tcW w:w="934" w:type="pct"/>
          </w:tcPr>
          <w:p w14:paraId="1C30780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A790500" w14:textId="6469140F"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employed Interpretative Phenomenological Analysis (IPA), which is highly suited for exploring lived experiences. The researchers followed Yardley’s guidelines for methodological </w:t>
            </w:r>
            <w:r w:rsidR="00EC7AE5" w:rsidRPr="00732EED">
              <w:rPr>
                <w:sz w:val="18"/>
                <w:szCs w:val="18"/>
              </w:rPr>
              <w:t>rigor</w:t>
            </w:r>
            <w:r w:rsidRPr="00732EED">
              <w:rPr>
                <w:sz w:val="18"/>
                <w:szCs w:val="18"/>
              </w:rPr>
              <w:t>, utilized a reflective diary to address personal reflexivity, and conducted team triangulation to prevent analytic bias. Additionally, materials were reviewed by a Patient and Public Involvement (PPI) volunteer with a brain injury to ensure appropriateness.</w:t>
            </w:r>
          </w:p>
        </w:tc>
        <w:tc>
          <w:tcPr>
            <w:tcW w:w="888" w:type="pct"/>
          </w:tcPr>
          <w:p w14:paraId="5FC198C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10F0AF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strongly supported by rich, idiographic data, with themes directly grounded in extensive participant quotes</w:t>
            </w:r>
          </w:p>
          <w:p w14:paraId="5923BB0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Furthermore, the study’s results regarding the “solitude” and “invisibility” of pain are highly consistent with existing international literature, such as studies from Sweden on post-stroke pain experiences.</w:t>
            </w:r>
          </w:p>
        </w:tc>
        <w:tc>
          <w:tcPr>
            <w:tcW w:w="958" w:type="pct"/>
          </w:tcPr>
          <w:p w14:paraId="4ACB08E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study provides rich, detailed, and high-quality data from semi-structured interviews averaging 55 minutes each. However, the sample size is small (n=8), which, while standard for the idiographic depth required by IPA, represents a limited quantity of data compared to other qualitative approaches.</w:t>
            </w:r>
          </w:p>
        </w:tc>
        <w:tc>
          <w:tcPr>
            <w:tcW w:w="946" w:type="pct"/>
          </w:tcPr>
          <w:p w14:paraId="6A22894C" w14:textId="0D318A4C"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specifically targets the unique socioeconomic and psychosocial context of working-age adults (aged 18-64) in the UK. It addresses a significant research gap, as this population faces different life-</w:t>
            </w:r>
            <w:r w:rsidR="00B93F1C" w:rsidRPr="00732EED">
              <w:rPr>
                <w:sz w:val="18"/>
                <w:szCs w:val="18"/>
              </w:rPr>
              <w:t>Phase</w:t>
            </w:r>
            <w:r w:rsidRPr="00732EED">
              <w:rPr>
                <w:sz w:val="18"/>
                <w:szCs w:val="18"/>
              </w:rPr>
              <w:t xml:space="preserve"> challenges compared to older stroke survivors, making the findings highly relevant to understanding the specific burden of chronic post-stroke pain.</w:t>
            </w:r>
          </w:p>
        </w:tc>
      </w:tr>
      <w:tr w:rsidR="0027538E" w:rsidRPr="00732EED" w14:paraId="53D6A4BA"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7B58205" w14:textId="77777777" w:rsidR="0027538E" w:rsidRPr="00732EED" w:rsidRDefault="0027538E" w:rsidP="0027538E">
            <w:pPr>
              <w:rPr>
                <w:sz w:val="18"/>
                <w:szCs w:val="18"/>
              </w:rPr>
            </w:pPr>
            <w:r w:rsidRPr="00732EED">
              <w:rPr>
                <w:sz w:val="18"/>
                <w:szCs w:val="18"/>
              </w:rPr>
              <w:t>75</w:t>
            </w:r>
          </w:p>
        </w:tc>
        <w:tc>
          <w:tcPr>
            <w:tcW w:w="839" w:type="pct"/>
          </w:tcPr>
          <w:p w14:paraId="2949BF9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Bullo et al.,</w:t>
            </w:r>
          </w:p>
          <w:p w14:paraId="0D47485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2024</w:t>
            </w:r>
          </w:p>
        </w:tc>
        <w:tc>
          <w:tcPr>
            <w:tcW w:w="934" w:type="pct"/>
          </w:tcPr>
          <w:p w14:paraId="02AFE91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18DA78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utilized a rigorous multimodal research design, combining Interpretative Phenomenological Analysis (IPA) with conceptual metaphor and metonymy analysis. The authors addressed trustworthiness through specific strategies for credibility, transferability, and confirmability, including team triangulation and building rapport to ensure participant honesty.</w:t>
            </w:r>
          </w:p>
        </w:tc>
        <w:tc>
          <w:tcPr>
            <w:tcW w:w="888" w:type="pct"/>
          </w:tcPr>
          <w:p w14:paraId="22613BF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746539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strongly supported by the primary data, with the overarching theme of “Pain as Physical Violence” emerging consistently from both the visual artefacts and the accompanying verbal transcripts</w:t>
            </w:r>
          </w:p>
          <w:p w14:paraId="3002828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Furthermore, the results align with existing international literature regarding the metaphorical description of endometriosis pain.</w:t>
            </w:r>
          </w:p>
        </w:tc>
        <w:tc>
          <w:tcPr>
            <w:tcW w:w="958" w:type="pct"/>
          </w:tcPr>
          <w:p w14:paraId="6B57573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collected is rich and high-quality, capturing multiple sensory registers through 90-minute focus groups and 26 unique participant-generated artefacts. However, the sample size is small (n=10), which, while appropriate for the idiographic depth of IPA, represents a limited quantity of data for broader generalization.</w:t>
            </w:r>
          </w:p>
        </w:tc>
        <w:tc>
          <w:tcPr>
            <w:tcW w:w="946" w:type="pct"/>
          </w:tcPr>
          <w:p w14:paraId="10BA3D8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relevant to the context of chronic pain management, as it specifically addresses the "invisible" and elusive nature of endometriosis pain. The findings offer direct clinical implications for improving patient-professional communication and reducing diagnosis delays through visual cues.</w:t>
            </w:r>
          </w:p>
        </w:tc>
      </w:tr>
      <w:tr w:rsidR="0027538E" w:rsidRPr="00732EED" w14:paraId="5094152F"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6C7A611D" w14:textId="77777777" w:rsidR="0027538E" w:rsidRPr="00732EED" w:rsidRDefault="0027538E" w:rsidP="0027538E">
            <w:pPr>
              <w:rPr>
                <w:sz w:val="18"/>
                <w:szCs w:val="18"/>
              </w:rPr>
            </w:pPr>
            <w:r w:rsidRPr="00732EED">
              <w:rPr>
                <w:sz w:val="18"/>
                <w:szCs w:val="18"/>
              </w:rPr>
              <w:t>76</w:t>
            </w:r>
          </w:p>
        </w:tc>
        <w:tc>
          <w:tcPr>
            <w:tcW w:w="839" w:type="pct"/>
          </w:tcPr>
          <w:p w14:paraId="2DEC84C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Gaber et al., 2024</w:t>
            </w:r>
          </w:p>
        </w:tc>
        <w:tc>
          <w:tcPr>
            <w:tcW w:w="934" w:type="pct"/>
          </w:tcPr>
          <w:p w14:paraId="65AFA2A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DFF0BD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researchers followed a rigorous meta-ethnography process based on the </w:t>
            </w:r>
            <w:proofErr w:type="spellStart"/>
            <w:r w:rsidRPr="00732EED">
              <w:rPr>
                <w:sz w:val="18"/>
                <w:szCs w:val="18"/>
              </w:rPr>
              <w:t>eMERGe</w:t>
            </w:r>
            <w:proofErr w:type="spellEnd"/>
            <w:r w:rsidRPr="00732EED">
              <w:rPr>
                <w:sz w:val="18"/>
                <w:szCs w:val="18"/>
              </w:rPr>
              <w:t xml:space="preserve"> guidelines and Noblit and Hare (1988). The study was registered with PROSPERO, utilized independent screening by two authors with a third for consensus, and applied the CASP checklist for quality appraisal of included studies.</w:t>
            </w:r>
          </w:p>
        </w:tc>
        <w:tc>
          <w:tcPr>
            <w:tcW w:w="888" w:type="pct"/>
          </w:tcPr>
          <w:p w14:paraId="5C766C5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627C7C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organized into a clear conceptual model with five identified themes that emerged from a synthesis of diverse qualitative studies</w:t>
            </w:r>
          </w:p>
          <w:p w14:paraId="7F29277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This framework provides consistent recommendations across different types of participatory research.</w:t>
            </w:r>
          </w:p>
          <w:p w14:paraId="68DCD7B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c>
          <w:tcPr>
            <w:tcW w:w="958" w:type="pct"/>
          </w:tcPr>
          <w:p w14:paraId="7B4BE07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synthesis includes data from approximately 153 residents and 99 staff across seven countries. However, it is limited by a small sample of only 10 included articles and insufficient reporting of primary participants' age, gender, or ethnicity in the source studies.</w:t>
            </w:r>
          </w:p>
        </w:tc>
        <w:tc>
          <w:tcPr>
            <w:tcW w:w="946" w:type="pct"/>
          </w:tcPr>
          <w:p w14:paraId="28EE36E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applicable to the specific context of long-term care facilities. It directly addresses an under-explored area, participatory research approaches in nursing homes and residential care, to provide specific recommendations for improving the quality of life and care for older adults.</w:t>
            </w:r>
          </w:p>
          <w:p w14:paraId="55BD0C7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r>
      <w:tr w:rsidR="0027538E" w:rsidRPr="00732EED" w14:paraId="0CA1DB0D"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BFD91C0" w14:textId="77777777" w:rsidR="0027538E" w:rsidRPr="00732EED" w:rsidRDefault="0027538E" w:rsidP="0027538E">
            <w:pPr>
              <w:rPr>
                <w:sz w:val="18"/>
                <w:szCs w:val="18"/>
              </w:rPr>
            </w:pPr>
            <w:r w:rsidRPr="00732EED">
              <w:rPr>
                <w:sz w:val="18"/>
                <w:szCs w:val="18"/>
              </w:rPr>
              <w:lastRenderedPageBreak/>
              <w:t>77</w:t>
            </w:r>
          </w:p>
        </w:tc>
        <w:tc>
          <w:tcPr>
            <w:tcW w:w="839" w:type="pct"/>
          </w:tcPr>
          <w:p w14:paraId="29CD5F3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Lilja et al.,</w:t>
            </w:r>
          </w:p>
          <w:p w14:paraId="46CBCE5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2024</w:t>
            </w:r>
          </w:p>
        </w:tc>
        <w:tc>
          <w:tcPr>
            <w:tcW w:w="934" w:type="pct"/>
          </w:tcPr>
          <w:p w14:paraId="13B7293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utilized a rigorous phenomenological hermeneutic approach and adhered to the Standards for Reporting Qualitative Research (SRQR). Trustworthiness was strengthened through team triangulation, the inclusion of a patient representative in the analysis, and the documentation of the lead researcher's preunderstandings to address reflexivity.</w:t>
            </w:r>
          </w:p>
        </w:tc>
        <w:tc>
          <w:tcPr>
            <w:tcW w:w="888" w:type="pct"/>
          </w:tcPr>
          <w:p w14:paraId="74B4B50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39211D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There is a clear and logical link between the raw interview narratives, the condensed meaning units, and the final metaphorical interpretation of “MVP vs. passing the ball”</w:t>
            </w:r>
          </w:p>
          <w:p w14:paraId="25C3D48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The findings are also consistent with existing international literature regarding the desire of patients to be recognized as individuals rather than just their condition.</w:t>
            </w:r>
          </w:p>
        </w:tc>
        <w:tc>
          <w:tcPr>
            <w:tcW w:w="958" w:type="pct"/>
          </w:tcPr>
          <w:p w14:paraId="64BC197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is exceptionally rich and high-quality, with in-depth interviews averaging 77 minutes each. However, the sample size is small (n=10) and lacks demographic diversity, as most participants were female, born in Sweden, and had post-high school education, which may limit the breadth of the findings.</w:t>
            </w:r>
          </w:p>
        </w:tc>
        <w:tc>
          <w:tcPr>
            <w:tcW w:w="946" w:type="pct"/>
          </w:tcPr>
          <w:p w14:paraId="1F2940A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relevant to the context of chronic pain management, as it specifically elucidates the meaning of support from both social networks and the healthcare sector. The findings provide direct insights for person-centered care and clinical practice.</w:t>
            </w:r>
          </w:p>
        </w:tc>
      </w:tr>
      <w:tr w:rsidR="0027538E" w:rsidRPr="00732EED" w14:paraId="246D83F5"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85D44C9" w14:textId="77777777" w:rsidR="0027538E" w:rsidRPr="00732EED" w:rsidRDefault="0027538E" w:rsidP="0027538E">
            <w:pPr>
              <w:rPr>
                <w:sz w:val="18"/>
                <w:szCs w:val="18"/>
              </w:rPr>
            </w:pPr>
            <w:r w:rsidRPr="00732EED">
              <w:rPr>
                <w:sz w:val="18"/>
                <w:szCs w:val="18"/>
              </w:rPr>
              <w:t>78</w:t>
            </w:r>
          </w:p>
        </w:tc>
        <w:tc>
          <w:tcPr>
            <w:tcW w:w="839" w:type="pct"/>
          </w:tcPr>
          <w:p w14:paraId="6D249C4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 Monaco et al., 2024</w:t>
            </w:r>
          </w:p>
        </w:tc>
        <w:tc>
          <w:tcPr>
            <w:tcW w:w="934" w:type="pct"/>
          </w:tcPr>
          <w:p w14:paraId="308D022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2C9947D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followed a rigorous phenomenological approach using Colaizzi's method for analysis. </w:t>
            </w:r>
            <w:proofErr w:type="spellStart"/>
            <w:r w:rsidRPr="00732EED">
              <w:rPr>
                <w:sz w:val="18"/>
                <w:szCs w:val="18"/>
              </w:rPr>
              <w:t>Rigour</w:t>
            </w:r>
            <w:proofErr w:type="spellEnd"/>
            <w:r w:rsidRPr="00732EED">
              <w:rPr>
                <w:sz w:val="18"/>
                <w:szCs w:val="18"/>
              </w:rPr>
              <w:t xml:space="preserve"> was ensured through Lincoln and Guba's criteria, adherence to COREQ guidelines, independent coding by two researchers, and member checking to confirm that participants agreed with the findings. The researcher also addressed reflexivity by documenting personal preconceptions in a notebook.</w:t>
            </w:r>
          </w:p>
        </w:tc>
        <w:tc>
          <w:tcPr>
            <w:tcW w:w="888" w:type="pct"/>
          </w:tcPr>
          <w:p w14:paraId="0F661EF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BBE6FA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five identified themes are strongly supported by rich, verbatim participant quotes provided throughout the results section</w:t>
            </w:r>
          </w:p>
          <w:p w14:paraId="33CE1A8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The findings, such as the association between trauma and FMS onset and the prevalence of sexual dysfunction, are consistent with existing international literature and established clinical observations.</w:t>
            </w:r>
          </w:p>
        </w:tc>
        <w:tc>
          <w:tcPr>
            <w:tcW w:w="958" w:type="pct"/>
          </w:tcPr>
          <w:p w14:paraId="04DD9EF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The data is detailed and high-quality, derived from face-to-face interviews lasting between 40 and 90 minutes. While the researchers achieved data saturation, the sample size is small (n=10) and limited to a specific geographic location (Palermo, Italy), which may limit the breadth of perspectives compared to larger-scale studies.</w:t>
            </w:r>
          </w:p>
        </w:tc>
        <w:tc>
          <w:tcPr>
            <w:tcW w:w="946" w:type="pct"/>
          </w:tcPr>
          <w:p w14:paraId="45283A5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The study is highly relevant to the context of chronic pain and family life, as it specifically explores the under-studied lived experience of mothers with fibromyalgia. It provides direct insights into the impact of pain on maternal roles and sexual health, which are critical for developing comprehensive, interprofessional care programs. </w:t>
            </w:r>
          </w:p>
          <w:p w14:paraId="3353799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r>
      <w:tr w:rsidR="0027538E" w:rsidRPr="00732EED" w14:paraId="65FACDDB"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86C1484" w14:textId="77777777" w:rsidR="0027538E" w:rsidRPr="00732EED" w:rsidRDefault="0027538E" w:rsidP="0027538E">
            <w:pPr>
              <w:rPr>
                <w:sz w:val="18"/>
                <w:szCs w:val="18"/>
              </w:rPr>
            </w:pPr>
            <w:r w:rsidRPr="00732EED">
              <w:rPr>
                <w:sz w:val="18"/>
                <w:szCs w:val="18"/>
              </w:rPr>
              <w:t>79</w:t>
            </w:r>
          </w:p>
        </w:tc>
        <w:tc>
          <w:tcPr>
            <w:tcW w:w="839" w:type="pct"/>
          </w:tcPr>
          <w:p w14:paraId="055BBC8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Lundin et al., 2024</w:t>
            </w:r>
          </w:p>
        </w:tc>
        <w:tc>
          <w:tcPr>
            <w:tcW w:w="934" w:type="pct"/>
          </w:tcPr>
          <w:p w14:paraId="2B5B95A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7389EE8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employed a rigorous phenomenological hermeneutical approach and strictly adhered to the Standards for Reporting Qualitative Research (SRQR) to ensure trustworthiness. The researchers utilized team triangulation throughout the analysis and explicitly addressed reflexivity by documenting and discussing pre-understandings.</w:t>
            </w:r>
          </w:p>
        </w:tc>
        <w:tc>
          <w:tcPr>
            <w:tcW w:w="888" w:type="pct"/>
          </w:tcPr>
          <w:p w14:paraId="0D8FB0D8"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5C800A2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strongly supported by the underlying data, with a clear link between the overarching theme, “Have my back as I get back to work”, and the detailed verbatim quotes provided</w:t>
            </w:r>
          </w:p>
          <w:p w14:paraId="3713A45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 Furthermore, the study’s results regarding the role of managers and the impact of stigma are highly consistent with existing international literature. </w:t>
            </w:r>
          </w:p>
        </w:tc>
        <w:tc>
          <w:tcPr>
            <w:tcW w:w="958" w:type="pct"/>
          </w:tcPr>
          <w:p w14:paraId="07953DD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The data is exceptionally rich and high-quality, derived from in-depth interviews averaging 41-90 minutes and resulting in over 230 pages of transcript. However, the sample size is small (n=14) and lacks demographic diversity, as it was predominantly female (12/14) and limited to Swedish speakers.</w:t>
            </w:r>
          </w:p>
        </w:tc>
        <w:tc>
          <w:tcPr>
            <w:tcW w:w="946" w:type="pct"/>
          </w:tcPr>
          <w:p w14:paraId="0372CBA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applicable to the review question, as it specifically explores the meaning of support from various stakeholders (employers, healthcare, and social insurance) during the return-to-work process for individuals with chronic pain.</w:t>
            </w:r>
          </w:p>
        </w:tc>
      </w:tr>
      <w:tr w:rsidR="0027538E" w:rsidRPr="00732EED" w14:paraId="5B4825CC"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61B839C0" w14:textId="77777777" w:rsidR="0027538E" w:rsidRPr="00732EED" w:rsidRDefault="0027538E" w:rsidP="0027538E">
            <w:pPr>
              <w:rPr>
                <w:sz w:val="18"/>
                <w:szCs w:val="18"/>
              </w:rPr>
            </w:pPr>
            <w:r w:rsidRPr="00732EED">
              <w:rPr>
                <w:sz w:val="18"/>
                <w:szCs w:val="18"/>
              </w:rPr>
              <w:t>80</w:t>
            </w:r>
          </w:p>
        </w:tc>
        <w:tc>
          <w:tcPr>
            <w:tcW w:w="839" w:type="pct"/>
          </w:tcPr>
          <w:p w14:paraId="738C69DE"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Macgregor et al., 2024</w:t>
            </w:r>
          </w:p>
        </w:tc>
        <w:tc>
          <w:tcPr>
            <w:tcW w:w="934" w:type="pct"/>
          </w:tcPr>
          <w:p w14:paraId="6CC651C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F3CEB8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The study followed a rigorous meta-ethnography process adhering to </w:t>
            </w:r>
            <w:proofErr w:type="spellStart"/>
            <w:r w:rsidRPr="00732EED">
              <w:rPr>
                <w:sz w:val="18"/>
                <w:szCs w:val="18"/>
              </w:rPr>
              <w:t>eMERGe</w:t>
            </w:r>
            <w:proofErr w:type="spellEnd"/>
            <w:r w:rsidRPr="00732EED">
              <w:rPr>
                <w:sz w:val="18"/>
                <w:szCs w:val="18"/>
              </w:rPr>
              <w:t xml:space="preserve"> reporting guidance. It was registered with PROSPERO, utilized blinded reviewers for screening, and included quality appraisal of all primary studies. </w:t>
            </w:r>
            <w:proofErr w:type="spellStart"/>
            <w:r w:rsidRPr="00732EED">
              <w:rPr>
                <w:sz w:val="18"/>
                <w:szCs w:val="18"/>
              </w:rPr>
              <w:t>Rigour</w:t>
            </w:r>
            <w:proofErr w:type="spellEnd"/>
            <w:r w:rsidRPr="00732EED">
              <w:rPr>
                <w:sz w:val="18"/>
                <w:szCs w:val="18"/>
              </w:rPr>
              <w:t xml:space="preserve"> was further enhanced through team triangulation and the active involvement of co-researchers with lived experience of chronic pain.</w:t>
            </w:r>
          </w:p>
        </w:tc>
        <w:tc>
          <w:tcPr>
            <w:tcW w:w="888" w:type="pct"/>
          </w:tcPr>
          <w:p w14:paraId="2F2493F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findings are synthesized into clear “lines </w:t>
            </w:r>
            <w:r w:rsidRPr="00732EED">
              <w:rPr>
                <w:sz w:val="18"/>
                <w:szCs w:val="18"/>
              </w:rPr>
              <w:lastRenderedPageBreak/>
              <w:t>of argument” and a conceptual framework (the “ecosystem”) that logically connects the primary data. The authors explicitly noted that their findings are consistent with previous major meta-ethnographies in the field of chronic pain.</w:t>
            </w:r>
          </w:p>
        </w:tc>
        <w:tc>
          <w:tcPr>
            <w:tcW w:w="958" w:type="pct"/>
          </w:tcPr>
          <w:p w14:paraId="294CBF6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synthesis included 10 qualitative studies featuring a </w:t>
            </w:r>
            <w:r w:rsidRPr="00732EED">
              <w:rPr>
                <w:sz w:val="18"/>
                <w:szCs w:val="18"/>
              </w:rPr>
              <w:lastRenderedPageBreak/>
              <w:t>total of 212 participants across seven countries. The authors purposefully included grey literature (theses) and translated non-English data to ensure a broad, rich, and diverse data set that challenged dominant narratives.</w:t>
            </w:r>
          </w:p>
        </w:tc>
        <w:tc>
          <w:tcPr>
            <w:tcW w:w="946" w:type="pct"/>
          </w:tcPr>
          <w:p w14:paraId="00586C87"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study is highly relevant to the review question </w:t>
            </w:r>
            <w:r w:rsidRPr="00732EED">
              <w:rPr>
                <w:sz w:val="18"/>
                <w:szCs w:val="18"/>
              </w:rPr>
              <w:lastRenderedPageBreak/>
              <w:t>as it specifically conceptualizes the lived experience of “acceptance” in chronic pain. It broadens the understanding of acceptance from a narrow psychological trait to a complex biopsychosocial ecosystem, offering direct implications for pain care and health equity.</w:t>
            </w:r>
          </w:p>
        </w:tc>
      </w:tr>
      <w:tr w:rsidR="0027538E" w:rsidRPr="00732EED" w14:paraId="7E25BE06"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79DEEA22" w14:textId="77777777" w:rsidR="0027538E" w:rsidRPr="00732EED" w:rsidRDefault="0027538E" w:rsidP="0027538E">
            <w:pPr>
              <w:rPr>
                <w:sz w:val="18"/>
                <w:szCs w:val="18"/>
              </w:rPr>
            </w:pPr>
            <w:r w:rsidRPr="00732EED">
              <w:rPr>
                <w:sz w:val="18"/>
                <w:szCs w:val="18"/>
              </w:rPr>
              <w:lastRenderedPageBreak/>
              <w:t>81</w:t>
            </w:r>
          </w:p>
        </w:tc>
        <w:tc>
          <w:tcPr>
            <w:tcW w:w="839" w:type="pct"/>
          </w:tcPr>
          <w:p w14:paraId="77C91F9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Matias-Soto et al., 2024</w:t>
            </w:r>
          </w:p>
        </w:tc>
        <w:tc>
          <w:tcPr>
            <w:tcW w:w="934" w:type="pct"/>
          </w:tcPr>
          <w:p w14:paraId="79CD22BD" w14:textId="763A8EA3" w:rsidR="0027538E" w:rsidRPr="00732EED" w:rsidRDefault="0064717D"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cross-sectional purposive sample from a single pain clinic (patients undergoing epidural infiltrations), potential selection bias (7/29 no-shows), limited transferability beyond this clinical subgroup; but COREQ reporting, IPA approach, and patient involvement strengthen credibility (Methods/Study design, Results).</w:t>
            </w:r>
          </w:p>
        </w:tc>
        <w:tc>
          <w:tcPr>
            <w:tcW w:w="888" w:type="pct"/>
          </w:tcPr>
          <w:p w14:paraId="4DBAB2DB" w14:textId="5F891800" w:rsidR="0027538E" w:rsidRPr="00732EED" w:rsidRDefault="00557DA8"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clear analytic approach (interpretative phenomenology, mixed coding), well-structured themes/subthemes, patient contributed to interview script and checked coding, and findings are logically consistent with reported data (Study design, Results, Discussion).</w:t>
            </w:r>
          </w:p>
        </w:tc>
        <w:tc>
          <w:tcPr>
            <w:tcW w:w="958" w:type="pct"/>
          </w:tcPr>
          <w:p w14:paraId="0E6C61B0" w14:textId="1B35770F" w:rsidR="0027538E" w:rsidRPr="00732EED" w:rsidRDefault="00557DA8"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rFonts w:ascii="Segoe UI" w:hAnsi="Segoe UI" w:cs="Segoe UI"/>
                <w:color w:val="09090B"/>
                <w:sz w:val="18"/>
                <w:szCs w:val="18"/>
                <w:shd w:val="clear" w:color="auto" w:fill="FFFFFF"/>
              </w:rPr>
              <w:t>High: 22 in-depth interviews (mean 43 min) provide substantial, varied experiential data across ages 32–77 and both sexes; data depth and range support identified emotions, cognitions, behaviors (Results).</w:t>
            </w:r>
          </w:p>
        </w:tc>
        <w:tc>
          <w:tcPr>
            <w:tcW w:w="946" w:type="pct"/>
          </w:tcPr>
          <w:p w14:paraId="6096BA7C" w14:textId="557BAC99" w:rsidR="00557DA8" w:rsidRPr="00732EED" w:rsidRDefault="00557DA8" w:rsidP="00557DA8">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Moderate–High: directly applicable to patients with chronic low back pain treated in pain units (especially those receiving invasive interventions); relevance to broader CLBP populations may be reduced where care pathways differ (Introduction, Results, Discussion).</w:t>
            </w:r>
          </w:p>
          <w:p w14:paraId="117D0024" w14:textId="77777777" w:rsidR="00557DA8" w:rsidRPr="00732EED" w:rsidRDefault="00557DA8" w:rsidP="00557DA8">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Overall </w:t>
            </w:r>
            <w:proofErr w:type="spellStart"/>
            <w:r w:rsidRPr="00732EED">
              <w:rPr>
                <w:sz w:val="18"/>
                <w:szCs w:val="18"/>
              </w:rPr>
              <w:t>CERQual</w:t>
            </w:r>
            <w:proofErr w:type="spellEnd"/>
            <w:r w:rsidRPr="00732EED">
              <w:rPr>
                <w:sz w:val="18"/>
                <w:szCs w:val="18"/>
              </w:rPr>
              <w:t xml:space="preserve"> confidence: Moderate–High — credible, coherent, and well-supported findings with strong patient involvement and transparent reporting, but confidence tempered by single-center sampling and potential selection bias.</w:t>
            </w:r>
          </w:p>
          <w:p w14:paraId="6EEC668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r>
      <w:tr w:rsidR="0027538E" w:rsidRPr="00732EED" w14:paraId="31D2D78A"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08F7F7ED" w14:textId="77777777" w:rsidR="0027538E" w:rsidRPr="00732EED" w:rsidRDefault="0027538E" w:rsidP="0027538E">
            <w:pPr>
              <w:rPr>
                <w:sz w:val="18"/>
                <w:szCs w:val="18"/>
              </w:rPr>
            </w:pPr>
            <w:r w:rsidRPr="00732EED">
              <w:rPr>
                <w:sz w:val="18"/>
                <w:szCs w:val="18"/>
              </w:rPr>
              <w:t>82</w:t>
            </w:r>
          </w:p>
        </w:tc>
        <w:tc>
          <w:tcPr>
            <w:tcW w:w="839" w:type="pct"/>
          </w:tcPr>
          <w:p w14:paraId="2BEEE96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Nikoloudi</w:t>
            </w:r>
            <w:proofErr w:type="spellEnd"/>
            <w:r w:rsidRPr="00732EED">
              <w:rPr>
                <w:sz w:val="18"/>
                <w:szCs w:val="18"/>
              </w:rPr>
              <w:t xml:space="preserve"> et al., 2024</w:t>
            </w:r>
          </w:p>
        </w:tc>
        <w:tc>
          <w:tcPr>
            <w:tcW w:w="934" w:type="pct"/>
          </w:tcPr>
          <w:p w14:paraId="077E12D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The researchers employed a rigorous five-step Interpretative Phenomenological Analysis (IPA) and utilized triangulation involving three researchers to ensure the credibility of findings. However, the authors acknowledge significant limitations, including a very small sample size (n=6) from a single facility and the potential for recall bias, as participants </w:t>
            </w:r>
            <w:r w:rsidRPr="00732EED">
              <w:rPr>
                <w:sz w:val="18"/>
                <w:szCs w:val="18"/>
              </w:rPr>
              <w:lastRenderedPageBreak/>
              <w:t>were reflecting on experiences from many decades ago.</w:t>
            </w:r>
          </w:p>
          <w:p w14:paraId="0AA612A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c>
          <w:tcPr>
            <w:tcW w:w="888" w:type="pct"/>
          </w:tcPr>
          <w:p w14:paraId="202597B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5D3ADAB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strongly supported by the underlying data, with the four superordinate themes clearly grounded in extensive verbatim participant narratives</w:t>
            </w:r>
          </w:p>
          <w:p w14:paraId="35E4988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Furthermore, the results regarding the "biographical disruption" and devalued identity caused by the disease are consistent with existing </w:t>
            </w:r>
            <w:r w:rsidRPr="00732EED">
              <w:rPr>
                <w:sz w:val="18"/>
                <w:szCs w:val="18"/>
              </w:rPr>
              <w:lastRenderedPageBreak/>
              <w:t>international literature on leprosy and chronic illness.</w:t>
            </w:r>
          </w:p>
        </w:tc>
        <w:tc>
          <w:tcPr>
            <w:tcW w:w="958" w:type="pct"/>
          </w:tcPr>
          <w:p w14:paraId="1DBB95C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Moderate:  The study provides exceptionally rich, high-quality, and idiographic data that captures the unique lived experiences of the “last survivors” of leprosy in Greece. While appropriate for the depth of IPA, the quantity of data is limited due to the very small sample size, which the authors admit may not represent the diverse experiences of all relocated individuals.</w:t>
            </w:r>
          </w:p>
        </w:tc>
        <w:tc>
          <w:tcPr>
            <w:tcW w:w="946" w:type="pct"/>
          </w:tcPr>
          <w:p w14:paraId="406D07D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highly relevant to the context of chronic illness and public health, as it specifically explores the long-term psychosocial impact of medical confinement and social exclusion. The findings offer direct insights into the importance of empathetic and holistic patient care for historically stigmatized conditions.</w:t>
            </w:r>
          </w:p>
        </w:tc>
      </w:tr>
      <w:tr w:rsidR="0027538E" w:rsidRPr="00732EED" w14:paraId="3B491178"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00A39C75" w14:textId="77777777" w:rsidR="0027538E" w:rsidRPr="00732EED" w:rsidRDefault="0027538E" w:rsidP="0027538E">
            <w:pPr>
              <w:rPr>
                <w:sz w:val="18"/>
                <w:szCs w:val="18"/>
              </w:rPr>
            </w:pPr>
            <w:r w:rsidRPr="00732EED">
              <w:rPr>
                <w:sz w:val="18"/>
                <w:szCs w:val="18"/>
              </w:rPr>
              <w:t>83</w:t>
            </w:r>
          </w:p>
        </w:tc>
        <w:tc>
          <w:tcPr>
            <w:tcW w:w="839" w:type="pct"/>
          </w:tcPr>
          <w:p w14:paraId="1FB5E76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Sanabria-Mazo et al.,</w:t>
            </w:r>
          </w:p>
          <w:p w14:paraId="207A5AE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2024</w:t>
            </w:r>
          </w:p>
        </w:tc>
        <w:tc>
          <w:tcPr>
            <w:tcW w:w="934" w:type="pct"/>
          </w:tcPr>
          <w:p w14:paraId="10FDBC54"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followed a rigorous qualitative design adhering to COREQ and JARS reporting guidelines. Trustworthiness was established through Lincoln and Guba's criteria, and the analysis involved six independent coders to reinforce rigor. While the authors acknowledged limitations such as potential social desirability and the lack of participant validation of the final analysis, these were addressed through extensive reflexivity measures.</w:t>
            </w:r>
          </w:p>
        </w:tc>
        <w:tc>
          <w:tcPr>
            <w:tcW w:w="888" w:type="pct"/>
          </w:tcPr>
          <w:p w14:paraId="712E960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strongly supported by the primary data, with themes clearly grounded in diverse verbatim participant quotes. The results are also consistent with the quantitative findings of the parent randomized controlled trial and align with broader international literature regarding the psychological benefits of group-based ACT and BATD.</w:t>
            </w:r>
          </w:p>
        </w:tc>
        <w:tc>
          <w:tcPr>
            <w:tcW w:w="958" w:type="pct"/>
          </w:tcPr>
          <w:p w14:paraId="233E72E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researchers utilized a large sample size for qualitative research, involving 55 participants across 12 focus groups. The data is exceptionally rich and detailed, derived from interactive sessions lasting 60 to 90 minutes each, which allowed for a comprehensive exploration of both therapeutic and technological experiences.</w:t>
            </w:r>
          </w:p>
        </w:tc>
        <w:tc>
          <w:tcPr>
            <w:tcW w:w="946" w:type="pct"/>
          </w:tcPr>
          <w:p w14:paraId="2DCA0C5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highly relevant to the context of modern pain management, as it specifically addresses the use of remote synchronous videoconferencing for patients with comorbid chronic low back pain and depression. Its findings provide direct, actionable insights into the facilitators and barriers of eHealth implementations within public health systems.</w:t>
            </w:r>
          </w:p>
        </w:tc>
      </w:tr>
      <w:tr w:rsidR="0027538E" w:rsidRPr="00732EED" w14:paraId="1587D45A"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D2FFF95" w14:textId="77777777" w:rsidR="0027538E" w:rsidRPr="00732EED" w:rsidRDefault="0027538E" w:rsidP="0027538E">
            <w:pPr>
              <w:rPr>
                <w:sz w:val="18"/>
                <w:szCs w:val="18"/>
              </w:rPr>
            </w:pPr>
            <w:r w:rsidRPr="00732EED">
              <w:rPr>
                <w:sz w:val="18"/>
                <w:szCs w:val="18"/>
              </w:rPr>
              <w:t>84</w:t>
            </w:r>
          </w:p>
        </w:tc>
        <w:tc>
          <w:tcPr>
            <w:tcW w:w="839" w:type="pct"/>
          </w:tcPr>
          <w:p w14:paraId="356CF2E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Schwarz B et al.2024</w:t>
            </w:r>
          </w:p>
        </w:tc>
        <w:tc>
          <w:tcPr>
            <w:tcW w:w="934" w:type="pct"/>
          </w:tcPr>
          <w:p w14:paraId="2FAFB12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researchers employed a rigorous systematic approach, searching four major databases and using two independent reviewers for study screening, data extraction, and quality assessment. They further enhanced the methodology by developing and applying a custom quality appraisal tool based on established standards to evaluate the 19 included meta-syntheses.</w:t>
            </w:r>
          </w:p>
        </w:tc>
        <w:tc>
          <w:tcPr>
            <w:tcW w:w="888" w:type="pct"/>
          </w:tcPr>
          <w:p w14:paraId="022D181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700FC4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clearly supported by a transparent three-step meta-ethnographic synthesis involving systematic comparison and reciprocal translation of concepts. The resulting generic return-to-work (RTW) principles and model are consistently derived from the cross-cutting themes identified across the diverse set of included studies.</w:t>
            </w:r>
          </w:p>
        </w:tc>
        <w:tc>
          <w:tcPr>
            <w:tcW w:w="958" w:type="pct"/>
          </w:tcPr>
          <w:p w14:paraId="1BDBCB5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evidence base is substantial, consisting of 19 qualitative meta-syntheses that encompass a wide variety of chronic conditions, including musculoskeletal disorders, cancer, brain injuries, and mental disorders. This provides a rich and diverse dataset that allowed for the development of a robust, generic conceptual model.</w:t>
            </w:r>
          </w:p>
        </w:tc>
        <w:tc>
          <w:tcPr>
            <w:tcW w:w="946" w:type="pct"/>
          </w:tcPr>
          <w:p w14:paraId="5A14063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D3F6EB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included meta-syntheses are directly applicable to the review question, as they focus specifically on the RTW experiences and perspectives of individuals with chronic conditions and their stakeholders. While the authors note a geographic bias toward Western countries, the data remains highly relevant for identifying generic mechanisms and facilitators of the RTW process.</w:t>
            </w:r>
          </w:p>
        </w:tc>
      </w:tr>
      <w:tr w:rsidR="0027538E" w:rsidRPr="00732EED" w14:paraId="30054FEF"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16EA4110" w14:textId="77777777" w:rsidR="0027538E" w:rsidRPr="00732EED" w:rsidRDefault="0027538E" w:rsidP="0027538E">
            <w:pPr>
              <w:rPr>
                <w:sz w:val="18"/>
                <w:szCs w:val="18"/>
              </w:rPr>
            </w:pPr>
            <w:r w:rsidRPr="00732EED">
              <w:rPr>
                <w:sz w:val="18"/>
                <w:szCs w:val="18"/>
              </w:rPr>
              <w:t>85</w:t>
            </w:r>
          </w:p>
        </w:tc>
        <w:tc>
          <w:tcPr>
            <w:tcW w:w="839" w:type="pct"/>
          </w:tcPr>
          <w:p w14:paraId="33CEB76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Snell et al., 2024</w:t>
            </w:r>
          </w:p>
        </w:tc>
        <w:tc>
          <w:tcPr>
            <w:tcW w:w="934" w:type="pct"/>
          </w:tcPr>
          <w:p w14:paraId="1C5F249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90C835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followed a rigorous Interpretative Phenomenological Analysis (IPA) framework</w:t>
            </w:r>
          </w:p>
          <w:p w14:paraId="40174E1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Data was collected through semi-structured interviews designed to build trust and elicit rich accounts, while the analysis involved regular co-author discussions to ensure the appropriateness and validity of the themes.</w:t>
            </w:r>
          </w:p>
          <w:p w14:paraId="591B85A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c>
          <w:tcPr>
            <w:tcW w:w="888" w:type="pct"/>
          </w:tcPr>
          <w:p w14:paraId="0FE2FB1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High:  There is a clear and consistent link between the raw data and the findings, supported by verbatim extracts from participant transcripts. The six emerged themes are well-supported by this data and align with existing literature regarding the impact of masculinity on chronic illness.</w:t>
            </w:r>
          </w:p>
        </w:tc>
        <w:tc>
          <w:tcPr>
            <w:tcW w:w="958" w:type="pct"/>
          </w:tcPr>
          <w:p w14:paraId="11C837C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While the study provides rich, idiographic depth typical of IPA, the sample size is limited to five participants. The authors acknowledge that the data is suggestive rather than conclusive because the sample lacks diversity, being predominantly composed of white, heterosexual, partnered men.</w:t>
            </w:r>
          </w:p>
        </w:tc>
        <w:tc>
          <w:tcPr>
            <w:tcW w:w="946" w:type="pct"/>
          </w:tcPr>
          <w:p w14:paraId="4911195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relevant to its objective of understanding the unique male experience of living with CFS. It provides specific insights into help-seeking behaviors, the diagnostic journey, and support networks, which are highly applicable for practitioners and employers.</w:t>
            </w:r>
          </w:p>
        </w:tc>
      </w:tr>
      <w:tr w:rsidR="0027538E" w:rsidRPr="00732EED" w14:paraId="636EA05A"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56D841F0" w14:textId="77777777" w:rsidR="0027538E" w:rsidRPr="00732EED" w:rsidRDefault="0027538E" w:rsidP="0027538E">
            <w:pPr>
              <w:rPr>
                <w:sz w:val="18"/>
                <w:szCs w:val="18"/>
              </w:rPr>
            </w:pPr>
            <w:r w:rsidRPr="00732EED">
              <w:rPr>
                <w:sz w:val="18"/>
                <w:szCs w:val="18"/>
              </w:rPr>
              <w:t>86</w:t>
            </w:r>
          </w:p>
        </w:tc>
        <w:tc>
          <w:tcPr>
            <w:tcW w:w="839" w:type="pct"/>
          </w:tcPr>
          <w:p w14:paraId="4166844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Barber et al., 2025</w:t>
            </w:r>
          </w:p>
        </w:tc>
        <w:tc>
          <w:tcPr>
            <w:tcW w:w="934" w:type="pct"/>
          </w:tcPr>
          <w:p w14:paraId="14ED8DC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7865F4E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utilized a rigorous Reflexive Thematic Analysis (RTA) framework, involving six distinct phases of data familiarization, coding, and theme development</w:t>
            </w:r>
          </w:p>
          <w:p w14:paraId="7A70E5F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Rigor was further supported by researcher reflexivity, coding comparisons between multiple researchers, and the use of standardized </w:t>
            </w:r>
            <w:proofErr w:type="spellStart"/>
            <w:r w:rsidRPr="00732EED">
              <w:rPr>
                <w:sz w:val="18"/>
                <w:szCs w:val="18"/>
              </w:rPr>
              <w:t>iRest</w:t>
            </w:r>
            <w:proofErr w:type="spellEnd"/>
            <w:r w:rsidRPr="00732EED">
              <w:rPr>
                <w:sz w:val="18"/>
                <w:szCs w:val="18"/>
              </w:rPr>
              <w:t xml:space="preserve"> research scripts.</w:t>
            </w:r>
          </w:p>
        </w:tc>
        <w:tc>
          <w:tcPr>
            <w:tcW w:w="888" w:type="pct"/>
          </w:tcPr>
          <w:p w14:paraId="5832D01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generated themes are directly and transparently supported by raw data, including verbatim participant quotes that illustrate the shift from feeling “powerless” to “empowered”. The findings regarding relaxation and pain self-efficacy are consistent with existing literature on Yoga Nidra and autonomic regulation.</w:t>
            </w:r>
          </w:p>
        </w:tc>
        <w:tc>
          <w:tcPr>
            <w:tcW w:w="958" w:type="pct"/>
          </w:tcPr>
          <w:p w14:paraId="306574A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Moderate:  While the study provides rich, firsthand qualitative accounts from 13 participants, the sample size is small and lacks diversity, consisting predominantly of older, Anglo-Saxon women. Additionally, the researchers were unable to interview those who dropped out, potentially missing divergent or negative experiences.</w:t>
            </w:r>
          </w:p>
        </w:tc>
        <w:tc>
          <w:tcPr>
            <w:tcW w:w="946" w:type="pct"/>
          </w:tcPr>
          <w:p w14:paraId="3F38AE9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7C8DB53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highly applicable to the clinical context of multidisciplinary pain management. The study specifically addresses the lived experience of using a mind-body intervention to manage persistent pain and reduce medication dependence, providing clear implications for primary and tertiary pain care.</w:t>
            </w:r>
          </w:p>
        </w:tc>
      </w:tr>
      <w:tr w:rsidR="0027538E" w:rsidRPr="00732EED" w14:paraId="3FB281AC"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260A89B8" w14:textId="77777777" w:rsidR="0027538E" w:rsidRPr="00732EED" w:rsidRDefault="0027538E" w:rsidP="0027538E">
            <w:pPr>
              <w:rPr>
                <w:sz w:val="18"/>
                <w:szCs w:val="18"/>
              </w:rPr>
            </w:pPr>
            <w:r w:rsidRPr="00732EED">
              <w:rPr>
                <w:sz w:val="18"/>
                <w:szCs w:val="18"/>
              </w:rPr>
              <w:t>87</w:t>
            </w:r>
          </w:p>
        </w:tc>
        <w:tc>
          <w:tcPr>
            <w:tcW w:w="839" w:type="pct"/>
          </w:tcPr>
          <w:p w14:paraId="7D52165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Bosco et al. 2025</w:t>
            </w:r>
          </w:p>
        </w:tc>
        <w:tc>
          <w:tcPr>
            <w:tcW w:w="934" w:type="pct"/>
          </w:tcPr>
          <w:p w14:paraId="512FA77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employed Cohen’s hermeneutic phenomenological approach, which integrates descriptive and interpretive frameworks to capture the essence of lived experiences. Rigor was maintained through the COREQ guidelines, triangulation involving multiple researchers, and member checking where participants validated the identified themes. Additionally, the researchers utilized bracketing and reflective journaling to minimize personal bias during data collection and analysis.</w:t>
            </w:r>
          </w:p>
          <w:p w14:paraId="2C37C84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c>
          <w:tcPr>
            <w:tcW w:w="888" w:type="pct"/>
          </w:tcPr>
          <w:p w14:paraId="730A71E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72BF9FC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findings are consistently supported by verbatim participant transcripts and field notes, ensuring a transparent link between raw data and the final themes. The study's conclusions regarding economic strain and social isolation are highly coherent with existing international literature on the challenges of managing Inflammatory Bowel Disease (IBD) in rural settings.</w:t>
            </w:r>
          </w:p>
        </w:tc>
        <w:tc>
          <w:tcPr>
            <w:tcW w:w="958" w:type="pct"/>
          </w:tcPr>
          <w:p w14:paraId="3C61637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7F30D14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Data was collected from 17 participants, which is a sufficient sample size for phenomenological research to achieve data saturation. The interviews provided rich, idiographic depth, capturing a balanced representation of genders, age groups, and specific IBD diagnoses (Crohn’s disease and ulcerative colitis).</w:t>
            </w:r>
          </w:p>
        </w:tc>
        <w:tc>
          <w:tcPr>
            <w:tcW w:w="946" w:type="pct"/>
          </w:tcPr>
          <w:p w14:paraId="0ED9418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is directly applicable to the review question as it specifically addresses the “knowledge gap” regarding IBD experiences in non-Anglophone rural contexts. The findings provide specific clinical implications, such as the need for tailored communication strategies and specialized training for local healthcare providers in remote areas.</w:t>
            </w:r>
          </w:p>
        </w:tc>
      </w:tr>
      <w:tr w:rsidR="0027538E" w:rsidRPr="00732EED" w14:paraId="04DAE9F7"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3E2589D6" w14:textId="77777777" w:rsidR="0027538E" w:rsidRPr="00732EED" w:rsidRDefault="0027538E" w:rsidP="0027538E">
            <w:pPr>
              <w:rPr>
                <w:sz w:val="18"/>
                <w:szCs w:val="18"/>
              </w:rPr>
            </w:pPr>
            <w:r w:rsidRPr="00732EED">
              <w:rPr>
                <w:sz w:val="18"/>
                <w:szCs w:val="18"/>
              </w:rPr>
              <w:t>88</w:t>
            </w:r>
          </w:p>
        </w:tc>
        <w:tc>
          <w:tcPr>
            <w:tcW w:w="839" w:type="pct"/>
          </w:tcPr>
          <w:p w14:paraId="4125B53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Danes-</w:t>
            </w:r>
            <w:proofErr w:type="spellStart"/>
            <w:r w:rsidRPr="00732EED">
              <w:rPr>
                <w:sz w:val="18"/>
                <w:szCs w:val="18"/>
              </w:rPr>
              <w:t>Daetz</w:t>
            </w:r>
            <w:proofErr w:type="spellEnd"/>
            <w:r w:rsidRPr="00732EED">
              <w:rPr>
                <w:sz w:val="18"/>
                <w:szCs w:val="18"/>
              </w:rPr>
              <w:t xml:space="preserve"> et al.,</w:t>
            </w:r>
          </w:p>
          <w:p w14:paraId="5EA64DC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2025</w:t>
            </w:r>
          </w:p>
        </w:tc>
        <w:tc>
          <w:tcPr>
            <w:tcW w:w="934" w:type="pct"/>
          </w:tcPr>
          <w:p w14:paraId="2D02D81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Moderate:   </w:t>
            </w:r>
            <w:r w:rsidRPr="00732EED">
              <w:rPr>
                <w:sz w:val="18"/>
                <w:szCs w:val="18"/>
              </w:rPr>
              <w:tab/>
            </w:r>
          </w:p>
          <w:p w14:paraId="6128831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followed a systematic phenomenological reduction and thematic analysis process with oversight from a diverse research team</w:t>
            </w:r>
          </w:p>
          <w:p w14:paraId="6A39943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However, the authors explicitly acknowledge several limitations, including the absence of detailed observational field notes and the lack of member checking, meaning participants did not </w:t>
            </w:r>
            <w:r w:rsidRPr="00732EED">
              <w:rPr>
                <w:sz w:val="18"/>
                <w:szCs w:val="18"/>
              </w:rPr>
              <w:lastRenderedPageBreak/>
              <w:t>verify the transcripts or the final thematic analysis.</w:t>
            </w:r>
          </w:p>
        </w:tc>
        <w:tc>
          <w:tcPr>
            <w:tcW w:w="888" w:type="pct"/>
          </w:tcPr>
          <w:p w14:paraId="3DF80F2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7069E05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There is a clear and transparent link between the raw data and the resulting themes, which are supported by numerous verbatim participant quotes. The findings regarding stigma and barriers are consistent with the socio-ecological framework applied and align with existing literature on chronic illness in similar cultural contexts.</w:t>
            </w:r>
          </w:p>
        </w:tc>
        <w:tc>
          <w:tcPr>
            <w:tcW w:w="958" w:type="pct"/>
          </w:tcPr>
          <w:p w14:paraId="28D185D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90931C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researchers interviewed 14 participants from Malaysia and Thailand, reaching data saturation where no new interpretations or issues emerged. The data collected is rich and idiographic, capturing diverse perspectives across different ethnic groups (Thai, Chinese, Malay) and religions (Buddhism, Islam). </w:t>
            </w:r>
          </w:p>
        </w:tc>
        <w:tc>
          <w:tcPr>
            <w:tcW w:w="946" w:type="pct"/>
          </w:tcPr>
          <w:p w14:paraId="40C64AA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22A891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is highly relevant as it directly investigates the lived experiences and perceptions of stigma among women with chronic knee pain in the specific context of Southeast Asia. It provides context-specific insights into how local environmental factors, such as access to public transport, and cultural practices impact management adherence.</w:t>
            </w:r>
          </w:p>
        </w:tc>
      </w:tr>
      <w:tr w:rsidR="0027538E" w:rsidRPr="00732EED" w14:paraId="15DA1870"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5D4E66B2" w14:textId="77777777" w:rsidR="0027538E" w:rsidRPr="00732EED" w:rsidRDefault="0027538E" w:rsidP="0027538E">
            <w:pPr>
              <w:rPr>
                <w:sz w:val="18"/>
                <w:szCs w:val="18"/>
              </w:rPr>
            </w:pPr>
            <w:r w:rsidRPr="00732EED">
              <w:rPr>
                <w:sz w:val="18"/>
                <w:szCs w:val="18"/>
              </w:rPr>
              <w:t>89</w:t>
            </w:r>
          </w:p>
        </w:tc>
        <w:tc>
          <w:tcPr>
            <w:tcW w:w="839" w:type="pct"/>
          </w:tcPr>
          <w:p w14:paraId="23C69CD2"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Jiang et al., 2025</w:t>
            </w:r>
          </w:p>
        </w:tc>
        <w:tc>
          <w:tcPr>
            <w:tcW w:w="934" w:type="pct"/>
          </w:tcPr>
          <w:p w14:paraId="157AFC2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study followed the COREQ guidelines to ensure transparency and rigor. Researchers established trust by participating in daily care and using local dialects to facilitate rapport. Rigor was further supported by multivariate cross-validation, independent double-coding by two researchers, and member verification where participants validated the findings.</w:t>
            </w:r>
          </w:p>
          <w:p w14:paraId="2A294D0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c>
          <w:tcPr>
            <w:tcW w:w="888" w:type="pct"/>
          </w:tcPr>
          <w:p w14:paraId="0D7CB0A1"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The findings are clearly linked to the underlying data through verbatim participant quotes that illustrate each subtheme. The analysis is theoretically grounded in the biopsychosocial model and a conceptual model of social isolation, ensuring that the results are structured and consistent with established frameworks.</w:t>
            </w:r>
          </w:p>
        </w:tc>
        <w:tc>
          <w:tcPr>
            <w:tcW w:w="958" w:type="pct"/>
          </w:tcPr>
          <w:p w14:paraId="0390D4F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6472F0B"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researchers achieved data saturation with a sample of 20 participants. Saturation was identified at the 17th participant and confirmed by three additional interviews that yielded no new information</w:t>
            </w:r>
          </w:p>
          <w:p w14:paraId="53E4A9F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The sample included diverse characteristics regarding sex, age, domicile, and types of chronic diseases.</w:t>
            </w:r>
          </w:p>
        </w:tc>
        <w:tc>
          <w:tcPr>
            <w:tcW w:w="946" w:type="pct"/>
          </w:tcPr>
          <w:p w14:paraId="065A2575"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B5BA51D"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directly applicable to the review question, as it focuses specifically on the lived experiences of social isolation among older adults with chronic diseases. It provides unique, context-specific insights by exploring these mechanisms within the Chinese sociocultural environment.</w:t>
            </w:r>
          </w:p>
        </w:tc>
      </w:tr>
      <w:tr w:rsidR="0027538E" w:rsidRPr="00732EED" w14:paraId="04435D0E"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6AE83E6D" w14:textId="77777777" w:rsidR="0027538E" w:rsidRPr="00732EED" w:rsidRDefault="0027538E" w:rsidP="0027538E">
            <w:pPr>
              <w:rPr>
                <w:sz w:val="18"/>
                <w:szCs w:val="18"/>
              </w:rPr>
            </w:pPr>
            <w:r w:rsidRPr="00732EED">
              <w:rPr>
                <w:sz w:val="18"/>
                <w:szCs w:val="18"/>
              </w:rPr>
              <w:t>90</w:t>
            </w:r>
          </w:p>
        </w:tc>
        <w:tc>
          <w:tcPr>
            <w:tcW w:w="839" w:type="pct"/>
          </w:tcPr>
          <w:p w14:paraId="6AAFCF36"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Najem et al., 2025</w:t>
            </w:r>
          </w:p>
        </w:tc>
        <w:tc>
          <w:tcPr>
            <w:tcW w:w="934" w:type="pct"/>
          </w:tcPr>
          <w:p w14:paraId="75AD2EF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FEEDC1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utilized a rigorous descriptive phenomenological framework and adhered to the Standards for Reporting Qualitative Research (SRQR)</w:t>
            </w:r>
          </w:p>
          <w:p w14:paraId="597D769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Rigor was maintained through a pilot-tested interview guide, researcher triangulation (analysis performed by three researchers), and the use of the Lincoln and Guba criteria to ensure credibility and dependability.</w:t>
            </w:r>
          </w:p>
        </w:tc>
        <w:tc>
          <w:tcPr>
            <w:tcW w:w="888" w:type="pct"/>
          </w:tcPr>
          <w:p w14:paraId="3D3AF604"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transparently supported by a wealth of verbatim participant quotes that illustrate the emotional, physical, and social impact of pain [46-75]. The themes are logically derived from the raw data and remain consistent with the established theoretical framework of Kleinman’s explanatory models.</w:t>
            </w:r>
          </w:p>
        </w:tc>
        <w:tc>
          <w:tcPr>
            <w:tcW w:w="958" w:type="pct"/>
          </w:tcPr>
          <w:p w14:paraId="19FCC0A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1077D8A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Although the sample size was 12 participants, the researchers reached “information power,” ensuring that the data was rich enough to address the research objectives effectively. The sample provided a diverse representation of the Lebanese population, including equal numbers of men and women across various ages, religions, and geographic regions.</w:t>
            </w:r>
          </w:p>
        </w:tc>
        <w:tc>
          <w:tcPr>
            <w:tcW w:w="946" w:type="pct"/>
          </w:tcPr>
          <w:p w14:paraId="60BE6C0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findings are highly applicable to the clinical context of managing chronic pain in non-Western cultures. The study provides specific, context-sensitive insights into how traditional gender roles, the Lebanese economic crisis, and religious beliefs (such as “deferring” prayer styles) uniquely shape the experience of chronic low back pain.</w:t>
            </w:r>
          </w:p>
        </w:tc>
      </w:tr>
      <w:tr w:rsidR="0027538E" w:rsidRPr="00732EED" w14:paraId="177AEFC2"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27559603" w14:textId="77777777" w:rsidR="0027538E" w:rsidRPr="00732EED" w:rsidRDefault="0027538E" w:rsidP="0027538E">
            <w:pPr>
              <w:rPr>
                <w:sz w:val="18"/>
                <w:szCs w:val="18"/>
              </w:rPr>
            </w:pPr>
            <w:r w:rsidRPr="00732EED">
              <w:rPr>
                <w:sz w:val="18"/>
                <w:szCs w:val="18"/>
              </w:rPr>
              <w:t>91</w:t>
            </w:r>
          </w:p>
        </w:tc>
        <w:tc>
          <w:tcPr>
            <w:tcW w:w="839" w:type="pct"/>
          </w:tcPr>
          <w:p w14:paraId="1968C63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Putri &amp; Amir, </w:t>
            </w:r>
          </w:p>
          <w:p w14:paraId="6388C64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2025</w:t>
            </w:r>
          </w:p>
        </w:tc>
        <w:tc>
          <w:tcPr>
            <w:tcW w:w="934" w:type="pct"/>
          </w:tcPr>
          <w:p w14:paraId="112B88A2" w14:textId="24D7CC25" w:rsidR="0027538E" w:rsidRPr="00732EED" w:rsidRDefault="00557DA8"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purposive sample (n=12) from selected chronic-illness population with possible selection bias; limited detail on recruitment setting diversity and condition types; single-study, cross-sectional design limits transferability; however, clear ethical approval, COREQ awareness, and appropriate phenomenological methods mitigate some concerns (Methods: Participants, Data collection, Ethics).</w:t>
            </w:r>
          </w:p>
        </w:tc>
        <w:tc>
          <w:tcPr>
            <w:tcW w:w="888" w:type="pct"/>
          </w:tcPr>
          <w:p w14:paraId="4E256579" w14:textId="6E492CE6" w:rsidR="0027538E" w:rsidRPr="00732EED" w:rsidRDefault="00557DA8"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analytic process is clearly described and consistent (verbatim transcriptions, thematic analysis with </w:t>
            </w:r>
            <w:r w:rsidR="00B93F1C" w:rsidRPr="00732EED">
              <w:rPr>
                <w:sz w:val="18"/>
                <w:szCs w:val="18"/>
              </w:rPr>
              <w:t>Phase</w:t>
            </w:r>
            <w:r w:rsidRPr="00732EED">
              <w:rPr>
                <w:sz w:val="18"/>
                <w:szCs w:val="18"/>
              </w:rPr>
              <w:t>d coding, NVivo for organization), themes logically arise from data and align with research aims (Data analysis, Results, Discussion).</w:t>
            </w:r>
          </w:p>
        </w:tc>
        <w:tc>
          <w:tcPr>
            <w:tcW w:w="958" w:type="pct"/>
          </w:tcPr>
          <w:p w14:paraId="0BB2BCC2" w14:textId="33DB9C7C" w:rsidR="0027538E" w:rsidRPr="00732EED" w:rsidRDefault="00557DA8"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9090B"/>
                <w:sz w:val="18"/>
                <w:szCs w:val="18"/>
                <w:shd w:val="clear" w:color="auto" w:fill="FFFFFF"/>
              </w:rPr>
              <w:t>Moderate–High: 12 in-depth interviews (60–90 min) with balanced gender and age range provide good depth for phenomenology; richness supports identified themes, though breadth across illness types and contexts is limited.</w:t>
            </w:r>
          </w:p>
        </w:tc>
        <w:tc>
          <w:tcPr>
            <w:tcW w:w="946" w:type="pct"/>
          </w:tcPr>
          <w:p w14:paraId="1ADF514E" w14:textId="002A0D90" w:rsidR="00557DA8" w:rsidRPr="00732EED" w:rsidRDefault="00557DA8" w:rsidP="00557DA8">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findings are directly relevant for understanding emotional, communicative, and social-support dimensions of chronic illness in clinical and communication contexts; applicability beyond the sampled population and cultural/healthcare contexts may be constrained.</w:t>
            </w:r>
          </w:p>
          <w:p w14:paraId="043ED40A" w14:textId="77777777" w:rsidR="00557DA8" w:rsidRPr="00732EED" w:rsidRDefault="00557DA8" w:rsidP="00557DA8">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Overall </w:t>
            </w:r>
            <w:proofErr w:type="spellStart"/>
            <w:r w:rsidRPr="00732EED">
              <w:rPr>
                <w:sz w:val="18"/>
                <w:szCs w:val="18"/>
              </w:rPr>
              <w:t>CERQual</w:t>
            </w:r>
            <w:proofErr w:type="spellEnd"/>
            <w:r w:rsidRPr="00732EED">
              <w:rPr>
                <w:sz w:val="18"/>
                <w:szCs w:val="18"/>
              </w:rPr>
              <w:t xml:space="preserve"> confidence: Moderate — findings are credible, coherent, and supported by rich interview data and transparent analysis, but confidence is tempered by purposive sampling, limited </w:t>
            </w:r>
            <w:r w:rsidRPr="00732EED">
              <w:rPr>
                <w:sz w:val="18"/>
                <w:szCs w:val="18"/>
              </w:rPr>
              <w:lastRenderedPageBreak/>
              <w:t>sample size/heterogeneity across conditions, and potential context-specific limits to transferability.</w:t>
            </w:r>
          </w:p>
          <w:p w14:paraId="6300243C" w14:textId="272A3FD3"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p>
        </w:tc>
      </w:tr>
      <w:tr w:rsidR="0027538E" w:rsidRPr="00732EED" w14:paraId="0C77B6E5"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624CB6C6" w14:textId="77777777" w:rsidR="0027538E" w:rsidRPr="00732EED" w:rsidRDefault="0027538E" w:rsidP="0027538E">
            <w:pPr>
              <w:rPr>
                <w:sz w:val="18"/>
                <w:szCs w:val="18"/>
              </w:rPr>
            </w:pPr>
            <w:r w:rsidRPr="00732EED">
              <w:rPr>
                <w:sz w:val="18"/>
                <w:szCs w:val="18"/>
              </w:rPr>
              <w:lastRenderedPageBreak/>
              <w:t>92</w:t>
            </w:r>
          </w:p>
        </w:tc>
        <w:tc>
          <w:tcPr>
            <w:tcW w:w="839" w:type="pct"/>
          </w:tcPr>
          <w:p w14:paraId="340CA6D8"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Shehadeh et al., 2025</w:t>
            </w:r>
          </w:p>
        </w:tc>
        <w:tc>
          <w:tcPr>
            <w:tcW w:w="934" w:type="pct"/>
          </w:tcPr>
          <w:p w14:paraId="646968E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AEB891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followed a rigorous descriptive phenomenological design and adhered to the COREQ guidelines for reporting</w:t>
            </w:r>
          </w:p>
          <w:p w14:paraId="78F62EC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Rigor was ensured through reflexive practices (diaries and acknowledging researcher bias), pilot testing of interview questions, and peer debriefing</w:t>
            </w:r>
          </w:p>
          <w:p w14:paraId="176CC3A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While the study used convenience sampling and had a small sample of 15 participants, these are common in qualitative research and were addressed through high procedural transparency.</w:t>
            </w:r>
          </w:p>
        </w:tc>
        <w:tc>
          <w:tcPr>
            <w:tcW w:w="888" w:type="pct"/>
          </w:tcPr>
          <w:p w14:paraId="429AF58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4DCADCD1"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findings are consistently supported by verbatim participant transcripts and field notes, ensuring a clear link between raw data and the final themes. The three overarching themes, education, infrastructure, and awareness, are logically derived from the systematic three-step inductive content analysis and are well-supported by specific examples from both nurses and physicians.</w:t>
            </w:r>
          </w:p>
        </w:tc>
        <w:tc>
          <w:tcPr>
            <w:tcW w:w="958" w:type="pct"/>
          </w:tcPr>
          <w:p w14:paraId="7A86196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589C909"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researchers achieved data saturation, continuing recruitment until no new insights were identified. The data provided “thick description” and deep understanding of the participants' thoughts, with interviews lasting approximately one hour each to ensure richness. The sample size (N=15) is noted as sufficient for achieving saturation in this specific professional cohort.</w:t>
            </w:r>
          </w:p>
        </w:tc>
        <w:tc>
          <w:tcPr>
            <w:tcW w:w="946" w:type="pct"/>
          </w:tcPr>
          <w:p w14:paraId="11F2035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  The study is directly applicable to the research question, focusing specifically on strategies to improve healthcare for older people with chronic diseases in the unique Jordanian sociocultural context. It provides context-specific insights into cultural barriers, such as the lack of Middle Eastern-centric textbooks and the impact of local family structures on geriatric care.</w:t>
            </w:r>
          </w:p>
        </w:tc>
      </w:tr>
      <w:tr w:rsidR="0027538E" w:rsidRPr="00732EED" w14:paraId="2E366693" w14:textId="77777777" w:rsidTr="00E46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tcPr>
          <w:p w14:paraId="67B013D4" w14:textId="77777777" w:rsidR="0027538E" w:rsidRPr="00732EED" w:rsidRDefault="0027538E" w:rsidP="0027538E">
            <w:pPr>
              <w:rPr>
                <w:sz w:val="18"/>
                <w:szCs w:val="18"/>
              </w:rPr>
            </w:pPr>
            <w:r w:rsidRPr="00732EED">
              <w:rPr>
                <w:sz w:val="18"/>
                <w:szCs w:val="18"/>
              </w:rPr>
              <w:t>93</w:t>
            </w:r>
          </w:p>
        </w:tc>
        <w:tc>
          <w:tcPr>
            <w:tcW w:w="839" w:type="pct"/>
          </w:tcPr>
          <w:p w14:paraId="68F5A566"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Stilwell et al., 2025</w:t>
            </w:r>
          </w:p>
        </w:tc>
        <w:tc>
          <w:tcPr>
            <w:tcW w:w="934" w:type="pct"/>
          </w:tcPr>
          <w:p w14:paraId="32D71DC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19E78CC"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employed a rigorous front-loaded phenomenological design that utilized established theoretical frameworks to inform the research</w:t>
            </w:r>
          </w:p>
          <w:p w14:paraId="378CD63E"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The authors followed COREQ and GRIPP2 reporting guidelines and integrated a participatory approach by involving patient partners in all aspects of the study</w:t>
            </w:r>
          </w:p>
          <w:p w14:paraId="3103E1D7"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Rigor was further established through triangulation of independent coding, reflexive practices, and member checking.</w:t>
            </w:r>
          </w:p>
        </w:tc>
        <w:tc>
          <w:tcPr>
            <w:tcW w:w="888" w:type="pct"/>
          </w:tcPr>
          <w:p w14:paraId="7CFBC7D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622DD7DF"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findings are transparently supported by a wealth of verbatim participant quotes that directly illustrate the themes of disrupted agency, ownership, and time. The researchers used a systematic hybrid thematic analysis (inductive and deductive) that ensures a clear, logical link between the raw data and the conceptualized “modes of suffering”. </w:t>
            </w:r>
          </w:p>
        </w:tc>
        <w:tc>
          <w:tcPr>
            <w:tcW w:w="958" w:type="pct"/>
          </w:tcPr>
          <w:p w14:paraId="13BF6759"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0EC72F0"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researchers achieved “information power” with a sample of 12 participants who provided rich, “thick” descriptions of their lived experiences. The dataset was substantial, comprising over 20 hours of recorded audio from in-depth interviews lasting up to 120 minutes each.</w:t>
            </w:r>
          </w:p>
        </w:tc>
        <w:tc>
          <w:tcPr>
            <w:tcW w:w="946" w:type="pct"/>
          </w:tcPr>
          <w:p w14:paraId="7A021E1A"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3E49BF23" w14:textId="77777777" w:rsidR="0027538E" w:rsidRPr="00732EED" w:rsidRDefault="0027538E" w:rsidP="0027538E">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study is highly relevant to the review context as it identifies a “new mode” of pain-related suffering that challenges traditional, self-reflection-based models. The findings provide direct clinical implications for managing patients who are too overwhelmed to engage in traditional cognitive-based therapies, suggesting a need for grounding and sensory-based interventions.</w:t>
            </w:r>
          </w:p>
        </w:tc>
      </w:tr>
      <w:tr w:rsidR="0027538E" w:rsidRPr="00732EED" w14:paraId="4C7672DC" w14:textId="77777777" w:rsidTr="00E46AB8">
        <w:tc>
          <w:tcPr>
            <w:cnfStyle w:val="001000000000" w:firstRow="0" w:lastRow="0" w:firstColumn="1" w:lastColumn="0" w:oddVBand="0" w:evenVBand="0" w:oddHBand="0" w:evenHBand="0" w:firstRowFirstColumn="0" w:firstRowLastColumn="0" w:lastRowFirstColumn="0" w:lastRowLastColumn="0"/>
            <w:tcW w:w="436" w:type="pct"/>
          </w:tcPr>
          <w:p w14:paraId="7809EC77" w14:textId="77777777" w:rsidR="0027538E" w:rsidRPr="00732EED" w:rsidRDefault="0027538E" w:rsidP="0027538E">
            <w:pPr>
              <w:rPr>
                <w:sz w:val="18"/>
                <w:szCs w:val="18"/>
              </w:rPr>
            </w:pPr>
            <w:r w:rsidRPr="00732EED">
              <w:rPr>
                <w:sz w:val="18"/>
                <w:szCs w:val="18"/>
              </w:rPr>
              <w:t>94</w:t>
            </w:r>
          </w:p>
        </w:tc>
        <w:tc>
          <w:tcPr>
            <w:tcW w:w="839" w:type="pct"/>
          </w:tcPr>
          <w:p w14:paraId="2FC193FB"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Safour</w:t>
            </w:r>
            <w:proofErr w:type="spellEnd"/>
            <w:r w:rsidRPr="00732EED">
              <w:rPr>
                <w:sz w:val="18"/>
                <w:szCs w:val="18"/>
              </w:rPr>
              <w:t xml:space="preserve"> et al., 2025</w:t>
            </w:r>
          </w:p>
        </w:tc>
        <w:tc>
          <w:tcPr>
            <w:tcW w:w="934" w:type="pct"/>
          </w:tcPr>
          <w:p w14:paraId="3056DCA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High:  </w:t>
            </w:r>
            <w:r w:rsidRPr="00732EED">
              <w:rPr>
                <w:sz w:val="18"/>
                <w:szCs w:val="18"/>
              </w:rPr>
              <w:tab/>
            </w:r>
          </w:p>
          <w:p w14:paraId="0F5CA02F"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study employed a rigorous Interpretative Phenomenological Analysis (IPA) framework</w:t>
            </w:r>
          </w:p>
          <w:p w14:paraId="6F79DB8D"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Methodological quality was supported by researcher </w:t>
            </w:r>
            <w:r w:rsidRPr="00732EED">
              <w:rPr>
                <w:sz w:val="18"/>
                <w:szCs w:val="18"/>
              </w:rPr>
              <w:lastRenderedPageBreak/>
              <w:t>reflexivity, a collaborative analysis process between a master’s student and a PhD-qualified supervisor, and the use of expert-reviewed interview guides</w:t>
            </w:r>
          </w:p>
          <w:p w14:paraId="30E89E12"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The researchers also noted nonverbal cues to enhance data interpretation.</w:t>
            </w:r>
          </w:p>
          <w:p w14:paraId="6704D71A"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p>
        </w:tc>
        <w:tc>
          <w:tcPr>
            <w:tcW w:w="888" w:type="pct"/>
          </w:tcPr>
          <w:p w14:paraId="3FBCF3FC"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The four emerged themes are transparently supported by verbatim participant quotes that illustrate the physical, emotional, and social toll of TMDs. The findings </w:t>
            </w:r>
            <w:r w:rsidRPr="00732EED">
              <w:rPr>
                <w:sz w:val="18"/>
                <w:szCs w:val="18"/>
              </w:rPr>
              <w:lastRenderedPageBreak/>
              <w:t>regarding fatigue and functional limitations are highly coherent with existing literature on chronic orofacial pain.</w:t>
            </w:r>
          </w:p>
        </w:tc>
        <w:tc>
          <w:tcPr>
            <w:tcW w:w="958" w:type="pct"/>
          </w:tcPr>
          <w:p w14:paraId="4EE8E7D5"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Moderate:  The sample size is small (6 participants), which the authors acknowledge as a limitation regarding the generalizability of the results. However, the researchers utilized the concept of </w:t>
            </w:r>
            <w:r w:rsidRPr="00732EED">
              <w:rPr>
                <w:sz w:val="18"/>
                <w:szCs w:val="18"/>
              </w:rPr>
              <w:lastRenderedPageBreak/>
              <w:t>“information power,” ensuring that the interviews (lasting 30-90 minutes) provided rich, in-depth accounts suitable for the idiographic nature of IPA.</w:t>
            </w:r>
          </w:p>
        </w:tc>
        <w:tc>
          <w:tcPr>
            <w:tcW w:w="946" w:type="pct"/>
          </w:tcPr>
          <w:p w14:paraId="5812B5B0"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High:   </w:t>
            </w:r>
            <w:r w:rsidRPr="00732EED">
              <w:rPr>
                <w:sz w:val="18"/>
                <w:szCs w:val="18"/>
              </w:rPr>
              <w:tab/>
            </w:r>
          </w:p>
          <w:p w14:paraId="60D0FC93" w14:textId="77777777" w:rsidR="0027538E" w:rsidRPr="00732EED" w:rsidRDefault="0027538E" w:rsidP="0027538E">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The study is directly relevant to understanding the holistic impact of chronic TMDs beyond clinical symptoms. It provides specific insights into how the condition affects </w:t>
            </w:r>
            <w:r w:rsidRPr="00732EED">
              <w:rPr>
                <w:sz w:val="18"/>
                <w:szCs w:val="18"/>
              </w:rPr>
              <w:lastRenderedPageBreak/>
              <w:t>dietary habits, communication in professional roles, and social identity, offering clear implications for integrated healthcare approaches.</w:t>
            </w:r>
          </w:p>
        </w:tc>
      </w:tr>
    </w:tbl>
    <w:p w14:paraId="61F13AD8" w14:textId="5FBE1424" w:rsidR="00765C10" w:rsidRPr="00732EED" w:rsidRDefault="00765C10" w:rsidP="00765C10">
      <w:pPr>
        <w:rPr>
          <w:sz w:val="18"/>
          <w:szCs w:val="18"/>
        </w:rPr>
      </w:pPr>
      <w:r w:rsidRPr="00732EED">
        <w:rPr>
          <w:sz w:val="18"/>
          <w:szCs w:val="18"/>
        </w:rPr>
        <w:lastRenderedPageBreak/>
        <w:t xml:space="preserve">*Ratings key: Methodological Limitations / Coherence / Adequacy / Relevance graded as High / Moderate / Low / Very low following </w:t>
      </w:r>
      <w:proofErr w:type="spellStart"/>
      <w:r w:rsidRPr="00732EED">
        <w:rPr>
          <w:sz w:val="18"/>
          <w:szCs w:val="18"/>
        </w:rPr>
        <w:t>CERQual</w:t>
      </w:r>
      <w:proofErr w:type="spellEnd"/>
      <w:r w:rsidRPr="00732EED">
        <w:rPr>
          <w:sz w:val="18"/>
          <w:szCs w:val="18"/>
        </w:rPr>
        <w:t xml:space="preserve"> guidance — see Methods for grading criteria. Abbreviations: IPA = Interpretative Phenomenological Analysis; COREQ = Consolidated Criteria for Reporting Qualitative Research; JBI</w:t>
      </w:r>
      <w:r w:rsidRPr="00732EED">
        <w:rPr>
          <w:sz w:val="18"/>
          <w:szCs w:val="18"/>
        </w:rPr>
        <w:noBreakHyphen/>
        <w:t xml:space="preserve">QUARI = Joanna Briggs Institute Qualitative Assessment &amp; Review Instrument; RTA = Reflexive Thematic Analysis. Date coverage: included studies reflect searches </w:t>
      </w:r>
      <w:r w:rsidR="00327C23" w:rsidRPr="00732EED">
        <w:rPr>
          <w:sz w:val="18"/>
          <w:szCs w:val="18"/>
        </w:rPr>
        <w:t>2010-07-01 to 2025-07-31</w:t>
      </w:r>
      <w:r w:rsidRPr="00732EED">
        <w:rPr>
          <w:sz w:val="18"/>
          <w:szCs w:val="18"/>
        </w:rPr>
        <w:t>. Study mapping: Study Number</w:t>
      </w:r>
      <w:r w:rsidR="004F4FA7" w:rsidRPr="00732EED">
        <w:rPr>
          <w:sz w:val="18"/>
          <w:szCs w:val="18"/>
        </w:rPr>
        <w:t xml:space="preserve">: </w:t>
      </w:r>
      <w:r w:rsidRPr="00732EED">
        <w:rPr>
          <w:sz w:val="18"/>
          <w:szCs w:val="18"/>
        </w:rPr>
        <w:t xml:space="preserve">full citation and DOI provided in Supplementary </w:t>
      </w:r>
      <w:r w:rsidR="004F4FA7" w:rsidRPr="00732EED">
        <w:rPr>
          <w:sz w:val="18"/>
          <w:szCs w:val="18"/>
        </w:rPr>
        <w:t>References</w:t>
      </w:r>
      <w:r w:rsidRPr="00732EED">
        <w:rPr>
          <w:sz w:val="18"/>
          <w:szCs w:val="18"/>
        </w:rPr>
        <w:t xml:space="preserve">; appraisal source notes and raw QA ratings available in Supplementary Table S5. Duplication </w:t>
      </w:r>
      <w:proofErr w:type="gramStart"/>
      <w:r w:rsidR="004F4FA7" w:rsidRPr="00732EED">
        <w:rPr>
          <w:sz w:val="18"/>
          <w:szCs w:val="18"/>
        </w:rPr>
        <w:t>note</w:t>
      </w:r>
      <w:proofErr w:type="gramEnd"/>
      <w:r w:rsidRPr="00732EED">
        <w:rPr>
          <w:sz w:val="18"/>
          <w:szCs w:val="18"/>
        </w:rPr>
        <w:t xml:space="preserve"> linked reports from the same participant sample (e.g., Ojala series; Stensland sub</w:t>
      </w:r>
      <w:r w:rsidRPr="00732EED">
        <w:rPr>
          <w:sz w:val="18"/>
          <w:szCs w:val="18"/>
        </w:rPr>
        <w:noBreakHyphen/>
        <w:t>studies) are documented in Supplementary Table S4 and treated as linked reports rather than independent samples in summary tallies.  Missing data: blank or partial cells indicate information not reported in the original paper (NR = not reported); where applicable these are noted in the appraisal notes (Supplementary Table S5). Transparency: full extraction notes, verbatim quotes used for coherence assessments, and QA checklists (CASP/MMAT) are provided in Supplementary Files S5–S7 to allow reproducibility.</w:t>
      </w:r>
    </w:p>
    <w:p w14:paraId="2E15DEA3" w14:textId="77777777" w:rsidR="00EC7AE5" w:rsidRPr="00732EED" w:rsidRDefault="00EC7AE5" w:rsidP="00D30385">
      <w:pPr>
        <w:rPr>
          <w:b/>
          <w:color w:val="000000"/>
          <w:sz w:val="18"/>
          <w:szCs w:val="18"/>
        </w:rPr>
      </w:pPr>
    </w:p>
    <w:p w14:paraId="2C8C238A" w14:textId="636AA198" w:rsidR="00EC7AE5" w:rsidRPr="00732EED" w:rsidRDefault="00EC7AE5" w:rsidP="00765C10">
      <w:pPr>
        <w:rPr>
          <w:b/>
          <w:sz w:val="18"/>
          <w:szCs w:val="18"/>
        </w:rPr>
      </w:pPr>
      <w:r w:rsidRPr="00732EED">
        <w:rPr>
          <w:b/>
          <w:sz w:val="18"/>
          <w:szCs w:val="18"/>
        </w:rPr>
        <w:t>Table S</w:t>
      </w:r>
      <w:r w:rsidR="000F2A82" w:rsidRPr="00732EED">
        <w:rPr>
          <w:b/>
          <w:sz w:val="18"/>
          <w:szCs w:val="18"/>
        </w:rPr>
        <w:t>6</w:t>
      </w:r>
      <w:r w:rsidRPr="00732EED">
        <w:rPr>
          <w:b/>
          <w:sz w:val="18"/>
          <w:szCs w:val="18"/>
        </w:rPr>
        <w:t xml:space="preserve">. </w:t>
      </w:r>
      <w:bookmarkStart w:id="0" w:name="OLE_LINK1"/>
      <w:r w:rsidRPr="00732EED">
        <w:rPr>
          <w:b/>
          <w:sz w:val="18"/>
          <w:szCs w:val="18"/>
        </w:rPr>
        <w:t>Quality assessment using the CASP tool</w:t>
      </w:r>
      <w:r w:rsidR="00327C23" w:rsidRPr="00732EED">
        <w:rPr>
          <w:b/>
          <w:sz w:val="18"/>
          <w:szCs w:val="18"/>
        </w:rPr>
        <w:t>*</w:t>
      </w:r>
    </w:p>
    <w:tbl>
      <w:tblPr>
        <w:tblStyle w:val="PlainTable1"/>
        <w:tblW w:w="4500" w:type="pct"/>
        <w:tblLook w:val="04A0" w:firstRow="1" w:lastRow="0" w:firstColumn="1" w:lastColumn="0" w:noHBand="0" w:noVBand="1"/>
      </w:tblPr>
      <w:tblGrid>
        <w:gridCol w:w="766"/>
        <w:gridCol w:w="1461"/>
        <w:gridCol w:w="906"/>
        <w:gridCol w:w="1166"/>
        <w:gridCol w:w="1036"/>
        <w:gridCol w:w="1116"/>
        <w:gridCol w:w="936"/>
        <w:gridCol w:w="1076"/>
        <w:gridCol w:w="916"/>
        <w:gridCol w:w="1036"/>
        <w:gridCol w:w="906"/>
        <w:gridCol w:w="906"/>
      </w:tblGrid>
      <w:tr w:rsidR="00EC7AE5" w:rsidRPr="00732EED" w14:paraId="289C8DAE" w14:textId="77777777" w:rsidTr="004D09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bookmarkEnd w:id="0"/>
          <w:p w14:paraId="173C4186" w14:textId="77777777" w:rsidR="00EC7AE5" w:rsidRPr="00732EED" w:rsidRDefault="00EC7AE5" w:rsidP="00DC5B3C">
            <w:pPr>
              <w:rPr>
                <w:b w:val="0"/>
                <w:sz w:val="18"/>
                <w:szCs w:val="18"/>
              </w:rPr>
            </w:pPr>
            <w:r w:rsidRPr="00732EED">
              <w:rPr>
                <w:b w:val="0"/>
                <w:sz w:val="18"/>
                <w:szCs w:val="18"/>
              </w:rPr>
              <w:t>Study number</w:t>
            </w:r>
          </w:p>
        </w:tc>
        <w:tc>
          <w:tcPr>
            <w:tcW w:w="552" w:type="pct"/>
          </w:tcPr>
          <w:p w14:paraId="7DAA63BA"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Study ID</w:t>
            </w:r>
          </w:p>
        </w:tc>
        <w:tc>
          <w:tcPr>
            <w:tcW w:w="376" w:type="pct"/>
          </w:tcPr>
          <w:p w14:paraId="0CC0E3AA"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proofErr w:type="gramStart"/>
            <w:r w:rsidRPr="00732EED">
              <w:rPr>
                <w:b w:val="0"/>
                <w:sz w:val="18"/>
                <w:szCs w:val="18"/>
              </w:rPr>
              <w:t>Was</w:t>
            </w:r>
            <w:proofErr w:type="gramEnd"/>
            <w:r w:rsidRPr="00732EED">
              <w:rPr>
                <w:b w:val="0"/>
                <w:sz w:val="18"/>
                <w:szCs w:val="18"/>
              </w:rPr>
              <w:t xml:space="preserve"> there a clear statement of the research aims?</w:t>
            </w:r>
          </w:p>
        </w:tc>
        <w:tc>
          <w:tcPr>
            <w:tcW w:w="468" w:type="pct"/>
          </w:tcPr>
          <w:p w14:paraId="5EEAA56E"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Is the qualitative methodology appropriate?</w:t>
            </w:r>
          </w:p>
        </w:tc>
        <w:tc>
          <w:tcPr>
            <w:tcW w:w="436" w:type="pct"/>
          </w:tcPr>
          <w:p w14:paraId="6AD96166"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Was the research design appropriate to address the aims?</w:t>
            </w:r>
          </w:p>
        </w:tc>
        <w:tc>
          <w:tcPr>
            <w:tcW w:w="468" w:type="pct"/>
          </w:tcPr>
          <w:p w14:paraId="307A6A3C"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Was the recruitment strategy appropriate?</w:t>
            </w:r>
          </w:p>
        </w:tc>
        <w:tc>
          <w:tcPr>
            <w:tcW w:w="391" w:type="pct"/>
          </w:tcPr>
          <w:p w14:paraId="634A5417"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Was the data collection method adequate?</w:t>
            </w:r>
          </w:p>
        </w:tc>
        <w:tc>
          <w:tcPr>
            <w:tcW w:w="440" w:type="pct"/>
          </w:tcPr>
          <w:p w14:paraId="3588DD75"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Was the relationship between researchers and participants considered?</w:t>
            </w:r>
          </w:p>
        </w:tc>
        <w:tc>
          <w:tcPr>
            <w:tcW w:w="380" w:type="pct"/>
          </w:tcPr>
          <w:p w14:paraId="5EA4A8F2"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Was ethical approval obtained?</w:t>
            </w:r>
          </w:p>
        </w:tc>
        <w:tc>
          <w:tcPr>
            <w:tcW w:w="412" w:type="pct"/>
          </w:tcPr>
          <w:p w14:paraId="6DF224C7"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Were data analysis methods sufficiently rigorous?</w:t>
            </w:r>
          </w:p>
        </w:tc>
        <w:tc>
          <w:tcPr>
            <w:tcW w:w="376" w:type="pct"/>
          </w:tcPr>
          <w:p w14:paraId="7D79D077"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Is there a clear statement of findings?</w:t>
            </w:r>
          </w:p>
        </w:tc>
        <w:tc>
          <w:tcPr>
            <w:tcW w:w="373" w:type="pct"/>
          </w:tcPr>
          <w:p w14:paraId="453F4DE8" w14:textId="77777777" w:rsidR="00EC7AE5" w:rsidRPr="00732EED" w:rsidRDefault="00EC7AE5" w:rsidP="00DC5B3C">
            <w:pPr>
              <w:cnfStyle w:val="100000000000" w:firstRow="1" w:lastRow="0" w:firstColumn="0" w:lastColumn="0" w:oddVBand="0" w:evenVBand="0" w:oddHBand="0" w:evenHBand="0" w:firstRowFirstColumn="0" w:firstRowLastColumn="0" w:lastRowFirstColumn="0" w:lastRowLastColumn="0"/>
              <w:rPr>
                <w:b w:val="0"/>
                <w:sz w:val="18"/>
                <w:szCs w:val="18"/>
              </w:rPr>
            </w:pPr>
            <w:r w:rsidRPr="00732EED">
              <w:rPr>
                <w:b w:val="0"/>
                <w:sz w:val="18"/>
                <w:szCs w:val="18"/>
              </w:rPr>
              <w:t>Was the research valuable?</w:t>
            </w:r>
          </w:p>
        </w:tc>
      </w:tr>
      <w:tr w:rsidR="00EC7AE5" w:rsidRPr="00732EED" w14:paraId="0B40C019"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18F4223B" w14:textId="77777777" w:rsidR="00EC7AE5" w:rsidRPr="00732EED" w:rsidRDefault="00EC7AE5" w:rsidP="00DC5B3C">
            <w:pPr>
              <w:rPr>
                <w:bCs w:val="0"/>
                <w:sz w:val="18"/>
                <w:szCs w:val="18"/>
              </w:rPr>
            </w:pPr>
            <w:r w:rsidRPr="00732EED">
              <w:rPr>
                <w:sz w:val="18"/>
                <w:szCs w:val="18"/>
              </w:rPr>
              <w:t>1</w:t>
            </w:r>
          </w:p>
        </w:tc>
        <w:tc>
          <w:tcPr>
            <w:tcW w:w="552" w:type="pct"/>
          </w:tcPr>
          <w:p w14:paraId="68D1F8F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1B1B1B"/>
                <w:sz w:val="18"/>
                <w:szCs w:val="18"/>
                <w:shd w:val="clear" w:color="auto" w:fill="FFFFFF"/>
              </w:rPr>
              <w:t xml:space="preserve">Krohne and </w:t>
            </w:r>
            <w:proofErr w:type="spellStart"/>
            <w:r w:rsidRPr="00732EED">
              <w:rPr>
                <w:bCs/>
                <w:color w:val="1B1B1B"/>
                <w:sz w:val="18"/>
                <w:szCs w:val="18"/>
                <w:shd w:val="clear" w:color="auto" w:fill="FFFFFF"/>
              </w:rPr>
              <w:t>Ihlebaek</w:t>
            </w:r>
            <w:proofErr w:type="spellEnd"/>
            <w:r w:rsidRPr="00732EED">
              <w:rPr>
                <w:bCs/>
                <w:color w:val="1B1B1B"/>
                <w:sz w:val="18"/>
                <w:szCs w:val="18"/>
                <w:shd w:val="clear" w:color="auto" w:fill="FFFFFF"/>
              </w:rPr>
              <w:t>, 2010</w:t>
            </w:r>
          </w:p>
        </w:tc>
        <w:tc>
          <w:tcPr>
            <w:tcW w:w="376" w:type="pct"/>
          </w:tcPr>
          <w:p w14:paraId="5A49EDA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12F278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690BB27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0CB66D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163407A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6515DC6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12B4EE6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22B20E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0B99902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1D3B693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368215C9"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E163362" w14:textId="77777777" w:rsidR="00EC7AE5" w:rsidRPr="00732EED" w:rsidRDefault="00EC7AE5" w:rsidP="00DC5B3C">
            <w:pPr>
              <w:rPr>
                <w:bCs w:val="0"/>
                <w:sz w:val="18"/>
                <w:szCs w:val="18"/>
              </w:rPr>
            </w:pPr>
            <w:r w:rsidRPr="00732EED">
              <w:rPr>
                <w:sz w:val="18"/>
                <w:szCs w:val="18"/>
              </w:rPr>
              <w:t>2</w:t>
            </w:r>
          </w:p>
        </w:tc>
        <w:tc>
          <w:tcPr>
            <w:tcW w:w="552" w:type="pct"/>
          </w:tcPr>
          <w:p w14:paraId="44BE083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roofErr w:type="spellStart"/>
            <w:r w:rsidRPr="00732EED">
              <w:rPr>
                <w:bCs/>
                <w:sz w:val="18"/>
                <w:szCs w:val="18"/>
              </w:rPr>
              <w:t>Skjutar</w:t>
            </w:r>
            <w:proofErr w:type="spellEnd"/>
            <w:r w:rsidRPr="00732EED">
              <w:rPr>
                <w:bCs/>
                <w:sz w:val="18"/>
                <w:szCs w:val="18"/>
              </w:rPr>
              <w:t xml:space="preserve"> and </w:t>
            </w:r>
            <w:proofErr w:type="spellStart"/>
            <w:r w:rsidRPr="00732EED">
              <w:rPr>
                <w:bCs/>
                <w:sz w:val="18"/>
                <w:szCs w:val="18"/>
              </w:rPr>
              <w:t>Müllersdorf</w:t>
            </w:r>
            <w:proofErr w:type="spellEnd"/>
            <w:r w:rsidRPr="00732EED">
              <w:rPr>
                <w:bCs/>
                <w:sz w:val="18"/>
                <w:szCs w:val="18"/>
              </w:rPr>
              <w:t>, 2010</w:t>
            </w:r>
          </w:p>
        </w:tc>
        <w:tc>
          <w:tcPr>
            <w:tcW w:w="376" w:type="pct"/>
          </w:tcPr>
          <w:p w14:paraId="494D5EF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84062A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19145F8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DA0A75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74169E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388E24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380" w:type="pct"/>
          </w:tcPr>
          <w:p w14:paraId="355E182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75D0B5B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62D8978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2A3B0D8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423C5846"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378A8687" w14:textId="77777777" w:rsidR="00EC7AE5" w:rsidRPr="00732EED" w:rsidRDefault="00EC7AE5" w:rsidP="00DC5B3C">
            <w:pPr>
              <w:rPr>
                <w:bCs w:val="0"/>
                <w:sz w:val="18"/>
                <w:szCs w:val="18"/>
              </w:rPr>
            </w:pPr>
            <w:r w:rsidRPr="00732EED">
              <w:rPr>
                <w:sz w:val="18"/>
                <w:szCs w:val="18"/>
              </w:rPr>
              <w:t>3</w:t>
            </w:r>
          </w:p>
        </w:tc>
        <w:tc>
          <w:tcPr>
            <w:tcW w:w="552" w:type="pct"/>
          </w:tcPr>
          <w:p w14:paraId="5857BFF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212121"/>
                <w:sz w:val="18"/>
                <w:szCs w:val="18"/>
                <w:shd w:val="clear" w:color="auto" w:fill="FFFFFF"/>
              </w:rPr>
              <w:t>Vallerand and Nowak, 2010</w:t>
            </w:r>
          </w:p>
        </w:tc>
        <w:tc>
          <w:tcPr>
            <w:tcW w:w="376" w:type="pct"/>
          </w:tcPr>
          <w:p w14:paraId="396C0ED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181489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57CA621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A2287D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69C1325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33B5368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49F8D93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6AB1F17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7893DF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771A2CF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76753394"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20134D2C"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4</w:t>
            </w:r>
          </w:p>
        </w:tc>
        <w:tc>
          <w:tcPr>
            <w:tcW w:w="552" w:type="pct"/>
          </w:tcPr>
          <w:p w14:paraId="1F845F5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12121"/>
                <w:sz w:val="18"/>
                <w:szCs w:val="18"/>
                <w:shd w:val="clear" w:color="auto" w:fill="FFFFFF"/>
              </w:rPr>
            </w:pPr>
            <w:r w:rsidRPr="00732EED">
              <w:rPr>
                <w:bCs/>
                <w:color w:val="212121"/>
                <w:sz w:val="18"/>
                <w:szCs w:val="18"/>
                <w:shd w:val="clear" w:color="auto" w:fill="FFFFFF"/>
              </w:rPr>
              <w:t>Hansson et al., 2011</w:t>
            </w:r>
          </w:p>
        </w:tc>
        <w:tc>
          <w:tcPr>
            <w:tcW w:w="376" w:type="pct"/>
          </w:tcPr>
          <w:p w14:paraId="344B261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201EA4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E853AB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829B28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32B1D1A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6AC50F3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24E5B47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No</w:t>
            </w:r>
          </w:p>
        </w:tc>
        <w:tc>
          <w:tcPr>
            <w:tcW w:w="412" w:type="pct"/>
          </w:tcPr>
          <w:p w14:paraId="1B49A42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32A70D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3E379C5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15A609DF"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0948B8A5"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5</w:t>
            </w:r>
          </w:p>
        </w:tc>
        <w:tc>
          <w:tcPr>
            <w:tcW w:w="552" w:type="pct"/>
          </w:tcPr>
          <w:p w14:paraId="45E0396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12121"/>
                <w:sz w:val="18"/>
                <w:szCs w:val="18"/>
                <w:shd w:val="clear" w:color="auto" w:fill="FFFFFF"/>
              </w:rPr>
            </w:pPr>
            <w:proofErr w:type="spellStart"/>
            <w:r w:rsidRPr="00732EED">
              <w:rPr>
                <w:bCs/>
                <w:color w:val="212121"/>
                <w:sz w:val="18"/>
                <w:szCs w:val="18"/>
                <w:shd w:val="clear" w:color="auto" w:fill="FFFFFF"/>
              </w:rPr>
              <w:t>Skuladottir</w:t>
            </w:r>
            <w:proofErr w:type="spellEnd"/>
            <w:r w:rsidRPr="00732EED">
              <w:rPr>
                <w:bCs/>
                <w:color w:val="212121"/>
                <w:sz w:val="18"/>
                <w:szCs w:val="18"/>
                <w:shd w:val="clear" w:color="auto" w:fill="FFFFFF"/>
              </w:rPr>
              <w:t xml:space="preserve"> and Halldorsdottir, 2011</w:t>
            </w:r>
          </w:p>
        </w:tc>
        <w:tc>
          <w:tcPr>
            <w:tcW w:w="376" w:type="pct"/>
          </w:tcPr>
          <w:p w14:paraId="4608003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BFDDE6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15490E4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EB46D0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AC6FC0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1EBFA6F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975D07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77CC151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B50F5D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1BF4B3E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4D598484"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1DD573E6" w14:textId="77777777" w:rsidR="00EC7AE5" w:rsidRPr="00732EED" w:rsidRDefault="00EC7AE5" w:rsidP="00DC5B3C">
            <w:pPr>
              <w:rPr>
                <w:bCs w:val="0"/>
                <w:sz w:val="18"/>
                <w:szCs w:val="18"/>
              </w:rPr>
            </w:pPr>
            <w:r w:rsidRPr="00732EED">
              <w:rPr>
                <w:sz w:val="18"/>
                <w:szCs w:val="18"/>
              </w:rPr>
              <w:t>6</w:t>
            </w:r>
          </w:p>
        </w:tc>
        <w:tc>
          <w:tcPr>
            <w:tcW w:w="552" w:type="pct"/>
          </w:tcPr>
          <w:p w14:paraId="20CC07C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12121"/>
                <w:sz w:val="18"/>
                <w:szCs w:val="18"/>
                <w:shd w:val="clear" w:color="auto" w:fill="FFFFFF"/>
              </w:rPr>
            </w:pPr>
            <w:r w:rsidRPr="00732EED">
              <w:rPr>
                <w:bCs/>
                <w:color w:val="212121"/>
                <w:sz w:val="18"/>
                <w:szCs w:val="18"/>
                <w:shd w:val="clear" w:color="auto" w:fill="FFFFFF"/>
              </w:rPr>
              <w:t>Tollefson et al., 2011</w:t>
            </w:r>
          </w:p>
        </w:tc>
        <w:tc>
          <w:tcPr>
            <w:tcW w:w="376" w:type="pct"/>
          </w:tcPr>
          <w:p w14:paraId="4E52891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F61717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684A108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C6A183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0D30B14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200DD7D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E1D63C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58890CD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1CBDE47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3BF1FBE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9FBA0AF"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7E3D8D3F" w14:textId="77777777" w:rsidR="00EC7AE5" w:rsidRPr="00732EED" w:rsidRDefault="00EC7AE5" w:rsidP="00DC5B3C">
            <w:pPr>
              <w:rPr>
                <w:bCs w:val="0"/>
                <w:sz w:val="18"/>
                <w:szCs w:val="18"/>
              </w:rPr>
            </w:pPr>
            <w:r w:rsidRPr="00732EED">
              <w:rPr>
                <w:sz w:val="18"/>
                <w:szCs w:val="18"/>
              </w:rPr>
              <w:t>7</w:t>
            </w:r>
          </w:p>
        </w:tc>
        <w:tc>
          <w:tcPr>
            <w:tcW w:w="552" w:type="pct"/>
          </w:tcPr>
          <w:p w14:paraId="1A60AD2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212121"/>
                <w:sz w:val="18"/>
                <w:szCs w:val="18"/>
                <w:shd w:val="clear" w:color="auto" w:fill="FFFFFF"/>
              </w:rPr>
              <w:t>Lavie-Ajayi et al., 2012</w:t>
            </w:r>
          </w:p>
        </w:tc>
        <w:tc>
          <w:tcPr>
            <w:tcW w:w="376" w:type="pct"/>
          </w:tcPr>
          <w:p w14:paraId="09DFE0B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CBD097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2B205E5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3D0EAA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0C7E75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200284B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380" w:type="pct"/>
          </w:tcPr>
          <w:p w14:paraId="1BAA3C5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6CD9C9F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7A260C4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20B2E4A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5D7F338C"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15501944" w14:textId="77777777" w:rsidR="00EC7AE5" w:rsidRPr="00732EED" w:rsidRDefault="00EC7AE5" w:rsidP="00DC5B3C">
            <w:pPr>
              <w:rPr>
                <w:bCs w:val="0"/>
                <w:sz w:val="18"/>
                <w:szCs w:val="18"/>
              </w:rPr>
            </w:pPr>
            <w:r w:rsidRPr="00732EED">
              <w:rPr>
                <w:sz w:val="18"/>
                <w:szCs w:val="18"/>
              </w:rPr>
              <w:t>8</w:t>
            </w:r>
          </w:p>
        </w:tc>
        <w:tc>
          <w:tcPr>
            <w:tcW w:w="552" w:type="pct"/>
          </w:tcPr>
          <w:p w14:paraId="3CE6085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000000" w:themeColor="text1"/>
                <w:sz w:val="18"/>
                <w:szCs w:val="18"/>
              </w:rPr>
            </w:pPr>
            <w:r w:rsidRPr="00732EED">
              <w:rPr>
                <w:bCs/>
                <w:color w:val="000000" w:themeColor="text1"/>
                <w:sz w:val="18"/>
                <w:szCs w:val="18"/>
              </w:rPr>
              <w:t>Nay and Fetherstonhaugh, 2012</w:t>
            </w:r>
          </w:p>
        </w:tc>
        <w:tc>
          <w:tcPr>
            <w:tcW w:w="376" w:type="pct"/>
          </w:tcPr>
          <w:p w14:paraId="5FD9D14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23DB5E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478527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7002FC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4D3637B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34035CF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001142A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31369D8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1745A82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6651719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 xml:space="preserve">Yes </w:t>
            </w:r>
          </w:p>
        </w:tc>
      </w:tr>
      <w:tr w:rsidR="00EC7AE5" w:rsidRPr="00732EED" w14:paraId="358C0ECA"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73E97A91" w14:textId="77777777" w:rsidR="00EC7AE5" w:rsidRPr="00732EED" w:rsidRDefault="00EC7AE5" w:rsidP="00DC5B3C">
            <w:pPr>
              <w:rPr>
                <w:bCs w:val="0"/>
                <w:sz w:val="18"/>
                <w:szCs w:val="18"/>
              </w:rPr>
            </w:pPr>
            <w:r w:rsidRPr="00732EED">
              <w:rPr>
                <w:sz w:val="18"/>
                <w:szCs w:val="18"/>
              </w:rPr>
              <w:lastRenderedPageBreak/>
              <w:t>9</w:t>
            </w:r>
          </w:p>
        </w:tc>
        <w:tc>
          <w:tcPr>
            <w:tcW w:w="552" w:type="pct"/>
          </w:tcPr>
          <w:p w14:paraId="5F0FFE6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12121"/>
                <w:sz w:val="18"/>
                <w:szCs w:val="18"/>
                <w:shd w:val="clear" w:color="auto" w:fill="FFFFFF"/>
              </w:rPr>
            </w:pPr>
            <w:r w:rsidRPr="00732EED">
              <w:rPr>
                <w:bCs/>
                <w:color w:val="000000" w:themeColor="text1"/>
                <w:sz w:val="18"/>
                <w:szCs w:val="18"/>
              </w:rPr>
              <w:t>West et al., 2012</w:t>
            </w:r>
          </w:p>
        </w:tc>
        <w:tc>
          <w:tcPr>
            <w:tcW w:w="376" w:type="pct"/>
          </w:tcPr>
          <w:p w14:paraId="03A01E8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0BFB16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4504A0A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D939B9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02C45B1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41E7C23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7312CD0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334FE7C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B7C52C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0B7F813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026024F3"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9203AFD"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10</w:t>
            </w:r>
          </w:p>
        </w:tc>
        <w:tc>
          <w:tcPr>
            <w:tcW w:w="552" w:type="pct"/>
          </w:tcPr>
          <w:p w14:paraId="4483F36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Snelgrove et al., 2013</w:t>
            </w:r>
          </w:p>
        </w:tc>
        <w:tc>
          <w:tcPr>
            <w:tcW w:w="376" w:type="pct"/>
          </w:tcPr>
          <w:p w14:paraId="151E453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551ED5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730A78A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3C3369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231156C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6B3B051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23FBD7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12" w:type="pct"/>
          </w:tcPr>
          <w:p w14:paraId="7254645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2A9AE70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139CD33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3F23F8E9"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3D763FB1"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11</w:t>
            </w:r>
          </w:p>
        </w:tc>
        <w:tc>
          <w:tcPr>
            <w:tcW w:w="552" w:type="pct"/>
          </w:tcPr>
          <w:p w14:paraId="7C7632B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Taylor et al., 2013</w:t>
            </w:r>
          </w:p>
        </w:tc>
        <w:tc>
          <w:tcPr>
            <w:tcW w:w="376" w:type="pct"/>
          </w:tcPr>
          <w:p w14:paraId="5D85211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752BA8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1BCACB1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DDD5F4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409E378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10C45FF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58A1D26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412" w:type="pct"/>
          </w:tcPr>
          <w:p w14:paraId="5312A80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0DC57EE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6CA2DDC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33F43992"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6210CACC" w14:textId="77777777" w:rsidR="00EC7AE5" w:rsidRPr="00732EED" w:rsidRDefault="00EC7AE5" w:rsidP="00DC5B3C">
            <w:pPr>
              <w:rPr>
                <w:bCs w:val="0"/>
                <w:sz w:val="18"/>
                <w:szCs w:val="18"/>
              </w:rPr>
            </w:pPr>
            <w:r w:rsidRPr="00732EED">
              <w:rPr>
                <w:sz w:val="18"/>
                <w:szCs w:val="18"/>
              </w:rPr>
              <w:t>12</w:t>
            </w:r>
          </w:p>
        </w:tc>
        <w:tc>
          <w:tcPr>
            <w:tcW w:w="552" w:type="pct"/>
          </w:tcPr>
          <w:p w14:paraId="3940F13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Furnes et al., 2014</w:t>
            </w:r>
          </w:p>
        </w:tc>
        <w:tc>
          <w:tcPr>
            <w:tcW w:w="376" w:type="pct"/>
          </w:tcPr>
          <w:p w14:paraId="0B73980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C9C7A2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4A07A8D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2E575F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7EB0BC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6F2F879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0D72865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7D97F46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987A32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738AEEB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F3C0A7A"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3B516949" w14:textId="77777777" w:rsidR="00EC7AE5" w:rsidRPr="00732EED" w:rsidRDefault="00EC7AE5" w:rsidP="00DC5B3C">
            <w:pPr>
              <w:rPr>
                <w:bCs w:val="0"/>
                <w:sz w:val="18"/>
                <w:szCs w:val="18"/>
              </w:rPr>
            </w:pPr>
            <w:r w:rsidRPr="00732EED">
              <w:rPr>
                <w:sz w:val="18"/>
                <w:szCs w:val="18"/>
              </w:rPr>
              <w:t>13</w:t>
            </w:r>
          </w:p>
        </w:tc>
        <w:tc>
          <w:tcPr>
            <w:tcW w:w="552" w:type="pct"/>
          </w:tcPr>
          <w:p w14:paraId="3D40E7C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Juuso et al., 2014</w:t>
            </w:r>
          </w:p>
        </w:tc>
        <w:tc>
          <w:tcPr>
            <w:tcW w:w="376" w:type="pct"/>
          </w:tcPr>
          <w:p w14:paraId="7E091B2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E63A12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0F2A23E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EB0C48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3E70B7A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054158A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6F1FAB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7C2C43B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92E289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0AD7AE0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0B60F9AE"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0D6AAC30" w14:textId="77777777" w:rsidR="00EC7AE5" w:rsidRPr="00732EED" w:rsidRDefault="00EC7AE5" w:rsidP="00DC5B3C">
            <w:pPr>
              <w:rPr>
                <w:bCs w:val="0"/>
                <w:sz w:val="18"/>
                <w:szCs w:val="18"/>
              </w:rPr>
            </w:pPr>
            <w:r w:rsidRPr="00732EED">
              <w:rPr>
                <w:sz w:val="18"/>
                <w:szCs w:val="18"/>
              </w:rPr>
              <w:t>14</w:t>
            </w:r>
          </w:p>
        </w:tc>
        <w:tc>
          <w:tcPr>
            <w:tcW w:w="552" w:type="pct"/>
          </w:tcPr>
          <w:p w14:paraId="505C53F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Mahon et al., 2014</w:t>
            </w:r>
          </w:p>
        </w:tc>
        <w:tc>
          <w:tcPr>
            <w:tcW w:w="376" w:type="pct"/>
          </w:tcPr>
          <w:p w14:paraId="010D790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CE9D78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31FDBD1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E4C148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77BBDAC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7CC4E16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28090A6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7DE122B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0FD34F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4CE514E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40BE36CB"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22574E6C" w14:textId="77777777" w:rsidR="00EC7AE5" w:rsidRPr="00732EED" w:rsidRDefault="00EC7AE5" w:rsidP="00DC5B3C">
            <w:pPr>
              <w:rPr>
                <w:bCs w:val="0"/>
                <w:sz w:val="18"/>
                <w:szCs w:val="18"/>
              </w:rPr>
            </w:pPr>
            <w:r w:rsidRPr="00732EED">
              <w:rPr>
                <w:sz w:val="18"/>
                <w:szCs w:val="18"/>
              </w:rPr>
              <w:t>15</w:t>
            </w:r>
          </w:p>
        </w:tc>
        <w:tc>
          <w:tcPr>
            <w:tcW w:w="552" w:type="pct"/>
          </w:tcPr>
          <w:p w14:paraId="0A68404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Mathias et al., 2014</w:t>
            </w:r>
          </w:p>
        </w:tc>
        <w:tc>
          <w:tcPr>
            <w:tcW w:w="376" w:type="pct"/>
          </w:tcPr>
          <w:p w14:paraId="5C76C2B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31938B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09A22BA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D70CD8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B8A830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6BD2419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7C2C379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75CA88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8BAA18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3AD2B6D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22836F9A"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C48E2E9" w14:textId="77777777" w:rsidR="00EC7AE5" w:rsidRPr="00732EED" w:rsidRDefault="00EC7AE5" w:rsidP="00DC5B3C">
            <w:pPr>
              <w:rPr>
                <w:bCs w:val="0"/>
                <w:sz w:val="18"/>
                <w:szCs w:val="18"/>
              </w:rPr>
            </w:pPr>
            <w:r w:rsidRPr="00732EED">
              <w:rPr>
                <w:sz w:val="18"/>
                <w:szCs w:val="18"/>
              </w:rPr>
              <w:t>16</w:t>
            </w:r>
          </w:p>
        </w:tc>
        <w:tc>
          <w:tcPr>
            <w:tcW w:w="552" w:type="pct"/>
          </w:tcPr>
          <w:p w14:paraId="7335E45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Merolli et al., 2014</w:t>
            </w:r>
          </w:p>
        </w:tc>
        <w:tc>
          <w:tcPr>
            <w:tcW w:w="376" w:type="pct"/>
          </w:tcPr>
          <w:p w14:paraId="758542A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45A0BB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D7FE3E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E57549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4754CA6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1AE55E9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 xml:space="preserve">Cannot tell </w:t>
            </w:r>
          </w:p>
        </w:tc>
        <w:tc>
          <w:tcPr>
            <w:tcW w:w="380" w:type="pct"/>
          </w:tcPr>
          <w:p w14:paraId="6C6B38F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6874978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5BE6A49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3A45CAD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5D11931"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275D2417"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17</w:t>
            </w:r>
          </w:p>
        </w:tc>
        <w:tc>
          <w:tcPr>
            <w:tcW w:w="552" w:type="pct"/>
          </w:tcPr>
          <w:p w14:paraId="3B3E423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Nilsen and Andersen, 2014</w:t>
            </w:r>
          </w:p>
        </w:tc>
        <w:tc>
          <w:tcPr>
            <w:tcW w:w="376" w:type="pct"/>
          </w:tcPr>
          <w:p w14:paraId="5E7F639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81B89D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3384DB7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AE471E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78F330B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24A0CF5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380" w:type="pct"/>
          </w:tcPr>
          <w:p w14:paraId="483F4E5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412" w:type="pct"/>
          </w:tcPr>
          <w:p w14:paraId="3FAD449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 xml:space="preserve">Yes </w:t>
            </w:r>
          </w:p>
        </w:tc>
        <w:tc>
          <w:tcPr>
            <w:tcW w:w="376" w:type="pct"/>
          </w:tcPr>
          <w:p w14:paraId="752DE8D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7D49731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70DB1494"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1C02C91"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18</w:t>
            </w:r>
          </w:p>
        </w:tc>
        <w:tc>
          <w:tcPr>
            <w:tcW w:w="552" w:type="pct"/>
          </w:tcPr>
          <w:p w14:paraId="047A804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Ojala et al., 2014</w:t>
            </w:r>
          </w:p>
        </w:tc>
        <w:tc>
          <w:tcPr>
            <w:tcW w:w="376" w:type="pct"/>
          </w:tcPr>
          <w:p w14:paraId="6A9725B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38DB63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E95322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CB2D76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63FDF88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2133839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04D2FE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3C343D5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3B20F1F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79EF6AA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594B8805"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1FB16D79"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19</w:t>
            </w:r>
          </w:p>
        </w:tc>
        <w:tc>
          <w:tcPr>
            <w:tcW w:w="552" w:type="pct"/>
          </w:tcPr>
          <w:p w14:paraId="74C1909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proofErr w:type="spellStart"/>
            <w:r w:rsidRPr="00732EED">
              <w:rPr>
                <w:bCs/>
                <w:color w:val="222222"/>
                <w:sz w:val="18"/>
                <w:szCs w:val="18"/>
                <w:shd w:val="clear" w:color="auto" w:fill="FFFFFF"/>
              </w:rPr>
              <w:t>Dysvik</w:t>
            </w:r>
            <w:proofErr w:type="spellEnd"/>
            <w:r w:rsidRPr="00732EED">
              <w:rPr>
                <w:bCs/>
                <w:color w:val="222222"/>
                <w:sz w:val="18"/>
                <w:szCs w:val="18"/>
                <w:shd w:val="clear" w:color="auto" w:fill="FFFFFF"/>
              </w:rPr>
              <w:t xml:space="preserve"> et al., 2014</w:t>
            </w:r>
          </w:p>
        </w:tc>
        <w:tc>
          <w:tcPr>
            <w:tcW w:w="376" w:type="pct"/>
          </w:tcPr>
          <w:p w14:paraId="40D52F0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D79D35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55ACB7F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E1A945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3CBA838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5A53F64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621B084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218B45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8CBBB8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AE549C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78E56E65"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1ADFAE9"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20</w:t>
            </w:r>
          </w:p>
        </w:tc>
        <w:tc>
          <w:tcPr>
            <w:tcW w:w="552" w:type="pct"/>
          </w:tcPr>
          <w:p w14:paraId="4A7FA75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Brooks et al., 2015</w:t>
            </w:r>
          </w:p>
        </w:tc>
        <w:tc>
          <w:tcPr>
            <w:tcW w:w="376" w:type="pct"/>
          </w:tcPr>
          <w:p w14:paraId="1E43A79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48251A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368289A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8E757F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6E2623C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48365D1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689EC56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2E08C0A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20D3F9F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7F29927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3A412165"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14C90052"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21</w:t>
            </w:r>
          </w:p>
        </w:tc>
        <w:tc>
          <w:tcPr>
            <w:tcW w:w="552" w:type="pct"/>
          </w:tcPr>
          <w:p w14:paraId="7E1E055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De Villiers et al., 2015</w:t>
            </w:r>
          </w:p>
        </w:tc>
        <w:tc>
          <w:tcPr>
            <w:tcW w:w="376" w:type="pct"/>
          </w:tcPr>
          <w:p w14:paraId="60C05D6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ECC479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0DE3E39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A9E1ED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1F12374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18DEC34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4F7697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1296DEA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0E8FC1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51B0FF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5F19A2CD"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6FAAFA47"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22</w:t>
            </w:r>
          </w:p>
        </w:tc>
        <w:tc>
          <w:tcPr>
            <w:tcW w:w="552" w:type="pct"/>
          </w:tcPr>
          <w:p w14:paraId="0D5066C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Hearn et al., 2015</w:t>
            </w:r>
          </w:p>
        </w:tc>
        <w:tc>
          <w:tcPr>
            <w:tcW w:w="376" w:type="pct"/>
          </w:tcPr>
          <w:p w14:paraId="6084038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3897D4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0C98286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45374F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0BB681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40945EC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17056CF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4630E8D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5D6135A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7555292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7BD85340"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75876B42"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23</w:t>
            </w:r>
          </w:p>
        </w:tc>
        <w:tc>
          <w:tcPr>
            <w:tcW w:w="552" w:type="pct"/>
          </w:tcPr>
          <w:p w14:paraId="672ACC8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Kirkham et al., 2015</w:t>
            </w:r>
          </w:p>
        </w:tc>
        <w:tc>
          <w:tcPr>
            <w:tcW w:w="376" w:type="pct"/>
          </w:tcPr>
          <w:p w14:paraId="6FF5DD3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634765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65AC24F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814121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507EDA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440" w:type="pct"/>
          </w:tcPr>
          <w:p w14:paraId="2C35EB7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2B96804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7C50EE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DD949D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3F3D25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41709C0C"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34FEB8AF"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24</w:t>
            </w:r>
          </w:p>
        </w:tc>
        <w:tc>
          <w:tcPr>
            <w:tcW w:w="552" w:type="pct"/>
          </w:tcPr>
          <w:p w14:paraId="2AFFE3E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roofErr w:type="spellStart"/>
            <w:r w:rsidRPr="00732EED">
              <w:rPr>
                <w:bCs/>
                <w:color w:val="222222"/>
                <w:sz w:val="18"/>
                <w:szCs w:val="18"/>
                <w:shd w:val="clear" w:color="auto" w:fill="FFFFFF"/>
              </w:rPr>
              <w:t>MacNeela</w:t>
            </w:r>
            <w:proofErr w:type="spellEnd"/>
            <w:r w:rsidRPr="00732EED">
              <w:rPr>
                <w:bCs/>
                <w:color w:val="222222"/>
                <w:sz w:val="18"/>
                <w:szCs w:val="18"/>
                <w:shd w:val="clear" w:color="auto" w:fill="FFFFFF"/>
              </w:rPr>
              <w:t xml:space="preserve"> et al., 2015</w:t>
            </w:r>
          </w:p>
        </w:tc>
        <w:tc>
          <w:tcPr>
            <w:tcW w:w="376" w:type="pct"/>
          </w:tcPr>
          <w:p w14:paraId="35D7A01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C26480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3A6506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E67055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41449B7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00E162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3774A6C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12" w:type="pct"/>
          </w:tcPr>
          <w:p w14:paraId="112F7E4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660D658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2AFCDB2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457C7341"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181F3E45"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25</w:t>
            </w:r>
          </w:p>
        </w:tc>
        <w:tc>
          <w:tcPr>
            <w:tcW w:w="552" w:type="pct"/>
          </w:tcPr>
          <w:p w14:paraId="01A4A29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000000" w:themeColor="text1"/>
                <w:sz w:val="18"/>
                <w:szCs w:val="18"/>
                <w:shd w:val="clear" w:color="auto" w:fill="FFFFFF"/>
              </w:rPr>
            </w:pPr>
            <w:r w:rsidRPr="00732EED">
              <w:rPr>
                <w:bCs/>
                <w:color w:val="000000" w:themeColor="text1"/>
                <w:sz w:val="18"/>
                <w:szCs w:val="18"/>
                <w:shd w:val="clear" w:color="auto" w:fill="FFFFFF"/>
              </w:rPr>
              <w:t>Ojala et al., 2015</w:t>
            </w:r>
          </w:p>
        </w:tc>
        <w:tc>
          <w:tcPr>
            <w:tcW w:w="376" w:type="pct"/>
          </w:tcPr>
          <w:p w14:paraId="23FEB70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DBF58A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30B932A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BDA395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0DD7A42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24C1B10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5B053B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888AA5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3DFA8B3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FBA9F4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3E0714FC"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25E5B01"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26</w:t>
            </w:r>
          </w:p>
        </w:tc>
        <w:tc>
          <w:tcPr>
            <w:tcW w:w="552" w:type="pct"/>
          </w:tcPr>
          <w:p w14:paraId="08D61FC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000000" w:themeColor="text1"/>
                <w:sz w:val="18"/>
                <w:szCs w:val="18"/>
                <w:shd w:val="clear" w:color="auto" w:fill="FFFFFF"/>
              </w:rPr>
            </w:pPr>
            <w:r w:rsidRPr="00732EED">
              <w:rPr>
                <w:bCs/>
                <w:color w:val="000000" w:themeColor="text1"/>
                <w:sz w:val="18"/>
                <w:szCs w:val="18"/>
                <w:shd w:val="clear" w:color="auto" w:fill="FFFFFF"/>
              </w:rPr>
              <w:t>Ojala et al., 2015</w:t>
            </w:r>
          </w:p>
        </w:tc>
        <w:tc>
          <w:tcPr>
            <w:tcW w:w="376" w:type="pct"/>
          </w:tcPr>
          <w:p w14:paraId="198D52F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DB54A8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0EF9646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08E90B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4851FA7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C02A67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CB8C0A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36C4957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2EA6262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3711B98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1E46156"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30BCD014"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27</w:t>
            </w:r>
          </w:p>
        </w:tc>
        <w:tc>
          <w:tcPr>
            <w:tcW w:w="552" w:type="pct"/>
          </w:tcPr>
          <w:p w14:paraId="5687628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r w:rsidRPr="00732EED">
              <w:rPr>
                <w:bCs/>
                <w:color w:val="000000" w:themeColor="text1"/>
                <w:sz w:val="18"/>
                <w:szCs w:val="18"/>
                <w:shd w:val="clear" w:color="auto" w:fill="FFFFFF"/>
              </w:rPr>
              <w:t>Ojala et al., 2015</w:t>
            </w:r>
          </w:p>
        </w:tc>
        <w:tc>
          <w:tcPr>
            <w:tcW w:w="376" w:type="pct"/>
          </w:tcPr>
          <w:p w14:paraId="22DB0DD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8AF9BB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13F4CF4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1C0F24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21B173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74572E4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4F97B06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0956A83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5C7F650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1E536F5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368AD05C"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3176E135" w14:textId="77777777" w:rsidR="00EC7AE5" w:rsidRPr="00732EED" w:rsidRDefault="00EC7AE5" w:rsidP="00DC5B3C">
            <w:pPr>
              <w:rPr>
                <w:bCs w:val="0"/>
                <w:sz w:val="18"/>
                <w:szCs w:val="18"/>
                <w:shd w:val="clear" w:color="auto" w:fill="FFFFFF"/>
              </w:rPr>
            </w:pPr>
            <w:r w:rsidRPr="00732EED">
              <w:rPr>
                <w:sz w:val="18"/>
                <w:szCs w:val="18"/>
                <w:shd w:val="clear" w:color="auto" w:fill="FFFFFF"/>
              </w:rPr>
              <w:t>28</w:t>
            </w:r>
          </w:p>
        </w:tc>
        <w:tc>
          <w:tcPr>
            <w:tcW w:w="552" w:type="pct"/>
          </w:tcPr>
          <w:p w14:paraId="38AA743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roofErr w:type="spellStart"/>
            <w:r w:rsidRPr="00732EED">
              <w:rPr>
                <w:bCs/>
                <w:sz w:val="18"/>
                <w:szCs w:val="18"/>
                <w:shd w:val="clear" w:color="auto" w:fill="FFFFFF"/>
              </w:rPr>
              <w:t>Röing</w:t>
            </w:r>
            <w:proofErr w:type="spellEnd"/>
            <w:r w:rsidRPr="00732EED">
              <w:rPr>
                <w:bCs/>
                <w:sz w:val="18"/>
                <w:szCs w:val="18"/>
                <w:shd w:val="clear" w:color="auto" w:fill="FFFFFF"/>
              </w:rPr>
              <w:t xml:space="preserve"> and Sanner 2015</w:t>
            </w:r>
          </w:p>
        </w:tc>
        <w:tc>
          <w:tcPr>
            <w:tcW w:w="376" w:type="pct"/>
          </w:tcPr>
          <w:p w14:paraId="7E3A2BA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8A9FAF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4C0E9AD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7572FA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6CB013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4F9762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7136058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12" w:type="pct"/>
          </w:tcPr>
          <w:p w14:paraId="407F5D6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12EB2A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278864A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1179C212"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066823E8" w14:textId="77777777" w:rsidR="00EC7AE5" w:rsidRPr="00732EED" w:rsidRDefault="00EC7AE5" w:rsidP="00DC5B3C">
            <w:pPr>
              <w:rPr>
                <w:bCs w:val="0"/>
                <w:sz w:val="18"/>
                <w:szCs w:val="18"/>
              </w:rPr>
            </w:pPr>
            <w:r w:rsidRPr="00732EED">
              <w:rPr>
                <w:sz w:val="18"/>
                <w:szCs w:val="18"/>
              </w:rPr>
              <w:t>29</w:t>
            </w:r>
          </w:p>
        </w:tc>
        <w:tc>
          <w:tcPr>
            <w:tcW w:w="552" w:type="pct"/>
          </w:tcPr>
          <w:p w14:paraId="64361D8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Coleman et al., 2016</w:t>
            </w:r>
          </w:p>
        </w:tc>
        <w:tc>
          <w:tcPr>
            <w:tcW w:w="376" w:type="pct"/>
          </w:tcPr>
          <w:p w14:paraId="0B1777E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B19A6C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321F0A3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BD79A1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494095A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4DBA851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079046C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No</w:t>
            </w:r>
          </w:p>
        </w:tc>
        <w:tc>
          <w:tcPr>
            <w:tcW w:w="412" w:type="pct"/>
          </w:tcPr>
          <w:p w14:paraId="44F90DF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2198F73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045023C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3836BDB9"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0716DD2C" w14:textId="77777777" w:rsidR="00EC7AE5" w:rsidRPr="00732EED" w:rsidRDefault="00EC7AE5" w:rsidP="00DC5B3C">
            <w:pPr>
              <w:rPr>
                <w:bCs w:val="0"/>
                <w:sz w:val="18"/>
                <w:szCs w:val="18"/>
              </w:rPr>
            </w:pPr>
            <w:r w:rsidRPr="00732EED">
              <w:rPr>
                <w:sz w:val="18"/>
                <w:szCs w:val="18"/>
              </w:rPr>
              <w:t>30</w:t>
            </w:r>
          </w:p>
        </w:tc>
        <w:tc>
          <w:tcPr>
            <w:tcW w:w="552" w:type="pct"/>
          </w:tcPr>
          <w:p w14:paraId="132F900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000000" w:themeColor="text1"/>
                <w:sz w:val="18"/>
                <w:szCs w:val="18"/>
              </w:rPr>
            </w:pPr>
            <w:r w:rsidRPr="00732EED">
              <w:rPr>
                <w:bCs/>
                <w:color w:val="000000" w:themeColor="text1"/>
                <w:sz w:val="18"/>
                <w:szCs w:val="18"/>
              </w:rPr>
              <w:t>Rambod et al., 2016</w:t>
            </w:r>
          </w:p>
        </w:tc>
        <w:tc>
          <w:tcPr>
            <w:tcW w:w="376" w:type="pct"/>
          </w:tcPr>
          <w:p w14:paraId="22B5AC2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E9AD3F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04C2D5F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1965A4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4011A2C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7F9E1EA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700AEA9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6DD7BCA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086CA23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4A96F7B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p w14:paraId="1CA9C6A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
        </w:tc>
      </w:tr>
      <w:tr w:rsidR="00EC7AE5" w:rsidRPr="00732EED" w14:paraId="6F34AD8E"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27193FDF" w14:textId="77777777" w:rsidR="00EC7AE5" w:rsidRPr="00732EED" w:rsidRDefault="00EC7AE5" w:rsidP="00DC5B3C">
            <w:pPr>
              <w:rPr>
                <w:bCs w:val="0"/>
                <w:sz w:val="18"/>
                <w:szCs w:val="18"/>
              </w:rPr>
            </w:pPr>
            <w:r w:rsidRPr="00732EED">
              <w:rPr>
                <w:sz w:val="18"/>
                <w:szCs w:val="18"/>
              </w:rPr>
              <w:lastRenderedPageBreak/>
              <w:t>31</w:t>
            </w:r>
          </w:p>
        </w:tc>
        <w:tc>
          <w:tcPr>
            <w:tcW w:w="552" w:type="pct"/>
          </w:tcPr>
          <w:p w14:paraId="0EB4037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000000" w:themeColor="text1"/>
                <w:sz w:val="18"/>
                <w:szCs w:val="18"/>
              </w:rPr>
            </w:pPr>
            <w:r w:rsidRPr="00732EED">
              <w:rPr>
                <w:bCs/>
                <w:sz w:val="18"/>
                <w:szCs w:val="18"/>
              </w:rPr>
              <w:t>Svensson et al., 2016</w:t>
            </w:r>
          </w:p>
        </w:tc>
        <w:tc>
          <w:tcPr>
            <w:tcW w:w="376" w:type="pct"/>
          </w:tcPr>
          <w:p w14:paraId="2AF4A6B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6ACC22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2CA2105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058B05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4571ED4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3EA9417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7E416FA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F6582C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4570B2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7A53782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54B8D940"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2F30E81" w14:textId="77777777" w:rsidR="00EC7AE5" w:rsidRPr="00732EED" w:rsidRDefault="00EC7AE5" w:rsidP="00DC5B3C">
            <w:pPr>
              <w:rPr>
                <w:bCs w:val="0"/>
                <w:sz w:val="18"/>
                <w:szCs w:val="18"/>
              </w:rPr>
            </w:pPr>
            <w:r w:rsidRPr="00732EED">
              <w:rPr>
                <w:sz w:val="18"/>
                <w:szCs w:val="18"/>
              </w:rPr>
              <w:t>32</w:t>
            </w:r>
          </w:p>
        </w:tc>
        <w:tc>
          <w:tcPr>
            <w:tcW w:w="552" w:type="pct"/>
          </w:tcPr>
          <w:p w14:paraId="518056A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000000" w:themeColor="text1"/>
                <w:sz w:val="18"/>
                <w:szCs w:val="18"/>
              </w:rPr>
            </w:pPr>
            <w:r w:rsidRPr="00732EED">
              <w:rPr>
                <w:bCs/>
                <w:color w:val="000000" w:themeColor="text1"/>
                <w:sz w:val="18"/>
                <w:szCs w:val="18"/>
              </w:rPr>
              <w:t>Angel et al., 2017</w:t>
            </w:r>
          </w:p>
        </w:tc>
        <w:tc>
          <w:tcPr>
            <w:tcW w:w="376" w:type="pct"/>
          </w:tcPr>
          <w:p w14:paraId="438A600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E92A7F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4B4263C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CFABA3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49C6793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5E2422E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2B5B79B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6F59491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F5672A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4279C64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774DE2C1"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52735A52" w14:textId="77777777" w:rsidR="00EC7AE5" w:rsidRPr="00732EED" w:rsidRDefault="00EC7AE5" w:rsidP="00DC5B3C">
            <w:pPr>
              <w:rPr>
                <w:bCs w:val="0"/>
                <w:sz w:val="18"/>
                <w:szCs w:val="18"/>
              </w:rPr>
            </w:pPr>
            <w:r w:rsidRPr="00732EED">
              <w:rPr>
                <w:sz w:val="18"/>
                <w:szCs w:val="18"/>
              </w:rPr>
              <w:t>33</w:t>
            </w:r>
          </w:p>
        </w:tc>
        <w:tc>
          <w:tcPr>
            <w:tcW w:w="552" w:type="pct"/>
          </w:tcPr>
          <w:p w14:paraId="2E5CCF1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000000" w:themeColor="text1"/>
                <w:sz w:val="18"/>
                <w:szCs w:val="18"/>
              </w:rPr>
              <w:t>Hassani et al., 2017</w:t>
            </w:r>
          </w:p>
        </w:tc>
        <w:tc>
          <w:tcPr>
            <w:tcW w:w="376" w:type="pct"/>
          </w:tcPr>
          <w:p w14:paraId="39823E6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4A128C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45A6EE1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0094D0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6FDD3A3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150E678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64A69E7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67199E0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5CCF92B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223C1DB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65253FC2"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0200F310" w14:textId="77777777" w:rsidR="00EC7AE5" w:rsidRPr="00732EED" w:rsidRDefault="00EC7AE5" w:rsidP="00DC5B3C">
            <w:pPr>
              <w:rPr>
                <w:bCs w:val="0"/>
                <w:sz w:val="18"/>
                <w:szCs w:val="18"/>
              </w:rPr>
            </w:pPr>
            <w:r w:rsidRPr="00732EED">
              <w:rPr>
                <w:sz w:val="18"/>
                <w:szCs w:val="18"/>
              </w:rPr>
              <w:t>34</w:t>
            </w:r>
          </w:p>
        </w:tc>
        <w:tc>
          <w:tcPr>
            <w:tcW w:w="552" w:type="pct"/>
          </w:tcPr>
          <w:p w14:paraId="7979647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shd w:val="clear" w:color="auto" w:fill="FFFFFF"/>
              </w:rPr>
            </w:pPr>
            <w:r w:rsidRPr="00732EED">
              <w:rPr>
                <w:bCs/>
                <w:sz w:val="18"/>
                <w:szCs w:val="18"/>
              </w:rPr>
              <w:t>Morton et al., 2017</w:t>
            </w:r>
          </w:p>
        </w:tc>
        <w:tc>
          <w:tcPr>
            <w:tcW w:w="376" w:type="pct"/>
          </w:tcPr>
          <w:p w14:paraId="4110C15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AD509E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19EAD09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050341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7FEB92B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B68B5C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B123C6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15A5171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97379A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5E0E497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233A73AF"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10BD409" w14:textId="77777777" w:rsidR="00EC7AE5" w:rsidRPr="00732EED" w:rsidRDefault="00EC7AE5" w:rsidP="00DC5B3C">
            <w:pPr>
              <w:rPr>
                <w:bCs w:val="0"/>
                <w:sz w:val="18"/>
                <w:szCs w:val="18"/>
              </w:rPr>
            </w:pPr>
            <w:r w:rsidRPr="00732EED">
              <w:rPr>
                <w:sz w:val="18"/>
                <w:szCs w:val="18"/>
              </w:rPr>
              <w:t>35</w:t>
            </w:r>
          </w:p>
        </w:tc>
        <w:tc>
          <w:tcPr>
            <w:tcW w:w="552" w:type="pct"/>
          </w:tcPr>
          <w:p w14:paraId="1DD23FF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000000" w:themeColor="text1"/>
                <w:sz w:val="18"/>
                <w:szCs w:val="18"/>
              </w:rPr>
              <w:t>Palacios-</w:t>
            </w:r>
            <w:proofErr w:type="spellStart"/>
            <w:r w:rsidRPr="00732EED">
              <w:rPr>
                <w:bCs/>
                <w:color w:val="000000" w:themeColor="text1"/>
                <w:sz w:val="18"/>
                <w:szCs w:val="18"/>
              </w:rPr>
              <w:t>Ceña</w:t>
            </w:r>
            <w:proofErr w:type="spellEnd"/>
            <w:r w:rsidRPr="00732EED">
              <w:rPr>
                <w:bCs/>
                <w:color w:val="000000" w:themeColor="text1"/>
                <w:sz w:val="18"/>
                <w:szCs w:val="18"/>
              </w:rPr>
              <w:t xml:space="preserve"> et al., 2017</w:t>
            </w:r>
          </w:p>
        </w:tc>
        <w:tc>
          <w:tcPr>
            <w:tcW w:w="376" w:type="pct"/>
          </w:tcPr>
          <w:p w14:paraId="25EC2F9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0EA4CF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6797271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CC2D64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49A220A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6BCA8FF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5502AC0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628EA7E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5CCA34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66A0005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040C4089"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1474C523" w14:textId="77777777" w:rsidR="00EC7AE5" w:rsidRPr="00732EED" w:rsidRDefault="00EC7AE5" w:rsidP="00DC5B3C">
            <w:pPr>
              <w:rPr>
                <w:bCs w:val="0"/>
                <w:sz w:val="18"/>
                <w:szCs w:val="18"/>
              </w:rPr>
            </w:pPr>
            <w:r w:rsidRPr="00732EED">
              <w:rPr>
                <w:sz w:val="18"/>
                <w:szCs w:val="18"/>
              </w:rPr>
              <w:t>36</w:t>
            </w:r>
          </w:p>
        </w:tc>
        <w:tc>
          <w:tcPr>
            <w:tcW w:w="552" w:type="pct"/>
          </w:tcPr>
          <w:p w14:paraId="5EBB8AE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color w:val="000000" w:themeColor="text1"/>
                <w:sz w:val="18"/>
                <w:szCs w:val="18"/>
              </w:rPr>
              <w:t>Schütze et al., 2017</w:t>
            </w:r>
          </w:p>
        </w:tc>
        <w:tc>
          <w:tcPr>
            <w:tcW w:w="376" w:type="pct"/>
          </w:tcPr>
          <w:p w14:paraId="5BCCD32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BCD561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6F6C587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A89C7B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02BF50E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08EB7A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7E29764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17ABCAD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3490AE2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2D75320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 xml:space="preserve">Yes </w:t>
            </w:r>
          </w:p>
        </w:tc>
      </w:tr>
      <w:tr w:rsidR="00EC7AE5" w:rsidRPr="00732EED" w14:paraId="5324B110"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5147805" w14:textId="77777777" w:rsidR="00EC7AE5" w:rsidRPr="00732EED" w:rsidRDefault="00EC7AE5" w:rsidP="00DC5B3C">
            <w:pPr>
              <w:rPr>
                <w:bCs w:val="0"/>
                <w:sz w:val="18"/>
                <w:szCs w:val="18"/>
              </w:rPr>
            </w:pPr>
            <w:r w:rsidRPr="00732EED">
              <w:rPr>
                <w:sz w:val="18"/>
                <w:szCs w:val="18"/>
              </w:rPr>
              <w:t>37</w:t>
            </w:r>
          </w:p>
        </w:tc>
        <w:tc>
          <w:tcPr>
            <w:tcW w:w="552" w:type="pct"/>
          </w:tcPr>
          <w:p w14:paraId="5D4D571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Toye et al., 2017</w:t>
            </w:r>
          </w:p>
        </w:tc>
        <w:tc>
          <w:tcPr>
            <w:tcW w:w="376" w:type="pct"/>
          </w:tcPr>
          <w:p w14:paraId="7B140B0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AF8631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35FF195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67BF53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2C7B64A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14D0FF1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0D6AD1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412" w:type="pct"/>
          </w:tcPr>
          <w:p w14:paraId="36BBD4E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5EE3719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5688A4B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71D02CDE"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1A99AD0" w14:textId="77777777" w:rsidR="00EC7AE5" w:rsidRPr="00732EED" w:rsidRDefault="00EC7AE5" w:rsidP="00DC5B3C">
            <w:pPr>
              <w:rPr>
                <w:bCs w:val="0"/>
                <w:sz w:val="18"/>
                <w:szCs w:val="18"/>
              </w:rPr>
            </w:pPr>
            <w:r w:rsidRPr="00732EED">
              <w:rPr>
                <w:sz w:val="18"/>
                <w:szCs w:val="18"/>
              </w:rPr>
              <w:t>38</w:t>
            </w:r>
          </w:p>
        </w:tc>
        <w:tc>
          <w:tcPr>
            <w:tcW w:w="552" w:type="pct"/>
          </w:tcPr>
          <w:p w14:paraId="22A4FBE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Twiddy et al., 2017</w:t>
            </w:r>
          </w:p>
        </w:tc>
        <w:tc>
          <w:tcPr>
            <w:tcW w:w="376" w:type="pct"/>
          </w:tcPr>
          <w:p w14:paraId="2E60745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55BA92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687654C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E9F34E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CBE51B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C52EA9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63FDC93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1A1E201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10C1367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5F54657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p w14:paraId="43C4D94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
        </w:tc>
      </w:tr>
      <w:tr w:rsidR="00EC7AE5" w:rsidRPr="00732EED" w14:paraId="274212A2"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5A5623B4" w14:textId="77777777" w:rsidR="00EC7AE5" w:rsidRPr="00732EED" w:rsidRDefault="00EC7AE5" w:rsidP="00DC5B3C">
            <w:pPr>
              <w:rPr>
                <w:bCs w:val="0"/>
                <w:sz w:val="18"/>
                <w:szCs w:val="18"/>
              </w:rPr>
            </w:pPr>
            <w:r w:rsidRPr="00732EED">
              <w:rPr>
                <w:sz w:val="18"/>
                <w:szCs w:val="18"/>
              </w:rPr>
              <w:t>39</w:t>
            </w:r>
          </w:p>
        </w:tc>
        <w:tc>
          <w:tcPr>
            <w:tcW w:w="552" w:type="pct"/>
          </w:tcPr>
          <w:p w14:paraId="35A48F5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Hearn et al., 2018</w:t>
            </w:r>
          </w:p>
        </w:tc>
        <w:tc>
          <w:tcPr>
            <w:tcW w:w="376" w:type="pct"/>
          </w:tcPr>
          <w:p w14:paraId="051B425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1CBC4C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0148548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EE01AF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06771E4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22D0C15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D95E7A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3AE471E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8F2269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2CBE9AB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 xml:space="preserve">Yes </w:t>
            </w:r>
          </w:p>
        </w:tc>
      </w:tr>
      <w:tr w:rsidR="00EC7AE5" w:rsidRPr="00732EED" w14:paraId="17889980"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2CD19483"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40</w:t>
            </w:r>
          </w:p>
        </w:tc>
        <w:tc>
          <w:tcPr>
            <w:tcW w:w="552" w:type="pct"/>
          </w:tcPr>
          <w:p w14:paraId="7F3B404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Cooper et al., 2018</w:t>
            </w:r>
          </w:p>
        </w:tc>
        <w:tc>
          <w:tcPr>
            <w:tcW w:w="376" w:type="pct"/>
          </w:tcPr>
          <w:p w14:paraId="1F1CCF3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F461D1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FD7BAD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228047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43FA60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28D0B30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69721B7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599590D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59E20FF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508BA01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262E74C3"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E75777F"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41</w:t>
            </w:r>
          </w:p>
        </w:tc>
        <w:tc>
          <w:tcPr>
            <w:tcW w:w="552" w:type="pct"/>
          </w:tcPr>
          <w:p w14:paraId="2B76459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Gutke et al., 2018</w:t>
            </w:r>
          </w:p>
        </w:tc>
        <w:tc>
          <w:tcPr>
            <w:tcW w:w="376" w:type="pct"/>
          </w:tcPr>
          <w:p w14:paraId="73586E7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292EFC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7A05544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97ED70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20ADF4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0623D30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2763642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B06C16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3D3668F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6B653EF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17E571CF"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F421243"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42</w:t>
            </w:r>
          </w:p>
        </w:tc>
        <w:tc>
          <w:tcPr>
            <w:tcW w:w="552" w:type="pct"/>
          </w:tcPr>
          <w:p w14:paraId="04C381B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Lee et al., 2018</w:t>
            </w:r>
          </w:p>
        </w:tc>
        <w:tc>
          <w:tcPr>
            <w:tcW w:w="376" w:type="pct"/>
          </w:tcPr>
          <w:p w14:paraId="5B54EAA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3B9FA7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70CA176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3F1579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2CB8F42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4E7C130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08F3B61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089E289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3687E93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170AE44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57FD1A44"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584BD423"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43</w:t>
            </w:r>
          </w:p>
        </w:tc>
        <w:tc>
          <w:tcPr>
            <w:tcW w:w="552" w:type="pct"/>
          </w:tcPr>
          <w:p w14:paraId="7016168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22222"/>
                <w:sz w:val="18"/>
                <w:szCs w:val="18"/>
                <w:shd w:val="clear" w:color="auto" w:fill="FFFFFF"/>
              </w:rPr>
            </w:pPr>
            <w:proofErr w:type="spellStart"/>
            <w:r w:rsidRPr="00732EED">
              <w:rPr>
                <w:bCs/>
                <w:color w:val="222222"/>
                <w:sz w:val="18"/>
                <w:szCs w:val="18"/>
                <w:shd w:val="clear" w:color="auto" w:fill="FFFFFF"/>
              </w:rPr>
              <w:t>Hazaveh</w:t>
            </w:r>
            <w:proofErr w:type="spellEnd"/>
            <w:r w:rsidRPr="00732EED">
              <w:rPr>
                <w:bCs/>
                <w:color w:val="222222"/>
                <w:sz w:val="18"/>
                <w:szCs w:val="18"/>
                <w:shd w:val="clear" w:color="auto" w:fill="FFFFFF"/>
              </w:rPr>
              <w:t xml:space="preserve"> and Hovey 2018</w:t>
            </w:r>
          </w:p>
        </w:tc>
        <w:tc>
          <w:tcPr>
            <w:tcW w:w="376" w:type="pct"/>
          </w:tcPr>
          <w:p w14:paraId="1A6C4F9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836B74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762169E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AE846E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3BF4646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29BDB47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6DC01CC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7E1CF44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37D5317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08D7C06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 xml:space="preserve">Yes </w:t>
            </w:r>
          </w:p>
        </w:tc>
      </w:tr>
      <w:tr w:rsidR="00EC7AE5" w:rsidRPr="00732EED" w14:paraId="0B3B5D21"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23E57D4B"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44</w:t>
            </w:r>
          </w:p>
        </w:tc>
        <w:tc>
          <w:tcPr>
            <w:tcW w:w="552" w:type="pct"/>
          </w:tcPr>
          <w:p w14:paraId="360470E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McGeechan et al., 2018</w:t>
            </w:r>
          </w:p>
        </w:tc>
        <w:tc>
          <w:tcPr>
            <w:tcW w:w="376" w:type="pct"/>
          </w:tcPr>
          <w:p w14:paraId="636B17E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E81645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64F352D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5BEF2C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w:t>
            </w:r>
          </w:p>
        </w:tc>
        <w:tc>
          <w:tcPr>
            <w:tcW w:w="391" w:type="pct"/>
          </w:tcPr>
          <w:p w14:paraId="6973A35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144F0B0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376759D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12EDA94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284CAE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7B69219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4E51AB64"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7F706D69"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45</w:t>
            </w:r>
          </w:p>
        </w:tc>
        <w:tc>
          <w:tcPr>
            <w:tcW w:w="552" w:type="pct"/>
          </w:tcPr>
          <w:p w14:paraId="17225EB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proofErr w:type="spellStart"/>
            <w:r w:rsidRPr="00732EED">
              <w:rPr>
                <w:bCs/>
                <w:color w:val="222222"/>
                <w:sz w:val="18"/>
                <w:szCs w:val="18"/>
                <w:shd w:val="clear" w:color="auto" w:fill="FFFFFF"/>
              </w:rPr>
              <w:t>Mengshoel</w:t>
            </w:r>
            <w:proofErr w:type="spellEnd"/>
            <w:r w:rsidRPr="00732EED">
              <w:rPr>
                <w:bCs/>
                <w:color w:val="222222"/>
                <w:sz w:val="18"/>
                <w:szCs w:val="18"/>
                <w:shd w:val="clear" w:color="auto" w:fill="FFFFFF"/>
              </w:rPr>
              <w:t xml:space="preserve"> et al., 2018</w:t>
            </w:r>
          </w:p>
        </w:tc>
        <w:tc>
          <w:tcPr>
            <w:tcW w:w="376" w:type="pct"/>
          </w:tcPr>
          <w:p w14:paraId="1C9858D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B94F91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3D2497A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FDBF47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743EFFB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2FE4813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6C3F143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AF87DD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3A01847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67449D4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7E1EAC31"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2E2900EF" w14:textId="77777777" w:rsidR="00EC7AE5" w:rsidRPr="00732EED" w:rsidRDefault="00EC7AE5" w:rsidP="00DC5B3C">
            <w:pPr>
              <w:rPr>
                <w:bCs w:val="0"/>
                <w:sz w:val="18"/>
                <w:szCs w:val="18"/>
              </w:rPr>
            </w:pPr>
            <w:r w:rsidRPr="00732EED">
              <w:rPr>
                <w:sz w:val="18"/>
                <w:szCs w:val="18"/>
              </w:rPr>
              <w:t>46</w:t>
            </w:r>
          </w:p>
        </w:tc>
        <w:tc>
          <w:tcPr>
            <w:tcW w:w="552" w:type="pct"/>
          </w:tcPr>
          <w:p w14:paraId="76158FF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Stensland and Sanders 2018</w:t>
            </w:r>
          </w:p>
        </w:tc>
        <w:tc>
          <w:tcPr>
            <w:tcW w:w="376" w:type="pct"/>
          </w:tcPr>
          <w:p w14:paraId="3441BB7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8C1CD6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1DF2987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ED05DE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AAF621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55534A9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7761B08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79BE799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1B4C9A5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64CA8DE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p w14:paraId="49B349A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
        </w:tc>
      </w:tr>
      <w:tr w:rsidR="00EC7AE5" w:rsidRPr="00732EED" w14:paraId="2A01C4AD"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79C0CA09" w14:textId="77777777" w:rsidR="00EC7AE5" w:rsidRPr="00732EED" w:rsidRDefault="00EC7AE5" w:rsidP="00DC5B3C">
            <w:pPr>
              <w:rPr>
                <w:bCs w:val="0"/>
                <w:sz w:val="18"/>
                <w:szCs w:val="18"/>
              </w:rPr>
            </w:pPr>
            <w:r w:rsidRPr="00732EED">
              <w:rPr>
                <w:sz w:val="18"/>
                <w:szCs w:val="18"/>
              </w:rPr>
              <w:t>47</w:t>
            </w:r>
          </w:p>
        </w:tc>
        <w:tc>
          <w:tcPr>
            <w:tcW w:w="552" w:type="pct"/>
          </w:tcPr>
          <w:p w14:paraId="7413AD6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Stensland and Sanders 2018</w:t>
            </w:r>
          </w:p>
        </w:tc>
        <w:tc>
          <w:tcPr>
            <w:tcW w:w="376" w:type="pct"/>
          </w:tcPr>
          <w:p w14:paraId="31EF7B0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B4F306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37FFD09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BF29C3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55F652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47B9A44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7E0EAD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A9E6E9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3B06201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750A5F9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1DAD84C7"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20E2E9E8" w14:textId="77777777" w:rsidR="00EC7AE5" w:rsidRPr="00732EED" w:rsidRDefault="00EC7AE5" w:rsidP="00DC5B3C">
            <w:pPr>
              <w:rPr>
                <w:bCs w:val="0"/>
                <w:sz w:val="18"/>
                <w:szCs w:val="18"/>
              </w:rPr>
            </w:pPr>
            <w:r w:rsidRPr="00732EED">
              <w:rPr>
                <w:sz w:val="18"/>
                <w:szCs w:val="18"/>
              </w:rPr>
              <w:t>48</w:t>
            </w:r>
          </w:p>
        </w:tc>
        <w:tc>
          <w:tcPr>
            <w:tcW w:w="552" w:type="pct"/>
          </w:tcPr>
          <w:p w14:paraId="3C34209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Stensland and Sanders 2018</w:t>
            </w:r>
          </w:p>
        </w:tc>
        <w:tc>
          <w:tcPr>
            <w:tcW w:w="376" w:type="pct"/>
          </w:tcPr>
          <w:p w14:paraId="36D2A98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ABF739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DC355B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9BCBEE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8F460D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7233BF1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635DA6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1B08523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29462B8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0400619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3819423C"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24CB775F" w14:textId="77777777" w:rsidR="00EC7AE5" w:rsidRPr="00732EED" w:rsidRDefault="00EC7AE5" w:rsidP="00DC5B3C">
            <w:pPr>
              <w:rPr>
                <w:bCs w:val="0"/>
                <w:sz w:val="18"/>
                <w:szCs w:val="18"/>
              </w:rPr>
            </w:pPr>
            <w:r w:rsidRPr="00732EED">
              <w:rPr>
                <w:sz w:val="18"/>
                <w:szCs w:val="18"/>
              </w:rPr>
              <w:t>49</w:t>
            </w:r>
          </w:p>
        </w:tc>
        <w:tc>
          <w:tcPr>
            <w:tcW w:w="552" w:type="pct"/>
          </w:tcPr>
          <w:p w14:paraId="2CAF506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Yildirim Duman, 2018</w:t>
            </w:r>
          </w:p>
        </w:tc>
        <w:tc>
          <w:tcPr>
            <w:tcW w:w="376" w:type="pct"/>
          </w:tcPr>
          <w:p w14:paraId="5CAB5D0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51D7DF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47760FB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745FF6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7362F78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36BF580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65A0D7C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668332A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523B1B7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09891A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4EDC200D"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3C0ECDF7" w14:textId="77777777" w:rsidR="00EC7AE5" w:rsidRPr="00732EED" w:rsidRDefault="00EC7AE5" w:rsidP="00DC5B3C">
            <w:pPr>
              <w:rPr>
                <w:bCs w:val="0"/>
                <w:sz w:val="18"/>
                <w:szCs w:val="18"/>
              </w:rPr>
            </w:pPr>
            <w:r w:rsidRPr="00732EED">
              <w:rPr>
                <w:sz w:val="18"/>
                <w:szCs w:val="18"/>
              </w:rPr>
              <w:t>50</w:t>
            </w:r>
          </w:p>
        </w:tc>
        <w:tc>
          <w:tcPr>
            <w:tcW w:w="552" w:type="pct"/>
          </w:tcPr>
          <w:p w14:paraId="1F00523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Bath et al., 2019</w:t>
            </w:r>
          </w:p>
        </w:tc>
        <w:tc>
          <w:tcPr>
            <w:tcW w:w="376" w:type="pct"/>
          </w:tcPr>
          <w:p w14:paraId="6A5F383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1FC51D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7DCD0B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D3EEE7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250299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6858938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292127D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780255F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0CA8F66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4901385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131FBBFE"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DC66B83" w14:textId="77777777" w:rsidR="00EC7AE5" w:rsidRPr="00732EED" w:rsidRDefault="00EC7AE5" w:rsidP="00DC5B3C">
            <w:pPr>
              <w:rPr>
                <w:bCs w:val="0"/>
                <w:sz w:val="18"/>
                <w:szCs w:val="18"/>
              </w:rPr>
            </w:pPr>
            <w:r w:rsidRPr="00732EED">
              <w:rPr>
                <w:sz w:val="18"/>
                <w:szCs w:val="18"/>
              </w:rPr>
              <w:t>51</w:t>
            </w:r>
          </w:p>
        </w:tc>
        <w:tc>
          <w:tcPr>
            <w:tcW w:w="552" w:type="pct"/>
          </w:tcPr>
          <w:p w14:paraId="701763C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Cheng et al., 2019</w:t>
            </w:r>
          </w:p>
        </w:tc>
        <w:tc>
          <w:tcPr>
            <w:tcW w:w="376" w:type="pct"/>
          </w:tcPr>
          <w:p w14:paraId="4C5C4F7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C6177A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1237F8F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856F78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0B62705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5A7CE7A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04D03CB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3B6687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7D350B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10CD278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p w14:paraId="2971F06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p>
        </w:tc>
      </w:tr>
      <w:tr w:rsidR="00EC7AE5" w:rsidRPr="00732EED" w14:paraId="4010C283"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37BB153" w14:textId="77777777" w:rsidR="00EC7AE5" w:rsidRPr="00732EED" w:rsidRDefault="00EC7AE5" w:rsidP="00DC5B3C">
            <w:pPr>
              <w:rPr>
                <w:bCs w:val="0"/>
                <w:sz w:val="18"/>
                <w:szCs w:val="18"/>
              </w:rPr>
            </w:pPr>
            <w:r w:rsidRPr="00732EED">
              <w:rPr>
                <w:sz w:val="18"/>
                <w:szCs w:val="18"/>
              </w:rPr>
              <w:t>52</w:t>
            </w:r>
          </w:p>
        </w:tc>
        <w:tc>
          <w:tcPr>
            <w:tcW w:w="552" w:type="pct"/>
          </w:tcPr>
          <w:p w14:paraId="7B4EA3E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Hughes et al., 2019</w:t>
            </w:r>
          </w:p>
        </w:tc>
        <w:tc>
          <w:tcPr>
            <w:tcW w:w="376" w:type="pct"/>
          </w:tcPr>
          <w:p w14:paraId="12F1C9B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0D3C5A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3752412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99B4D5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05F1DA7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40" w:type="pct"/>
          </w:tcPr>
          <w:p w14:paraId="2A56F05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644FA6D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5EBFEFB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045B9A5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493BEBA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p w14:paraId="1ACCDB9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
        </w:tc>
      </w:tr>
      <w:tr w:rsidR="00EC7AE5" w:rsidRPr="00732EED" w14:paraId="01EF9991"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5E02FE32" w14:textId="77777777" w:rsidR="00EC7AE5" w:rsidRPr="00732EED" w:rsidRDefault="00EC7AE5" w:rsidP="00DC5B3C">
            <w:pPr>
              <w:rPr>
                <w:bCs w:val="0"/>
                <w:sz w:val="18"/>
                <w:szCs w:val="18"/>
              </w:rPr>
            </w:pPr>
            <w:r w:rsidRPr="00732EED">
              <w:rPr>
                <w:sz w:val="18"/>
                <w:szCs w:val="18"/>
              </w:rPr>
              <w:lastRenderedPageBreak/>
              <w:t>53</w:t>
            </w:r>
          </w:p>
        </w:tc>
        <w:tc>
          <w:tcPr>
            <w:tcW w:w="552" w:type="pct"/>
          </w:tcPr>
          <w:p w14:paraId="33DE9F8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Rodríguez et al., 2019</w:t>
            </w:r>
          </w:p>
        </w:tc>
        <w:tc>
          <w:tcPr>
            <w:tcW w:w="376" w:type="pct"/>
          </w:tcPr>
          <w:p w14:paraId="7E99DB7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F849E7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4DC05DC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7D967D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1A717BD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0EA8038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5E9C1C8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5FF094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4140FB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50AC6D7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43F39FE5"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FE2F969" w14:textId="77777777" w:rsidR="00EC7AE5" w:rsidRPr="00732EED" w:rsidRDefault="00EC7AE5" w:rsidP="00DC5B3C">
            <w:pPr>
              <w:rPr>
                <w:bCs w:val="0"/>
                <w:sz w:val="18"/>
                <w:szCs w:val="18"/>
              </w:rPr>
            </w:pPr>
            <w:r w:rsidRPr="00732EED">
              <w:rPr>
                <w:sz w:val="18"/>
                <w:szCs w:val="18"/>
              </w:rPr>
              <w:t>54</w:t>
            </w:r>
          </w:p>
        </w:tc>
        <w:tc>
          <w:tcPr>
            <w:tcW w:w="552" w:type="pct"/>
          </w:tcPr>
          <w:p w14:paraId="218711A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Schultz et al., 2019</w:t>
            </w:r>
          </w:p>
        </w:tc>
        <w:tc>
          <w:tcPr>
            <w:tcW w:w="376" w:type="pct"/>
          </w:tcPr>
          <w:p w14:paraId="55BD22B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3E9814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4012310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4EEB88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2529B94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4CB4E4E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2BD65A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46F1904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3C39FBF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178427B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9FCD6F5"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7449F1ED" w14:textId="77777777" w:rsidR="00EC7AE5" w:rsidRPr="00732EED" w:rsidRDefault="00EC7AE5" w:rsidP="00DC5B3C">
            <w:pPr>
              <w:rPr>
                <w:bCs w:val="0"/>
                <w:sz w:val="18"/>
                <w:szCs w:val="18"/>
              </w:rPr>
            </w:pPr>
            <w:r w:rsidRPr="00732EED">
              <w:rPr>
                <w:sz w:val="18"/>
                <w:szCs w:val="18"/>
              </w:rPr>
              <w:t>55</w:t>
            </w:r>
          </w:p>
        </w:tc>
        <w:tc>
          <w:tcPr>
            <w:tcW w:w="552" w:type="pct"/>
          </w:tcPr>
          <w:p w14:paraId="53D2F3D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Toye et al., 2019</w:t>
            </w:r>
          </w:p>
        </w:tc>
        <w:tc>
          <w:tcPr>
            <w:tcW w:w="376" w:type="pct"/>
          </w:tcPr>
          <w:p w14:paraId="5EE1DB9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9B32C0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09AD6E3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D6969F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30127DC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5070D1E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1330654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412" w:type="pct"/>
          </w:tcPr>
          <w:p w14:paraId="42A9312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FCF640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023D6FF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18E4382A"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3CF3D63" w14:textId="77777777" w:rsidR="00EC7AE5" w:rsidRPr="00732EED" w:rsidRDefault="00EC7AE5" w:rsidP="00DC5B3C">
            <w:pPr>
              <w:rPr>
                <w:bCs w:val="0"/>
                <w:sz w:val="18"/>
                <w:szCs w:val="18"/>
              </w:rPr>
            </w:pPr>
            <w:r w:rsidRPr="00732EED">
              <w:rPr>
                <w:sz w:val="18"/>
                <w:szCs w:val="18"/>
              </w:rPr>
              <w:t>56</w:t>
            </w:r>
          </w:p>
        </w:tc>
        <w:tc>
          <w:tcPr>
            <w:tcW w:w="552" w:type="pct"/>
          </w:tcPr>
          <w:p w14:paraId="0072DB4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Mustafa et al., 2020</w:t>
            </w:r>
          </w:p>
        </w:tc>
        <w:tc>
          <w:tcPr>
            <w:tcW w:w="376" w:type="pct"/>
          </w:tcPr>
          <w:p w14:paraId="5152A83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B0CA1D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EA8D80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E75076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3AAA838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3A842B2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7B786CF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55F8BB2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230EAB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69AA1C2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p w14:paraId="3E0675D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
        </w:tc>
      </w:tr>
      <w:tr w:rsidR="00EC7AE5" w:rsidRPr="00732EED" w14:paraId="52FF7863"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064B626D" w14:textId="77777777" w:rsidR="00EC7AE5" w:rsidRPr="00732EED" w:rsidRDefault="00EC7AE5" w:rsidP="00DC5B3C">
            <w:pPr>
              <w:rPr>
                <w:bCs w:val="0"/>
                <w:sz w:val="18"/>
                <w:szCs w:val="18"/>
              </w:rPr>
            </w:pPr>
            <w:r w:rsidRPr="00732EED">
              <w:rPr>
                <w:sz w:val="18"/>
                <w:szCs w:val="18"/>
              </w:rPr>
              <w:t>57</w:t>
            </w:r>
          </w:p>
        </w:tc>
        <w:tc>
          <w:tcPr>
            <w:tcW w:w="552" w:type="pct"/>
          </w:tcPr>
          <w:p w14:paraId="150BA7C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proofErr w:type="spellStart"/>
            <w:r w:rsidRPr="00732EED">
              <w:rPr>
                <w:bCs/>
                <w:sz w:val="18"/>
                <w:szCs w:val="18"/>
              </w:rPr>
              <w:t>Roenne</w:t>
            </w:r>
            <w:proofErr w:type="spellEnd"/>
            <w:r w:rsidRPr="00732EED">
              <w:rPr>
                <w:bCs/>
                <w:sz w:val="18"/>
                <w:szCs w:val="18"/>
              </w:rPr>
              <w:t xml:space="preserve"> et al., 2020</w:t>
            </w:r>
          </w:p>
        </w:tc>
        <w:tc>
          <w:tcPr>
            <w:tcW w:w="376" w:type="pct"/>
          </w:tcPr>
          <w:p w14:paraId="7B30F96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0DDACE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733EFFB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2E6167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5FF858D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55756E9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151FCCE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0004890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90A3DA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28EBA3D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p w14:paraId="72F8EF4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p>
        </w:tc>
      </w:tr>
      <w:tr w:rsidR="00EC7AE5" w:rsidRPr="00732EED" w14:paraId="68A27274"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2DBA5DD6" w14:textId="77777777" w:rsidR="00EC7AE5" w:rsidRPr="00732EED" w:rsidRDefault="00EC7AE5" w:rsidP="00DC5B3C">
            <w:pPr>
              <w:rPr>
                <w:bCs w:val="0"/>
                <w:sz w:val="18"/>
                <w:szCs w:val="18"/>
              </w:rPr>
            </w:pPr>
            <w:r w:rsidRPr="00732EED">
              <w:rPr>
                <w:sz w:val="18"/>
                <w:szCs w:val="18"/>
              </w:rPr>
              <w:t>58</w:t>
            </w:r>
          </w:p>
        </w:tc>
        <w:tc>
          <w:tcPr>
            <w:tcW w:w="552" w:type="pct"/>
          </w:tcPr>
          <w:p w14:paraId="61AE957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color w:val="000000" w:themeColor="text1"/>
                <w:sz w:val="18"/>
                <w:szCs w:val="18"/>
                <w:shd w:val="clear" w:color="auto" w:fill="FFFFFF"/>
              </w:rPr>
              <w:t>Skúladóttir et al., 2020</w:t>
            </w:r>
          </w:p>
        </w:tc>
        <w:tc>
          <w:tcPr>
            <w:tcW w:w="376" w:type="pct"/>
          </w:tcPr>
          <w:p w14:paraId="01A99F7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357AE3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35C4265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10098A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4EEDE4F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177683F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38B1949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0F9D3F7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1E997CD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0156590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4BA00137"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3B0DB138" w14:textId="77777777" w:rsidR="00EC7AE5" w:rsidRPr="00732EED" w:rsidRDefault="00EC7AE5" w:rsidP="00DC5B3C">
            <w:pPr>
              <w:rPr>
                <w:bCs w:val="0"/>
                <w:sz w:val="18"/>
                <w:szCs w:val="18"/>
              </w:rPr>
            </w:pPr>
            <w:r w:rsidRPr="00732EED">
              <w:rPr>
                <w:sz w:val="18"/>
                <w:szCs w:val="18"/>
              </w:rPr>
              <w:t>59</w:t>
            </w:r>
          </w:p>
        </w:tc>
        <w:tc>
          <w:tcPr>
            <w:tcW w:w="552" w:type="pct"/>
          </w:tcPr>
          <w:p w14:paraId="175497E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Keen et al., 2021</w:t>
            </w:r>
          </w:p>
        </w:tc>
        <w:tc>
          <w:tcPr>
            <w:tcW w:w="376" w:type="pct"/>
          </w:tcPr>
          <w:p w14:paraId="235505C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FCAD93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73FAEDF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C88DDC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29B1C1B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23604A0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400537F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34048B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7432230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276336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4E455EFF"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45B774B" w14:textId="77777777" w:rsidR="00EC7AE5" w:rsidRPr="00732EED" w:rsidRDefault="00EC7AE5" w:rsidP="00DC5B3C">
            <w:pPr>
              <w:rPr>
                <w:bCs w:val="0"/>
                <w:color w:val="222222"/>
                <w:sz w:val="18"/>
                <w:szCs w:val="18"/>
                <w:shd w:val="clear" w:color="auto" w:fill="FFFFFF"/>
              </w:rPr>
            </w:pPr>
            <w:r w:rsidRPr="00732EED">
              <w:rPr>
                <w:color w:val="222222"/>
                <w:sz w:val="18"/>
                <w:szCs w:val="18"/>
                <w:shd w:val="clear" w:color="auto" w:fill="FFFFFF"/>
              </w:rPr>
              <w:t>60</w:t>
            </w:r>
          </w:p>
        </w:tc>
        <w:tc>
          <w:tcPr>
            <w:tcW w:w="552" w:type="pct"/>
          </w:tcPr>
          <w:p w14:paraId="53FC49B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22222"/>
                <w:sz w:val="18"/>
                <w:szCs w:val="18"/>
                <w:shd w:val="clear" w:color="auto" w:fill="FFFFFF"/>
              </w:rPr>
            </w:pPr>
            <w:r w:rsidRPr="00732EED">
              <w:rPr>
                <w:bCs/>
                <w:color w:val="222222"/>
                <w:sz w:val="18"/>
                <w:szCs w:val="18"/>
                <w:shd w:val="clear" w:color="auto" w:fill="FFFFFF"/>
              </w:rPr>
              <w:t>Andersen et al., 2021</w:t>
            </w:r>
          </w:p>
        </w:tc>
        <w:tc>
          <w:tcPr>
            <w:tcW w:w="376" w:type="pct"/>
          </w:tcPr>
          <w:p w14:paraId="10A3F62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D26EA6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8FAEF5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DBBF35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E72D5D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3682DB1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51C0BD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12" w:type="pct"/>
          </w:tcPr>
          <w:p w14:paraId="2FFE6AE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E58042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21A4E72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1222206E"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565A3893" w14:textId="77777777" w:rsidR="00EC7AE5" w:rsidRPr="00732EED" w:rsidRDefault="00EC7AE5" w:rsidP="00DC5B3C">
            <w:pPr>
              <w:rPr>
                <w:bCs w:val="0"/>
                <w:sz w:val="18"/>
                <w:szCs w:val="18"/>
              </w:rPr>
            </w:pPr>
            <w:r w:rsidRPr="00732EED">
              <w:rPr>
                <w:sz w:val="18"/>
                <w:szCs w:val="18"/>
              </w:rPr>
              <w:t>61</w:t>
            </w:r>
          </w:p>
        </w:tc>
        <w:tc>
          <w:tcPr>
            <w:tcW w:w="552" w:type="pct"/>
          </w:tcPr>
          <w:p w14:paraId="5E39345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000000" w:themeColor="text1"/>
                <w:sz w:val="18"/>
                <w:szCs w:val="18"/>
              </w:rPr>
            </w:pPr>
            <w:proofErr w:type="spellStart"/>
            <w:r w:rsidRPr="00732EED">
              <w:rPr>
                <w:bCs/>
                <w:color w:val="000000" w:themeColor="text1"/>
                <w:sz w:val="18"/>
                <w:szCs w:val="18"/>
              </w:rPr>
              <w:t>Fracso</w:t>
            </w:r>
            <w:proofErr w:type="spellEnd"/>
            <w:r w:rsidRPr="00732EED">
              <w:rPr>
                <w:bCs/>
                <w:color w:val="000000" w:themeColor="text1"/>
                <w:sz w:val="18"/>
                <w:szCs w:val="18"/>
              </w:rPr>
              <w:t xml:space="preserve"> et al., 2021</w:t>
            </w:r>
          </w:p>
        </w:tc>
        <w:tc>
          <w:tcPr>
            <w:tcW w:w="376" w:type="pct"/>
          </w:tcPr>
          <w:p w14:paraId="539AF99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B6661A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21BD6CA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AFD4D6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628F5E5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31239F4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EA3296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147966B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066105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368E74C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33C7767E"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242C94B" w14:textId="77777777" w:rsidR="00EC7AE5" w:rsidRPr="00732EED" w:rsidRDefault="00EC7AE5" w:rsidP="00DC5B3C">
            <w:pPr>
              <w:rPr>
                <w:bCs w:val="0"/>
                <w:sz w:val="18"/>
                <w:szCs w:val="18"/>
              </w:rPr>
            </w:pPr>
            <w:r w:rsidRPr="00732EED">
              <w:rPr>
                <w:sz w:val="18"/>
                <w:szCs w:val="18"/>
              </w:rPr>
              <w:t>62</w:t>
            </w:r>
          </w:p>
        </w:tc>
        <w:tc>
          <w:tcPr>
            <w:tcW w:w="552" w:type="pct"/>
          </w:tcPr>
          <w:p w14:paraId="173117F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000000" w:themeColor="text1"/>
                <w:sz w:val="18"/>
                <w:szCs w:val="18"/>
              </w:rPr>
            </w:pPr>
            <w:r w:rsidRPr="00732EED">
              <w:rPr>
                <w:bCs/>
                <w:color w:val="000000" w:themeColor="text1"/>
                <w:sz w:val="18"/>
                <w:szCs w:val="18"/>
              </w:rPr>
              <w:t>Honoré Grauslund et al., 2021</w:t>
            </w:r>
          </w:p>
        </w:tc>
        <w:tc>
          <w:tcPr>
            <w:tcW w:w="376" w:type="pct"/>
          </w:tcPr>
          <w:p w14:paraId="517130C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E69182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0D0BCE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2EAD17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05719D6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72AFC7C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C9085A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12" w:type="pct"/>
          </w:tcPr>
          <w:p w14:paraId="2F63931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1A0F6B4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5C93F91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56A21FF8"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06198DC7" w14:textId="77777777" w:rsidR="00EC7AE5" w:rsidRPr="00732EED" w:rsidRDefault="00EC7AE5" w:rsidP="00DC5B3C">
            <w:pPr>
              <w:rPr>
                <w:bCs w:val="0"/>
                <w:sz w:val="18"/>
                <w:szCs w:val="18"/>
              </w:rPr>
            </w:pPr>
            <w:r w:rsidRPr="00732EED">
              <w:rPr>
                <w:sz w:val="18"/>
                <w:szCs w:val="18"/>
              </w:rPr>
              <w:t>63</w:t>
            </w:r>
          </w:p>
        </w:tc>
        <w:tc>
          <w:tcPr>
            <w:tcW w:w="552" w:type="pct"/>
          </w:tcPr>
          <w:p w14:paraId="1D60C22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Stensland, 2021</w:t>
            </w:r>
          </w:p>
        </w:tc>
        <w:tc>
          <w:tcPr>
            <w:tcW w:w="376" w:type="pct"/>
          </w:tcPr>
          <w:p w14:paraId="2404B76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3FD63A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0AE3F69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6772C2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04E5002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6044806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F00041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7EAA5B3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87A644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3A652DF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53FDD213"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24B15DDD" w14:textId="77777777" w:rsidR="00EC7AE5" w:rsidRPr="00732EED" w:rsidRDefault="00EC7AE5" w:rsidP="00DC5B3C">
            <w:pPr>
              <w:rPr>
                <w:bCs w:val="0"/>
                <w:sz w:val="18"/>
                <w:szCs w:val="18"/>
              </w:rPr>
            </w:pPr>
            <w:r w:rsidRPr="00732EED">
              <w:rPr>
                <w:sz w:val="18"/>
                <w:szCs w:val="18"/>
              </w:rPr>
              <w:t>64</w:t>
            </w:r>
          </w:p>
        </w:tc>
        <w:tc>
          <w:tcPr>
            <w:tcW w:w="552" w:type="pct"/>
          </w:tcPr>
          <w:p w14:paraId="436AA8E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Stensland, 2021</w:t>
            </w:r>
          </w:p>
        </w:tc>
        <w:tc>
          <w:tcPr>
            <w:tcW w:w="376" w:type="pct"/>
          </w:tcPr>
          <w:p w14:paraId="6DDF441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943345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123ACFE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545DD6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44AA8A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F3412F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BC8457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2D1E388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B6C744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0AB4C53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58A64769"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4B71049C" w14:textId="77777777" w:rsidR="00EC7AE5" w:rsidRPr="00732EED" w:rsidRDefault="00EC7AE5" w:rsidP="00DC5B3C">
            <w:pPr>
              <w:rPr>
                <w:bCs w:val="0"/>
                <w:sz w:val="18"/>
                <w:szCs w:val="18"/>
              </w:rPr>
            </w:pPr>
            <w:r w:rsidRPr="00732EED">
              <w:rPr>
                <w:sz w:val="18"/>
                <w:szCs w:val="18"/>
              </w:rPr>
              <w:t>65</w:t>
            </w:r>
          </w:p>
        </w:tc>
        <w:tc>
          <w:tcPr>
            <w:tcW w:w="552" w:type="pct"/>
          </w:tcPr>
          <w:p w14:paraId="49CAA91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Toye et al., 2021</w:t>
            </w:r>
          </w:p>
        </w:tc>
        <w:tc>
          <w:tcPr>
            <w:tcW w:w="376" w:type="pct"/>
          </w:tcPr>
          <w:p w14:paraId="7EC6B29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7BD809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2BFB6DA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7A9C9F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77B550E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01EDC82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1A23203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412" w:type="pct"/>
          </w:tcPr>
          <w:p w14:paraId="50976E0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5C647B5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15DCF4C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1ADA233C"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7E0E62EE" w14:textId="77777777" w:rsidR="00EC7AE5" w:rsidRPr="00732EED" w:rsidRDefault="00EC7AE5" w:rsidP="00DC5B3C">
            <w:pPr>
              <w:rPr>
                <w:bCs w:val="0"/>
                <w:sz w:val="18"/>
                <w:szCs w:val="18"/>
              </w:rPr>
            </w:pPr>
            <w:r w:rsidRPr="00732EED">
              <w:rPr>
                <w:sz w:val="18"/>
                <w:szCs w:val="18"/>
              </w:rPr>
              <w:t>66</w:t>
            </w:r>
          </w:p>
        </w:tc>
        <w:tc>
          <w:tcPr>
            <w:tcW w:w="552" w:type="pct"/>
          </w:tcPr>
          <w:p w14:paraId="08F631D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Chala et al., 2022</w:t>
            </w:r>
          </w:p>
        </w:tc>
        <w:tc>
          <w:tcPr>
            <w:tcW w:w="376" w:type="pct"/>
          </w:tcPr>
          <w:p w14:paraId="67E37FE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DAE25C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3CECC00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18F99D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D0EC4D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1AA3761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0BF5B9A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6CE0141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6B6F505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286A8E1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3F61059C"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3D867995" w14:textId="77777777" w:rsidR="00EC7AE5" w:rsidRPr="00732EED" w:rsidRDefault="00EC7AE5" w:rsidP="00DC5B3C">
            <w:pPr>
              <w:rPr>
                <w:bCs w:val="0"/>
                <w:sz w:val="18"/>
                <w:szCs w:val="18"/>
              </w:rPr>
            </w:pPr>
            <w:r w:rsidRPr="00732EED">
              <w:rPr>
                <w:sz w:val="18"/>
                <w:szCs w:val="18"/>
              </w:rPr>
              <w:t>67</w:t>
            </w:r>
          </w:p>
        </w:tc>
        <w:tc>
          <w:tcPr>
            <w:tcW w:w="552" w:type="pct"/>
          </w:tcPr>
          <w:p w14:paraId="6AF3193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proofErr w:type="spellStart"/>
            <w:r w:rsidRPr="00732EED">
              <w:rPr>
                <w:bCs/>
                <w:sz w:val="18"/>
                <w:szCs w:val="18"/>
              </w:rPr>
              <w:t>Kahere</w:t>
            </w:r>
            <w:proofErr w:type="spellEnd"/>
            <w:r w:rsidRPr="00732EED">
              <w:rPr>
                <w:bCs/>
                <w:sz w:val="18"/>
                <w:szCs w:val="18"/>
              </w:rPr>
              <w:t xml:space="preserve"> et al., 2022</w:t>
            </w:r>
          </w:p>
        </w:tc>
        <w:tc>
          <w:tcPr>
            <w:tcW w:w="376" w:type="pct"/>
          </w:tcPr>
          <w:p w14:paraId="0B1BA69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ED253C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25E5F01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138453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66C37AC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74495E6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3DB6CF3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9381CF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8BBFB1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0E9D30A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 xml:space="preserve">Yes </w:t>
            </w:r>
          </w:p>
        </w:tc>
      </w:tr>
      <w:tr w:rsidR="00EC7AE5" w:rsidRPr="00732EED" w14:paraId="6A80D055"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08210452" w14:textId="77777777" w:rsidR="00EC7AE5" w:rsidRPr="00732EED" w:rsidRDefault="00EC7AE5" w:rsidP="00DC5B3C">
            <w:pPr>
              <w:rPr>
                <w:bCs w:val="0"/>
                <w:sz w:val="18"/>
                <w:szCs w:val="18"/>
              </w:rPr>
            </w:pPr>
            <w:r w:rsidRPr="00732EED">
              <w:rPr>
                <w:sz w:val="18"/>
                <w:szCs w:val="18"/>
              </w:rPr>
              <w:t>68</w:t>
            </w:r>
          </w:p>
        </w:tc>
        <w:tc>
          <w:tcPr>
            <w:tcW w:w="552" w:type="pct"/>
          </w:tcPr>
          <w:p w14:paraId="75AF7EA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Altun et al., 2023</w:t>
            </w:r>
          </w:p>
        </w:tc>
        <w:tc>
          <w:tcPr>
            <w:tcW w:w="376" w:type="pct"/>
          </w:tcPr>
          <w:p w14:paraId="689B983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42BB9C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0C82861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65F242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0AFAD96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54738AE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6FA4A02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199FCE2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22B4A8F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07C34D8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75D721F0"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AC54CDB" w14:textId="77777777" w:rsidR="00EC7AE5" w:rsidRPr="00732EED" w:rsidRDefault="00EC7AE5" w:rsidP="00DC5B3C">
            <w:pPr>
              <w:rPr>
                <w:bCs w:val="0"/>
                <w:sz w:val="18"/>
                <w:szCs w:val="18"/>
              </w:rPr>
            </w:pPr>
            <w:r w:rsidRPr="00732EED">
              <w:rPr>
                <w:sz w:val="18"/>
                <w:szCs w:val="18"/>
              </w:rPr>
              <w:t>69</w:t>
            </w:r>
          </w:p>
        </w:tc>
        <w:tc>
          <w:tcPr>
            <w:tcW w:w="552" w:type="pct"/>
          </w:tcPr>
          <w:p w14:paraId="2E2250B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Joyce et al., 2023</w:t>
            </w:r>
          </w:p>
        </w:tc>
        <w:tc>
          <w:tcPr>
            <w:tcW w:w="376" w:type="pct"/>
          </w:tcPr>
          <w:p w14:paraId="757E55C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AAD144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2CEF93C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E0504A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219109F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5438D7B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23B9940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16FA72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536B82B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5E83802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251D2091"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93DFDFB" w14:textId="77777777" w:rsidR="00EC7AE5" w:rsidRPr="00732EED" w:rsidRDefault="00EC7AE5" w:rsidP="00DC5B3C">
            <w:pPr>
              <w:rPr>
                <w:bCs w:val="0"/>
                <w:sz w:val="18"/>
                <w:szCs w:val="18"/>
              </w:rPr>
            </w:pPr>
            <w:r w:rsidRPr="00732EED">
              <w:rPr>
                <w:sz w:val="18"/>
                <w:szCs w:val="18"/>
              </w:rPr>
              <w:t>70</w:t>
            </w:r>
          </w:p>
        </w:tc>
        <w:tc>
          <w:tcPr>
            <w:tcW w:w="552" w:type="pct"/>
          </w:tcPr>
          <w:p w14:paraId="3A45618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Peppard et al., 2023</w:t>
            </w:r>
          </w:p>
        </w:tc>
        <w:tc>
          <w:tcPr>
            <w:tcW w:w="376" w:type="pct"/>
          </w:tcPr>
          <w:p w14:paraId="12BB154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E2BA56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B750FC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4EAF0F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342B7CB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35B4BE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607C6A5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12" w:type="pct"/>
          </w:tcPr>
          <w:p w14:paraId="20092C2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1AEFC11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7AD0536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4B390B89"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9771558" w14:textId="77777777" w:rsidR="00EC7AE5" w:rsidRPr="00732EED" w:rsidRDefault="00EC7AE5" w:rsidP="00DC5B3C">
            <w:pPr>
              <w:rPr>
                <w:bCs w:val="0"/>
                <w:sz w:val="18"/>
                <w:szCs w:val="18"/>
              </w:rPr>
            </w:pPr>
            <w:r w:rsidRPr="00732EED">
              <w:rPr>
                <w:sz w:val="18"/>
                <w:szCs w:val="18"/>
              </w:rPr>
              <w:t>71</w:t>
            </w:r>
          </w:p>
        </w:tc>
        <w:tc>
          <w:tcPr>
            <w:tcW w:w="552" w:type="pct"/>
          </w:tcPr>
          <w:p w14:paraId="187AB36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Sun et al., 2023</w:t>
            </w:r>
          </w:p>
        </w:tc>
        <w:tc>
          <w:tcPr>
            <w:tcW w:w="376" w:type="pct"/>
          </w:tcPr>
          <w:p w14:paraId="36422A0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3520DD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1DE950F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AD3CA2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49FE28E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3673383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7D40BF8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412" w:type="pct"/>
          </w:tcPr>
          <w:p w14:paraId="3801135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C507E9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5714922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064EB93B"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667C6746" w14:textId="77777777" w:rsidR="00EC7AE5" w:rsidRPr="00732EED" w:rsidRDefault="00EC7AE5" w:rsidP="00DC5B3C">
            <w:pPr>
              <w:rPr>
                <w:bCs w:val="0"/>
                <w:sz w:val="18"/>
                <w:szCs w:val="18"/>
              </w:rPr>
            </w:pPr>
            <w:r w:rsidRPr="00732EED">
              <w:rPr>
                <w:sz w:val="18"/>
                <w:szCs w:val="18"/>
              </w:rPr>
              <w:t>72</w:t>
            </w:r>
          </w:p>
        </w:tc>
        <w:tc>
          <w:tcPr>
            <w:tcW w:w="552" w:type="pct"/>
          </w:tcPr>
          <w:p w14:paraId="4D92E6D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van Rysewyk et al., 2023</w:t>
            </w:r>
          </w:p>
        </w:tc>
        <w:tc>
          <w:tcPr>
            <w:tcW w:w="376" w:type="pct"/>
          </w:tcPr>
          <w:p w14:paraId="17AE63A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830E0B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628D1E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709381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07BA053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06675C5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64F0A8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6154372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6D4F05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6216232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E463795"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1524B2CD" w14:textId="77777777" w:rsidR="00EC7AE5" w:rsidRPr="00732EED" w:rsidRDefault="00EC7AE5" w:rsidP="00DC5B3C">
            <w:pPr>
              <w:rPr>
                <w:bCs w:val="0"/>
                <w:sz w:val="18"/>
                <w:szCs w:val="18"/>
              </w:rPr>
            </w:pPr>
            <w:r w:rsidRPr="00732EED">
              <w:rPr>
                <w:sz w:val="18"/>
                <w:szCs w:val="18"/>
              </w:rPr>
              <w:t>73</w:t>
            </w:r>
          </w:p>
        </w:tc>
        <w:tc>
          <w:tcPr>
            <w:tcW w:w="552" w:type="pct"/>
          </w:tcPr>
          <w:p w14:paraId="3BEC15F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000000" w:themeColor="text1"/>
                <w:sz w:val="18"/>
                <w:szCs w:val="18"/>
              </w:rPr>
              <w:t>Albán-Reyes et al., 2024</w:t>
            </w:r>
          </w:p>
        </w:tc>
        <w:tc>
          <w:tcPr>
            <w:tcW w:w="376" w:type="pct"/>
          </w:tcPr>
          <w:p w14:paraId="6B12DCF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4DB32FA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6E38816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8C9DEF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437B24D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6641ED2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0A34CEB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6EADD2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B33147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11A5A16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p w14:paraId="1A2EBE4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p>
        </w:tc>
      </w:tr>
      <w:tr w:rsidR="00EC7AE5" w:rsidRPr="00732EED" w14:paraId="76063213"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36CF12CA" w14:textId="77777777" w:rsidR="00EC7AE5" w:rsidRPr="00732EED" w:rsidRDefault="00EC7AE5" w:rsidP="00DC5B3C">
            <w:pPr>
              <w:rPr>
                <w:bCs w:val="0"/>
                <w:sz w:val="18"/>
                <w:szCs w:val="18"/>
              </w:rPr>
            </w:pPr>
            <w:r w:rsidRPr="00732EED">
              <w:rPr>
                <w:sz w:val="18"/>
                <w:szCs w:val="18"/>
              </w:rPr>
              <w:t>74</w:t>
            </w:r>
          </w:p>
        </w:tc>
        <w:tc>
          <w:tcPr>
            <w:tcW w:w="552" w:type="pct"/>
          </w:tcPr>
          <w:p w14:paraId="4110AA0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Bruger et al., 2024</w:t>
            </w:r>
          </w:p>
        </w:tc>
        <w:tc>
          <w:tcPr>
            <w:tcW w:w="376" w:type="pct"/>
          </w:tcPr>
          <w:p w14:paraId="37585FF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4660C6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69F783F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78DA64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70315AB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3073208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BB3143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301C290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35F96B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4526A14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3BB0D057"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6BC0AD2" w14:textId="77777777" w:rsidR="00EC7AE5" w:rsidRPr="00732EED" w:rsidRDefault="00EC7AE5" w:rsidP="00DC5B3C">
            <w:pPr>
              <w:rPr>
                <w:bCs w:val="0"/>
                <w:sz w:val="18"/>
                <w:szCs w:val="18"/>
              </w:rPr>
            </w:pPr>
            <w:r w:rsidRPr="00732EED">
              <w:rPr>
                <w:sz w:val="18"/>
                <w:szCs w:val="18"/>
              </w:rPr>
              <w:lastRenderedPageBreak/>
              <w:t>75</w:t>
            </w:r>
          </w:p>
        </w:tc>
        <w:tc>
          <w:tcPr>
            <w:tcW w:w="552" w:type="pct"/>
          </w:tcPr>
          <w:p w14:paraId="56F8074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Bullo et al., 2024</w:t>
            </w:r>
          </w:p>
        </w:tc>
        <w:tc>
          <w:tcPr>
            <w:tcW w:w="376" w:type="pct"/>
          </w:tcPr>
          <w:p w14:paraId="043D468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DC87BC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4F41FC2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173431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2DE21B9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5649D70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Cannot tell</w:t>
            </w:r>
          </w:p>
        </w:tc>
        <w:tc>
          <w:tcPr>
            <w:tcW w:w="380" w:type="pct"/>
          </w:tcPr>
          <w:p w14:paraId="69CA4F6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1155F16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291B9A7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2302C0F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 xml:space="preserve">Yes </w:t>
            </w:r>
          </w:p>
        </w:tc>
      </w:tr>
      <w:tr w:rsidR="00EC7AE5" w:rsidRPr="00732EED" w14:paraId="2D828B03"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09357DF0" w14:textId="77777777" w:rsidR="00EC7AE5" w:rsidRPr="00732EED" w:rsidRDefault="00EC7AE5" w:rsidP="00DC5B3C">
            <w:pPr>
              <w:rPr>
                <w:bCs w:val="0"/>
                <w:sz w:val="18"/>
                <w:szCs w:val="18"/>
              </w:rPr>
            </w:pPr>
            <w:r w:rsidRPr="00732EED">
              <w:rPr>
                <w:sz w:val="18"/>
                <w:szCs w:val="18"/>
              </w:rPr>
              <w:t>76</w:t>
            </w:r>
          </w:p>
        </w:tc>
        <w:tc>
          <w:tcPr>
            <w:tcW w:w="552" w:type="pct"/>
          </w:tcPr>
          <w:p w14:paraId="642D1BF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Gaber et al., 2024</w:t>
            </w:r>
          </w:p>
        </w:tc>
        <w:tc>
          <w:tcPr>
            <w:tcW w:w="376" w:type="pct"/>
          </w:tcPr>
          <w:p w14:paraId="3197441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31B693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1DA0346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608247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216B040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218564F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15803AD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Cannot tell</w:t>
            </w:r>
          </w:p>
        </w:tc>
        <w:tc>
          <w:tcPr>
            <w:tcW w:w="412" w:type="pct"/>
          </w:tcPr>
          <w:p w14:paraId="735D35E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59E9877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6EFE515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3F09AA7C"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041BABDD" w14:textId="77777777" w:rsidR="00EC7AE5" w:rsidRPr="00732EED" w:rsidRDefault="00EC7AE5" w:rsidP="00DC5B3C">
            <w:pPr>
              <w:rPr>
                <w:bCs w:val="0"/>
                <w:sz w:val="18"/>
                <w:szCs w:val="18"/>
              </w:rPr>
            </w:pPr>
            <w:r w:rsidRPr="00732EED">
              <w:rPr>
                <w:sz w:val="18"/>
                <w:szCs w:val="18"/>
              </w:rPr>
              <w:t>77</w:t>
            </w:r>
          </w:p>
        </w:tc>
        <w:tc>
          <w:tcPr>
            <w:tcW w:w="552" w:type="pct"/>
          </w:tcPr>
          <w:p w14:paraId="349CF27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212121"/>
                <w:sz w:val="18"/>
                <w:szCs w:val="18"/>
                <w:shd w:val="clear" w:color="auto" w:fill="FFFFFF"/>
              </w:rPr>
            </w:pPr>
            <w:r w:rsidRPr="00732EED">
              <w:rPr>
                <w:bCs/>
                <w:color w:val="212121"/>
                <w:sz w:val="18"/>
                <w:szCs w:val="18"/>
                <w:shd w:val="clear" w:color="auto" w:fill="FFFFFF"/>
              </w:rPr>
              <w:t>Lilja et al., 2024</w:t>
            </w:r>
          </w:p>
        </w:tc>
        <w:tc>
          <w:tcPr>
            <w:tcW w:w="376" w:type="pct"/>
          </w:tcPr>
          <w:p w14:paraId="040F578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5B9E107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59EA7C1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3A6AC6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7C30106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5AF13ED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7404A3A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71065C6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C140AF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7F5E2C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65B67F22"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70DE27BE" w14:textId="77777777" w:rsidR="00EC7AE5" w:rsidRPr="00732EED" w:rsidRDefault="00EC7AE5" w:rsidP="00DC5B3C">
            <w:pPr>
              <w:rPr>
                <w:bCs w:val="0"/>
                <w:sz w:val="18"/>
                <w:szCs w:val="18"/>
              </w:rPr>
            </w:pPr>
            <w:r w:rsidRPr="00732EED">
              <w:rPr>
                <w:sz w:val="18"/>
                <w:szCs w:val="18"/>
              </w:rPr>
              <w:t>78</w:t>
            </w:r>
          </w:p>
        </w:tc>
        <w:tc>
          <w:tcPr>
            <w:tcW w:w="552" w:type="pct"/>
          </w:tcPr>
          <w:p w14:paraId="15A795E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color w:val="212121"/>
                <w:sz w:val="18"/>
                <w:szCs w:val="18"/>
                <w:shd w:val="clear" w:color="auto" w:fill="FFFFFF"/>
              </w:rPr>
              <w:t>Lo Monaco et al., 2024</w:t>
            </w:r>
          </w:p>
        </w:tc>
        <w:tc>
          <w:tcPr>
            <w:tcW w:w="376" w:type="pct"/>
          </w:tcPr>
          <w:p w14:paraId="592F0F7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D704F4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589EEA0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638408A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5B4C8B7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228E3E4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5F8D80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768560E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5E2A91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137E0C9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10789AA6"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2538199D" w14:textId="77777777" w:rsidR="00EC7AE5" w:rsidRPr="00732EED" w:rsidRDefault="00EC7AE5" w:rsidP="00DC5B3C">
            <w:pPr>
              <w:rPr>
                <w:bCs w:val="0"/>
                <w:sz w:val="18"/>
                <w:szCs w:val="18"/>
              </w:rPr>
            </w:pPr>
            <w:r w:rsidRPr="00732EED">
              <w:rPr>
                <w:sz w:val="18"/>
                <w:szCs w:val="18"/>
              </w:rPr>
              <w:t>79</w:t>
            </w:r>
          </w:p>
        </w:tc>
        <w:tc>
          <w:tcPr>
            <w:tcW w:w="552" w:type="pct"/>
          </w:tcPr>
          <w:p w14:paraId="743B62D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Lundin et al., 2024</w:t>
            </w:r>
          </w:p>
        </w:tc>
        <w:tc>
          <w:tcPr>
            <w:tcW w:w="376" w:type="pct"/>
          </w:tcPr>
          <w:p w14:paraId="254BC4E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6CD698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7155F57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9B6FAD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4BC2333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7433C3C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00E9D03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24E535E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0852B98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68A4AC7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13511F0F"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7DD18C72" w14:textId="77777777" w:rsidR="00EC7AE5" w:rsidRPr="00732EED" w:rsidRDefault="00EC7AE5" w:rsidP="00DC5B3C">
            <w:pPr>
              <w:rPr>
                <w:bCs w:val="0"/>
                <w:sz w:val="18"/>
                <w:szCs w:val="18"/>
              </w:rPr>
            </w:pPr>
            <w:r w:rsidRPr="00732EED">
              <w:rPr>
                <w:sz w:val="18"/>
                <w:szCs w:val="18"/>
              </w:rPr>
              <w:t>80</w:t>
            </w:r>
          </w:p>
        </w:tc>
        <w:tc>
          <w:tcPr>
            <w:tcW w:w="552" w:type="pct"/>
          </w:tcPr>
          <w:p w14:paraId="6B05EFD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212121"/>
                <w:sz w:val="18"/>
                <w:szCs w:val="18"/>
                <w:shd w:val="clear" w:color="auto" w:fill="FFFFFF"/>
              </w:rPr>
            </w:pPr>
            <w:r w:rsidRPr="00732EED">
              <w:rPr>
                <w:bCs/>
                <w:color w:val="212121"/>
                <w:sz w:val="18"/>
                <w:szCs w:val="18"/>
                <w:shd w:val="clear" w:color="auto" w:fill="FFFFFF"/>
              </w:rPr>
              <w:t>MacGregor et al., 2024</w:t>
            </w:r>
          </w:p>
        </w:tc>
        <w:tc>
          <w:tcPr>
            <w:tcW w:w="376" w:type="pct"/>
          </w:tcPr>
          <w:p w14:paraId="5DCE0F3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52BDA8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3E6A289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9A3ABE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67078E1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27E3173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DFF8E4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6001EAB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496862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5DA4B8C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BE73EE3"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2A212C7C" w14:textId="77777777" w:rsidR="00EC7AE5" w:rsidRPr="00732EED" w:rsidRDefault="00EC7AE5" w:rsidP="00DC5B3C">
            <w:pPr>
              <w:rPr>
                <w:bCs w:val="0"/>
                <w:sz w:val="18"/>
                <w:szCs w:val="18"/>
              </w:rPr>
            </w:pPr>
            <w:r w:rsidRPr="00732EED">
              <w:rPr>
                <w:sz w:val="18"/>
                <w:szCs w:val="18"/>
              </w:rPr>
              <w:t>81</w:t>
            </w:r>
          </w:p>
        </w:tc>
        <w:tc>
          <w:tcPr>
            <w:tcW w:w="552" w:type="pct"/>
          </w:tcPr>
          <w:p w14:paraId="55B4671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212121"/>
                <w:sz w:val="18"/>
                <w:szCs w:val="18"/>
                <w:shd w:val="clear" w:color="auto" w:fill="FFFFFF"/>
              </w:rPr>
              <w:t>Matias-Soto et al., 2024</w:t>
            </w:r>
          </w:p>
        </w:tc>
        <w:tc>
          <w:tcPr>
            <w:tcW w:w="376" w:type="pct"/>
          </w:tcPr>
          <w:p w14:paraId="04E2BEB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9BBF7A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0B19AFB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375FF3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10CC48E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0816A09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671C6BD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4861276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5230E17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3846B70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0972811A"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16453AC" w14:textId="77777777" w:rsidR="00EC7AE5" w:rsidRPr="00732EED" w:rsidRDefault="00EC7AE5" w:rsidP="00DC5B3C">
            <w:pPr>
              <w:rPr>
                <w:bCs w:val="0"/>
                <w:sz w:val="18"/>
                <w:szCs w:val="18"/>
              </w:rPr>
            </w:pPr>
            <w:r w:rsidRPr="00732EED">
              <w:rPr>
                <w:sz w:val="18"/>
                <w:szCs w:val="18"/>
              </w:rPr>
              <w:t>82</w:t>
            </w:r>
          </w:p>
        </w:tc>
        <w:tc>
          <w:tcPr>
            <w:tcW w:w="552" w:type="pct"/>
          </w:tcPr>
          <w:p w14:paraId="40EAB2B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proofErr w:type="spellStart"/>
            <w:r w:rsidRPr="00732EED">
              <w:rPr>
                <w:bCs/>
                <w:color w:val="000000" w:themeColor="text1"/>
                <w:sz w:val="18"/>
                <w:szCs w:val="18"/>
                <w:shd w:val="clear" w:color="auto" w:fill="FFFFFF"/>
              </w:rPr>
              <w:t>Nikoloudi</w:t>
            </w:r>
            <w:proofErr w:type="spellEnd"/>
            <w:r w:rsidRPr="00732EED">
              <w:rPr>
                <w:bCs/>
                <w:color w:val="000000" w:themeColor="text1"/>
                <w:sz w:val="18"/>
                <w:szCs w:val="18"/>
                <w:shd w:val="clear" w:color="auto" w:fill="FFFFFF"/>
              </w:rPr>
              <w:t xml:space="preserve"> et al., 2024</w:t>
            </w:r>
          </w:p>
        </w:tc>
        <w:tc>
          <w:tcPr>
            <w:tcW w:w="376" w:type="pct"/>
          </w:tcPr>
          <w:p w14:paraId="06D7106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039C941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8EAD07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34C13F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28A7919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3F8884E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735E625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06F04D3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BCF497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6A42383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7F59E5E6"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6F4622DB" w14:textId="155118A1" w:rsidR="00EC7AE5" w:rsidRPr="00732EED" w:rsidRDefault="000D7A5C" w:rsidP="00DC5B3C">
            <w:pPr>
              <w:rPr>
                <w:bCs w:val="0"/>
                <w:sz w:val="18"/>
                <w:szCs w:val="18"/>
              </w:rPr>
            </w:pPr>
            <w:r w:rsidRPr="00732EED">
              <w:rPr>
                <w:bCs w:val="0"/>
                <w:sz w:val="18"/>
                <w:szCs w:val="18"/>
              </w:rPr>
              <w:t>83</w:t>
            </w:r>
          </w:p>
        </w:tc>
        <w:tc>
          <w:tcPr>
            <w:tcW w:w="552" w:type="pct"/>
          </w:tcPr>
          <w:p w14:paraId="70B41F9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Sanabria-Mazo et al., 2024</w:t>
            </w:r>
          </w:p>
        </w:tc>
        <w:tc>
          <w:tcPr>
            <w:tcW w:w="376" w:type="pct"/>
          </w:tcPr>
          <w:p w14:paraId="492DFE8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48ABDA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5999F75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2B1EE3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7F0C7D4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1D2E3F8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12489DE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06DF4C3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3F7AA50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5F19E45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 xml:space="preserve">Yes </w:t>
            </w:r>
          </w:p>
        </w:tc>
      </w:tr>
      <w:tr w:rsidR="00EC7AE5" w:rsidRPr="00732EED" w14:paraId="0775ED75"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36D591E8" w14:textId="768F8320" w:rsidR="00EC7AE5" w:rsidRPr="00732EED" w:rsidRDefault="00EC7AE5" w:rsidP="00DC5B3C">
            <w:pPr>
              <w:rPr>
                <w:bCs w:val="0"/>
                <w:sz w:val="18"/>
                <w:szCs w:val="18"/>
              </w:rPr>
            </w:pPr>
            <w:r w:rsidRPr="00732EED">
              <w:rPr>
                <w:sz w:val="18"/>
                <w:szCs w:val="18"/>
              </w:rPr>
              <w:t>8</w:t>
            </w:r>
            <w:r w:rsidR="000D7A5C" w:rsidRPr="00732EED">
              <w:rPr>
                <w:bCs w:val="0"/>
                <w:sz w:val="18"/>
                <w:szCs w:val="18"/>
              </w:rPr>
              <w:t>4</w:t>
            </w:r>
          </w:p>
        </w:tc>
        <w:tc>
          <w:tcPr>
            <w:tcW w:w="552" w:type="pct"/>
          </w:tcPr>
          <w:p w14:paraId="3A4B33B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Schwarz B et al.2024</w:t>
            </w:r>
          </w:p>
        </w:tc>
        <w:tc>
          <w:tcPr>
            <w:tcW w:w="376" w:type="pct"/>
          </w:tcPr>
          <w:p w14:paraId="720CDE4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2B85D5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5E12C0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4A6280D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Yeas</w:t>
            </w:r>
          </w:p>
        </w:tc>
        <w:tc>
          <w:tcPr>
            <w:tcW w:w="391" w:type="pct"/>
          </w:tcPr>
          <w:p w14:paraId="3FF503A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359A182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739E4F8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No</w:t>
            </w:r>
          </w:p>
        </w:tc>
        <w:tc>
          <w:tcPr>
            <w:tcW w:w="412" w:type="pct"/>
          </w:tcPr>
          <w:p w14:paraId="1B5D344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61AB399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00CE5A9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577EE0D4"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5223677D" w14:textId="5C834CD4" w:rsidR="00EC7AE5" w:rsidRPr="00732EED" w:rsidRDefault="00EC7AE5" w:rsidP="00DC5B3C">
            <w:pPr>
              <w:rPr>
                <w:bCs w:val="0"/>
                <w:sz w:val="18"/>
                <w:szCs w:val="18"/>
              </w:rPr>
            </w:pPr>
            <w:r w:rsidRPr="00732EED">
              <w:rPr>
                <w:sz w:val="18"/>
                <w:szCs w:val="18"/>
              </w:rPr>
              <w:t>8</w:t>
            </w:r>
            <w:r w:rsidR="000D7A5C" w:rsidRPr="00732EED">
              <w:rPr>
                <w:bCs w:val="0"/>
                <w:sz w:val="18"/>
                <w:szCs w:val="18"/>
              </w:rPr>
              <w:t>5</w:t>
            </w:r>
          </w:p>
        </w:tc>
        <w:tc>
          <w:tcPr>
            <w:tcW w:w="552" w:type="pct"/>
          </w:tcPr>
          <w:p w14:paraId="3345FE6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Snell et al., 2024</w:t>
            </w:r>
          </w:p>
        </w:tc>
        <w:tc>
          <w:tcPr>
            <w:tcW w:w="376" w:type="pct"/>
          </w:tcPr>
          <w:p w14:paraId="1F3DFC2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7FE4CB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61D2C4D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DD5CE8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3E6034B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0BD3CC2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574C461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No</w:t>
            </w:r>
          </w:p>
        </w:tc>
        <w:tc>
          <w:tcPr>
            <w:tcW w:w="412" w:type="pct"/>
          </w:tcPr>
          <w:p w14:paraId="242AC51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7D7D52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4E1A06A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375803AA"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398417E2" w14:textId="602C33AD" w:rsidR="00EC7AE5" w:rsidRPr="00732EED" w:rsidRDefault="00EC7AE5" w:rsidP="00DC5B3C">
            <w:pPr>
              <w:rPr>
                <w:bCs w:val="0"/>
                <w:sz w:val="18"/>
                <w:szCs w:val="18"/>
                <w:shd w:val="clear" w:color="auto" w:fill="FFFFFF"/>
              </w:rPr>
            </w:pPr>
            <w:r w:rsidRPr="00732EED">
              <w:rPr>
                <w:sz w:val="18"/>
                <w:szCs w:val="18"/>
                <w:shd w:val="clear" w:color="auto" w:fill="FFFFFF"/>
              </w:rPr>
              <w:t>8</w:t>
            </w:r>
            <w:r w:rsidR="000D7A5C" w:rsidRPr="00732EED">
              <w:rPr>
                <w:bCs w:val="0"/>
                <w:sz w:val="18"/>
                <w:szCs w:val="18"/>
                <w:shd w:val="clear" w:color="auto" w:fill="FFFFFF"/>
              </w:rPr>
              <w:t>6</w:t>
            </w:r>
          </w:p>
        </w:tc>
        <w:tc>
          <w:tcPr>
            <w:tcW w:w="552" w:type="pct"/>
          </w:tcPr>
          <w:p w14:paraId="1B94FE0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color w:val="000000" w:themeColor="text1"/>
                <w:sz w:val="18"/>
                <w:szCs w:val="18"/>
              </w:rPr>
              <w:t>Barber et al., 2025</w:t>
            </w:r>
          </w:p>
        </w:tc>
        <w:tc>
          <w:tcPr>
            <w:tcW w:w="376" w:type="pct"/>
          </w:tcPr>
          <w:p w14:paraId="3DE27D4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34EDF19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75A79B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4FD048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09A28F39"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3C5D46B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616DA4A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4651946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42B6D3B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7AE4D1F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3523F6F"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4691723D" w14:textId="6F013C4F" w:rsidR="00EC7AE5" w:rsidRPr="00732EED" w:rsidRDefault="00EC7AE5" w:rsidP="00DC5B3C">
            <w:pPr>
              <w:rPr>
                <w:bCs w:val="0"/>
                <w:sz w:val="18"/>
                <w:szCs w:val="18"/>
              </w:rPr>
            </w:pPr>
            <w:r w:rsidRPr="00732EED">
              <w:rPr>
                <w:sz w:val="18"/>
                <w:szCs w:val="18"/>
              </w:rPr>
              <w:t>8</w:t>
            </w:r>
            <w:r w:rsidR="000D7A5C" w:rsidRPr="00732EED">
              <w:rPr>
                <w:bCs w:val="0"/>
                <w:sz w:val="18"/>
                <w:szCs w:val="18"/>
              </w:rPr>
              <w:t>7</w:t>
            </w:r>
          </w:p>
        </w:tc>
        <w:tc>
          <w:tcPr>
            <w:tcW w:w="552" w:type="pct"/>
          </w:tcPr>
          <w:p w14:paraId="54D8741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Bosco et al., 2025</w:t>
            </w:r>
          </w:p>
        </w:tc>
        <w:tc>
          <w:tcPr>
            <w:tcW w:w="376" w:type="pct"/>
          </w:tcPr>
          <w:p w14:paraId="0EE964D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ACECD4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5AA5B43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200A91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0E6450F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3982091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4CA4760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5C50B1E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1EC4B53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7B68ECD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21A0404F"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055844A4" w14:textId="758B68B3" w:rsidR="00EC7AE5" w:rsidRPr="00732EED" w:rsidRDefault="00EC7AE5" w:rsidP="00DC5B3C">
            <w:pPr>
              <w:rPr>
                <w:bCs w:val="0"/>
                <w:color w:val="1B1B1B"/>
                <w:sz w:val="18"/>
                <w:szCs w:val="18"/>
                <w:shd w:val="clear" w:color="auto" w:fill="FFFFFF"/>
              </w:rPr>
            </w:pPr>
            <w:r w:rsidRPr="00732EED">
              <w:rPr>
                <w:color w:val="1B1B1B"/>
                <w:sz w:val="18"/>
                <w:szCs w:val="18"/>
                <w:shd w:val="clear" w:color="auto" w:fill="FFFFFF"/>
              </w:rPr>
              <w:t>8</w:t>
            </w:r>
            <w:r w:rsidR="000D7A5C" w:rsidRPr="00732EED">
              <w:rPr>
                <w:bCs w:val="0"/>
                <w:color w:val="1B1B1B"/>
                <w:sz w:val="18"/>
                <w:szCs w:val="18"/>
                <w:shd w:val="clear" w:color="auto" w:fill="FFFFFF"/>
              </w:rPr>
              <w:t>8</w:t>
            </w:r>
          </w:p>
        </w:tc>
        <w:tc>
          <w:tcPr>
            <w:tcW w:w="552" w:type="pct"/>
          </w:tcPr>
          <w:p w14:paraId="264E0DB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1B1B1B"/>
                <w:sz w:val="18"/>
                <w:szCs w:val="18"/>
                <w:shd w:val="clear" w:color="auto" w:fill="FFFFFF"/>
              </w:rPr>
            </w:pPr>
            <w:r w:rsidRPr="00732EED">
              <w:rPr>
                <w:bCs/>
                <w:color w:val="1B1B1B"/>
                <w:sz w:val="18"/>
                <w:szCs w:val="18"/>
                <w:shd w:val="clear" w:color="auto" w:fill="FFFFFF"/>
              </w:rPr>
              <w:t>Danes-</w:t>
            </w:r>
            <w:proofErr w:type="spellStart"/>
            <w:r w:rsidRPr="00732EED">
              <w:rPr>
                <w:bCs/>
                <w:color w:val="1B1B1B"/>
                <w:sz w:val="18"/>
                <w:szCs w:val="18"/>
                <w:shd w:val="clear" w:color="auto" w:fill="FFFFFF"/>
              </w:rPr>
              <w:t>Daetz</w:t>
            </w:r>
            <w:proofErr w:type="spellEnd"/>
            <w:r w:rsidRPr="00732EED">
              <w:rPr>
                <w:bCs/>
                <w:color w:val="1B1B1B"/>
                <w:sz w:val="18"/>
                <w:szCs w:val="18"/>
                <w:shd w:val="clear" w:color="auto" w:fill="FFFFFF"/>
              </w:rPr>
              <w:t xml:space="preserve"> et al., 2025</w:t>
            </w:r>
          </w:p>
        </w:tc>
        <w:tc>
          <w:tcPr>
            <w:tcW w:w="376" w:type="pct"/>
          </w:tcPr>
          <w:p w14:paraId="1B70F08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6C91BF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7C42A08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315D382"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75FE1F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546D96D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0B41114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5A40695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4172B2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37DFD94D"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02217E65"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1BCFC84E" w14:textId="2FD41B7D" w:rsidR="00EC7AE5" w:rsidRPr="00732EED" w:rsidRDefault="000D7A5C" w:rsidP="00DC5B3C">
            <w:pPr>
              <w:rPr>
                <w:bCs w:val="0"/>
                <w:color w:val="1B1B1B"/>
                <w:sz w:val="18"/>
                <w:szCs w:val="18"/>
                <w:shd w:val="clear" w:color="auto" w:fill="FFFFFF"/>
              </w:rPr>
            </w:pPr>
            <w:r w:rsidRPr="00732EED">
              <w:rPr>
                <w:bCs w:val="0"/>
                <w:color w:val="1B1B1B"/>
                <w:sz w:val="18"/>
                <w:szCs w:val="18"/>
                <w:shd w:val="clear" w:color="auto" w:fill="FFFFFF"/>
              </w:rPr>
              <w:t>8</w:t>
            </w:r>
            <w:r w:rsidR="00EC7AE5" w:rsidRPr="00732EED">
              <w:rPr>
                <w:color w:val="1B1B1B"/>
                <w:sz w:val="18"/>
                <w:szCs w:val="18"/>
                <w:shd w:val="clear" w:color="auto" w:fill="FFFFFF"/>
              </w:rPr>
              <w:t>9</w:t>
            </w:r>
          </w:p>
        </w:tc>
        <w:tc>
          <w:tcPr>
            <w:tcW w:w="552" w:type="pct"/>
          </w:tcPr>
          <w:p w14:paraId="0D441542"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color w:val="1B1B1B"/>
                <w:sz w:val="18"/>
                <w:szCs w:val="18"/>
                <w:shd w:val="clear" w:color="auto" w:fill="FFFFFF"/>
              </w:rPr>
              <w:t>Jiang et al., 2025</w:t>
            </w:r>
          </w:p>
        </w:tc>
        <w:tc>
          <w:tcPr>
            <w:tcW w:w="376" w:type="pct"/>
          </w:tcPr>
          <w:p w14:paraId="07F02BF1"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23D2816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5DBB703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7ACCA400"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17BC92C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3857C30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19E171C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78D6CCC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637A3D23"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638861E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183F20A1"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59FA8C22" w14:textId="705C68D9" w:rsidR="00EC7AE5" w:rsidRPr="00732EED" w:rsidRDefault="00EC7AE5" w:rsidP="00DC5B3C">
            <w:pPr>
              <w:rPr>
                <w:bCs w:val="0"/>
                <w:sz w:val="18"/>
                <w:szCs w:val="18"/>
                <w:shd w:val="clear" w:color="auto" w:fill="FFFFFF"/>
              </w:rPr>
            </w:pPr>
            <w:r w:rsidRPr="00732EED">
              <w:rPr>
                <w:sz w:val="18"/>
                <w:szCs w:val="18"/>
                <w:shd w:val="clear" w:color="auto" w:fill="FFFFFF"/>
              </w:rPr>
              <w:t>9</w:t>
            </w:r>
            <w:r w:rsidR="000D7A5C" w:rsidRPr="00732EED">
              <w:rPr>
                <w:bCs w:val="0"/>
                <w:sz w:val="18"/>
                <w:szCs w:val="18"/>
                <w:shd w:val="clear" w:color="auto" w:fill="FFFFFF"/>
              </w:rPr>
              <w:t>0</w:t>
            </w:r>
          </w:p>
        </w:tc>
        <w:tc>
          <w:tcPr>
            <w:tcW w:w="552" w:type="pct"/>
          </w:tcPr>
          <w:p w14:paraId="7BDECAF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1B1B1B"/>
                <w:sz w:val="18"/>
                <w:szCs w:val="18"/>
                <w:shd w:val="clear" w:color="auto" w:fill="FFFFFF"/>
              </w:rPr>
            </w:pPr>
            <w:r w:rsidRPr="00732EED">
              <w:rPr>
                <w:bCs/>
                <w:color w:val="000000" w:themeColor="text1"/>
                <w:sz w:val="18"/>
                <w:szCs w:val="18"/>
                <w:shd w:val="clear" w:color="auto" w:fill="FFFFFF"/>
              </w:rPr>
              <w:t>Najem et al., 2025</w:t>
            </w:r>
          </w:p>
        </w:tc>
        <w:tc>
          <w:tcPr>
            <w:tcW w:w="376" w:type="pct"/>
          </w:tcPr>
          <w:p w14:paraId="2D1D7C0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F2C4D7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41A5CE0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0DD30D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0A87E1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2AF99F6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5651FF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53880FA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25CCAFF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38866E3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651073E4"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48D38280" w14:textId="44A86FA8" w:rsidR="00EC7AE5" w:rsidRPr="00732EED" w:rsidRDefault="00EC7AE5" w:rsidP="00DC5B3C">
            <w:pPr>
              <w:rPr>
                <w:bCs w:val="0"/>
                <w:color w:val="1B1B1B"/>
                <w:sz w:val="18"/>
                <w:szCs w:val="18"/>
                <w:shd w:val="clear" w:color="auto" w:fill="FFFFFF"/>
              </w:rPr>
            </w:pPr>
            <w:r w:rsidRPr="00732EED">
              <w:rPr>
                <w:color w:val="1B1B1B"/>
                <w:sz w:val="18"/>
                <w:szCs w:val="18"/>
                <w:shd w:val="clear" w:color="auto" w:fill="FFFFFF"/>
              </w:rPr>
              <w:t>9</w:t>
            </w:r>
            <w:r w:rsidR="000D7A5C" w:rsidRPr="00732EED">
              <w:rPr>
                <w:bCs w:val="0"/>
                <w:color w:val="1B1B1B"/>
                <w:sz w:val="18"/>
                <w:szCs w:val="18"/>
                <w:shd w:val="clear" w:color="auto" w:fill="FFFFFF"/>
              </w:rPr>
              <w:t>1</w:t>
            </w:r>
          </w:p>
        </w:tc>
        <w:tc>
          <w:tcPr>
            <w:tcW w:w="552" w:type="pct"/>
          </w:tcPr>
          <w:p w14:paraId="7542434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1B1B1B"/>
                <w:sz w:val="18"/>
                <w:szCs w:val="18"/>
                <w:shd w:val="clear" w:color="auto" w:fill="FFFFFF"/>
              </w:rPr>
            </w:pPr>
            <w:r w:rsidRPr="00732EED">
              <w:rPr>
                <w:bCs/>
                <w:color w:val="1B1B1B"/>
                <w:sz w:val="18"/>
                <w:szCs w:val="18"/>
                <w:shd w:val="clear" w:color="auto" w:fill="FFFFFF"/>
              </w:rPr>
              <w:t>Putri and Amir, 2025</w:t>
            </w:r>
          </w:p>
        </w:tc>
        <w:tc>
          <w:tcPr>
            <w:tcW w:w="376" w:type="pct"/>
          </w:tcPr>
          <w:p w14:paraId="0A1D339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1D513ED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50E471CE"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66EED26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730AF988"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0713CC1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1D8A8287"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65BE308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4C58DA2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07B5D09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7747ABDB"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33AEAC3" w14:textId="2F25FC6B" w:rsidR="00EC7AE5" w:rsidRPr="00732EED" w:rsidRDefault="00EC7AE5" w:rsidP="00DC5B3C">
            <w:pPr>
              <w:rPr>
                <w:bCs w:val="0"/>
                <w:color w:val="1B1B1B"/>
                <w:sz w:val="18"/>
                <w:szCs w:val="18"/>
                <w:shd w:val="clear" w:color="auto" w:fill="FFFFFF"/>
              </w:rPr>
            </w:pPr>
            <w:r w:rsidRPr="00732EED">
              <w:rPr>
                <w:color w:val="1B1B1B"/>
                <w:sz w:val="18"/>
                <w:szCs w:val="18"/>
                <w:shd w:val="clear" w:color="auto" w:fill="FFFFFF"/>
              </w:rPr>
              <w:t>9</w:t>
            </w:r>
            <w:r w:rsidR="000D7A5C" w:rsidRPr="00732EED">
              <w:rPr>
                <w:bCs w:val="0"/>
                <w:color w:val="1B1B1B"/>
                <w:sz w:val="18"/>
                <w:szCs w:val="18"/>
                <w:shd w:val="clear" w:color="auto" w:fill="FFFFFF"/>
              </w:rPr>
              <w:t>2</w:t>
            </w:r>
          </w:p>
        </w:tc>
        <w:tc>
          <w:tcPr>
            <w:tcW w:w="552" w:type="pct"/>
          </w:tcPr>
          <w:p w14:paraId="464D1B1F"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color w:val="1B1B1B"/>
                <w:sz w:val="18"/>
                <w:szCs w:val="18"/>
                <w:shd w:val="clear" w:color="auto" w:fill="FFFFFF"/>
              </w:rPr>
            </w:pPr>
            <w:r w:rsidRPr="00732EED">
              <w:rPr>
                <w:bCs/>
                <w:color w:val="1B1B1B"/>
                <w:sz w:val="18"/>
                <w:szCs w:val="18"/>
                <w:shd w:val="clear" w:color="auto" w:fill="FFFFFF"/>
              </w:rPr>
              <w:t>Shehadeh et al., 2025</w:t>
            </w:r>
          </w:p>
        </w:tc>
        <w:tc>
          <w:tcPr>
            <w:tcW w:w="376" w:type="pct"/>
          </w:tcPr>
          <w:p w14:paraId="17165DC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5017D216"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3CE38470"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7F5C8C7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1C865C0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6985FA8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53E8A911"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1FAAC878"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75D96E8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3171D6BC"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r w:rsidR="00EC7AE5" w:rsidRPr="00732EED" w14:paraId="5F36670B" w14:textId="77777777" w:rsidTr="004D09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7" w:type="pct"/>
          </w:tcPr>
          <w:p w14:paraId="1398EE4B" w14:textId="51843420" w:rsidR="00EC7AE5" w:rsidRPr="00732EED" w:rsidRDefault="00EC7AE5" w:rsidP="00DC5B3C">
            <w:pPr>
              <w:rPr>
                <w:bCs w:val="0"/>
                <w:sz w:val="18"/>
                <w:szCs w:val="18"/>
                <w:shd w:val="clear" w:color="auto" w:fill="FFFFFF"/>
              </w:rPr>
            </w:pPr>
            <w:r w:rsidRPr="00732EED">
              <w:rPr>
                <w:sz w:val="18"/>
                <w:szCs w:val="18"/>
                <w:shd w:val="clear" w:color="auto" w:fill="FFFFFF"/>
              </w:rPr>
              <w:t>9</w:t>
            </w:r>
            <w:r w:rsidR="000D7A5C" w:rsidRPr="00732EED">
              <w:rPr>
                <w:bCs w:val="0"/>
                <w:sz w:val="18"/>
                <w:szCs w:val="18"/>
                <w:shd w:val="clear" w:color="auto" w:fill="FFFFFF"/>
              </w:rPr>
              <w:t>3</w:t>
            </w:r>
          </w:p>
        </w:tc>
        <w:tc>
          <w:tcPr>
            <w:tcW w:w="552" w:type="pct"/>
          </w:tcPr>
          <w:p w14:paraId="6CFA5EE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color w:val="1B1B1B"/>
                <w:sz w:val="18"/>
                <w:szCs w:val="18"/>
                <w:shd w:val="clear" w:color="auto" w:fill="FFFFFF"/>
              </w:rPr>
            </w:pPr>
            <w:r w:rsidRPr="00732EED">
              <w:rPr>
                <w:bCs/>
                <w:sz w:val="18"/>
                <w:szCs w:val="18"/>
                <w:shd w:val="clear" w:color="auto" w:fill="FFFFFF"/>
              </w:rPr>
              <w:t>Stilwell et al., 2025</w:t>
            </w:r>
          </w:p>
        </w:tc>
        <w:tc>
          <w:tcPr>
            <w:tcW w:w="376" w:type="pct"/>
          </w:tcPr>
          <w:p w14:paraId="5C18A65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38B1C4A6"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36" w:type="pct"/>
          </w:tcPr>
          <w:p w14:paraId="16D1EFDF"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68" w:type="pct"/>
          </w:tcPr>
          <w:p w14:paraId="0EEBF024"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91" w:type="pct"/>
          </w:tcPr>
          <w:p w14:paraId="0C685C6A"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40" w:type="pct"/>
          </w:tcPr>
          <w:p w14:paraId="1AADFEFD"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80" w:type="pct"/>
          </w:tcPr>
          <w:p w14:paraId="201BF765"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412" w:type="pct"/>
          </w:tcPr>
          <w:p w14:paraId="6BEE9C1B"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6" w:type="pct"/>
          </w:tcPr>
          <w:p w14:paraId="3BE79D69"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c>
          <w:tcPr>
            <w:tcW w:w="373" w:type="pct"/>
          </w:tcPr>
          <w:p w14:paraId="3F8EAAAC" w14:textId="77777777" w:rsidR="00EC7AE5" w:rsidRPr="00732EED" w:rsidRDefault="00EC7AE5" w:rsidP="00DC5B3C">
            <w:pPr>
              <w:cnfStyle w:val="000000100000" w:firstRow="0" w:lastRow="0" w:firstColumn="0" w:lastColumn="0" w:oddVBand="0" w:evenVBand="0" w:oddHBand="1" w:evenHBand="0" w:firstRowFirstColumn="0" w:firstRowLastColumn="0" w:lastRowFirstColumn="0" w:lastRowLastColumn="0"/>
              <w:rPr>
                <w:bCs/>
                <w:sz w:val="18"/>
                <w:szCs w:val="18"/>
              </w:rPr>
            </w:pPr>
            <w:r w:rsidRPr="00732EED">
              <w:rPr>
                <w:bCs/>
                <w:sz w:val="18"/>
                <w:szCs w:val="18"/>
              </w:rPr>
              <w:t>Yes</w:t>
            </w:r>
          </w:p>
        </w:tc>
      </w:tr>
      <w:tr w:rsidR="00EC7AE5" w:rsidRPr="00732EED" w14:paraId="4FBEDE2E" w14:textId="77777777" w:rsidTr="004D095B">
        <w:trPr>
          <w:trHeight w:val="432"/>
        </w:trPr>
        <w:tc>
          <w:tcPr>
            <w:cnfStyle w:val="001000000000" w:firstRow="0" w:lastRow="0" w:firstColumn="1" w:lastColumn="0" w:oddVBand="0" w:evenVBand="0" w:oddHBand="0" w:evenHBand="0" w:firstRowFirstColumn="0" w:firstRowLastColumn="0" w:lastRowFirstColumn="0" w:lastRowLastColumn="0"/>
            <w:tcW w:w="327" w:type="pct"/>
          </w:tcPr>
          <w:p w14:paraId="451BF3AD" w14:textId="77A93B37" w:rsidR="00EC7AE5" w:rsidRPr="00732EED" w:rsidRDefault="00EC7AE5" w:rsidP="00DC5B3C">
            <w:pPr>
              <w:rPr>
                <w:bCs w:val="0"/>
                <w:sz w:val="18"/>
                <w:szCs w:val="18"/>
                <w:shd w:val="clear" w:color="auto" w:fill="FFFFFF"/>
              </w:rPr>
            </w:pPr>
            <w:r w:rsidRPr="00732EED">
              <w:rPr>
                <w:sz w:val="18"/>
                <w:szCs w:val="18"/>
                <w:shd w:val="clear" w:color="auto" w:fill="FFFFFF"/>
              </w:rPr>
              <w:t>9</w:t>
            </w:r>
            <w:r w:rsidR="000D7A5C" w:rsidRPr="00732EED">
              <w:rPr>
                <w:bCs w:val="0"/>
                <w:sz w:val="18"/>
                <w:szCs w:val="18"/>
                <w:shd w:val="clear" w:color="auto" w:fill="FFFFFF"/>
              </w:rPr>
              <w:t>4</w:t>
            </w:r>
          </w:p>
        </w:tc>
        <w:tc>
          <w:tcPr>
            <w:tcW w:w="552" w:type="pct"/>
          </w:tcPr>
          <w:p w14:paraId="5C60162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shd w:val="clear" w:color="auto" w:fill="FFFFFF"/>
              </w:rPr>
            </w:pPr>
            <w:proofErr w:type="spellStart"/>
            <w:r w:rsidRPr="00732EED">
              <w:rPr>
                <w:bCs/>
                <w:sz w:val="18"/>
                <w:szCs w:val="18"/>
                <w:shd w:val="clear" w:color="auto" w:fill="FFFFFF"/>
              </w:rPr>
              <w:t>Safour</w:t>
            </w:r>
            <w:proofErr w:type="spellEnd"/>
            <w:r w:rsidRPr="00732EED">
              <w:rPr>
                <w:bCs/>
                <w:sz w:val="18"/>
                <w:szCs w:val="18"/>
                <w:shd w:val="clear" w:color="auto" w:fill="FFFFFF"/>
              </w:rPr>
              <w:t xml:space="preserve"> et al., 2025</w:t>
            </w:r>
          </w:p>
        </w:tc>
        <w:tc>
          <w:tcPr>
            <w:tcW w:w="376" w:type="pct"/>
          </w:tcPr>
          <w:p w14:paraId="6D3EBBFE"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1ABEF9B5"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36" w:type="pct"/>
          </w:tcPr>
          <w:p w14:paraId="2B7E671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68" w:type="pct"/>
          </w:tcPr>
          <w:p w14:paraId="2B461BD3"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91" w:type="pct"/>
          </w:tcPr>
          <w:p w14:paraId="3BA63D2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40" w:type="pct"/>
          </w:tcPr>
          <w:p w14:paraId="7384D04A"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80" w:type="pct"/>
          </w:tcPr>
          <w:p w14:paraId="49379FE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412" w:type="pct"/>
          </w:tcPr>
          <w:p w14:paraId="75FDD527"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6" w:type="pct"/>
          </w:tcPr>
          <w:p w14:paraId="25E72584"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c>
          <w:tcPr>
            <w:tcW w:w="373" w:type="pct"/>
          </w:tcPr>
          <w:p w14:paraId="2F97059B" w14:textId="77777777" w:rsidR="00EC7AE5" w:rsidRPr="00732EED" w:rsidRDefault="00EC7AE5" w:rsidP="00DC5B3C">
            <w:pPr>
              <w:cnfStyle w:val="000000000000" w:firstRow="0" w:lastRow="0" w:firstColumn="0" w:lastColumn="0" w:oddVBand="0" w:evenVBand="0" w:oddHBand="0" w:evenHBand="0" w:firstRowFirstColumn="0" w:firstRowLastColumn="0" w:lastRowFirstColumn="0" w:lastRowLastColumn="0"/>
              <w:rPr>
                <w:bCs/>
                <w:sz w:val="18"/>
                <w:szCs w:val="18"/>
              </w:rPr>
            </w:pPr>
            <w:r w:rsidRPr="00732EED">
              <w:rPr>
                <w:bCs/>
                <w:sz w:val="18"/>
                <w:szCs w:val="18"/>
              </w:rPr>
              <w:t>Yes</w:t>
            </w:r>
          </w:p>
        </w:tc>
      </w:tr>
    </w:tbl>
    <w:p w14:paraId="37418B23" w14:textId="4130EBB5" w:rsidR="00327C23" w:rsidRPr="00732EED" w:rsidRDefault="00327C23" w:rsidP="00327C23">
      <w:pPr>
        <w:rPr>
          <w:sz w:val="18"/>
          <w:szCs w:val="18"/>
        </w:rPr>
      </w:pPr>
      <w:r w:rsidRPr="00732EED">
        <w:rPr>
          <w:sz w:val="18"/>
          <w:szCs w:val="18"/>
        </w:rPr>
        <w:t>*Appraisal items: columns replicate CASP/CASP</w:t>
      </w:r>
      <w:r w:rsidRPr="00732EED">
        <w:rPr>
          <w:sz w:val="18"/>
          <w:szCs w:val="18"/>
        </w:rPr>
        <w:noBreakHyphen/>
        <w:t>style quality checklist domains (clear aims, appropriateness of qualitative method, design, recruitment, data collection, researcher–participant relationship, ethics, analysis rigor, clarity of findings, and value). See Methods for full criteria and scoring rules. Rating key: responses recorded as Yes / No / Cannot tell (Cannot tell = information not reported or unclear). Study mapping: Study number → full citation and DOI are listed in Supplementary Table S4. Date coverage: included publications span July 2010–July 2025 (see Supplementary Table S2 and PRISMA flow diagram). Duplication: linked reports from the same sample (e.g., Ojala 2014/2015 series; Stensland sub</w:t>
      </w:r>
      <w:r w:rsidRPr="00732EED">
        <w:rPr>
          <w:sz w:val="18"/>
          <w:szCs w:val="18"/>
        </w:rPr>
        <w:noBreakHyphen/>
        <w:t>studies) are documented in Supplementary Table S4-5 and treated as related reports in synthesis and tallies.</w:t>
      </w:r>
    </w:p>
    <w:p w14:paraId="566E71CF" w14:textId="77777777" w:rsidR="000279FE" w:rsidRPr="00732EED" w:rsidRDefault="000279FE" w:rsidP="00327C23">
      <w:pPr>
        <w:rPr>
          <w:sz w:val="18"/>
          <w:szCs w:val="18"/>
        </w:rPr>
      </w:pPr>
    </w:p>
    <w:p w14:paraId="6FE5DF45" w14:textId="29D4BC18" w:rsidR="00E9589B" w:rsidRPr="00732EED" w:rsidRDefault="00004370" w:rsidP="00004370">
      <w:pPr>
        <w:rPr>
          <w:b/>
          <w:bCs/>
          <w:color w:val="09090B"/>
          <w:sz w:val="18"/>
          <w:szCs w:val="18"/>
          <w:shd w:val="clear" w:color="auto" w:fill="FFFFFF"/>
        </w:rPr>
      </w:pPr>
      <w:r w:rsidRPr="00732EED">
        <w:rPr>
          <w:b/>
          <w:bCs/>
          <w:sz w:val="18"/>
          <w:szCs w:val="18"/>
        </w:rPr>
        <w:t>Table S</w:t>
      </w:r>
      <w:r w:rsidR="000F2A82" w:rsidRPr="00732EED">
        <w:rPr>
          <w:b/>
          <w:bCs/>
          <w:sz w:val="18"/>
          <w:szCs w:val="18"/>
        </w:rPr>
        <w:t>7</w:t>
      </w:r>
      <w:r w:rsidRPr="00732EED">
        <w:rPr>
          <w:b/>
          <w:bCs/>
          <w:sz w:val="18"/>
          <w:szCs w:val="18"/>
        </w:rPr>
        <w:t xml:space="preserve">. </w:t>
      </w:r>
      <w:r w:rsidRPr="00732EED">
        <w:rPr>
          <w:b/>
          <w:bCs/>
          <w:color w:val="09090B"/>
          <w:sz w:val="18"/>
          <w:szCs w:val="18"/>
          <w:shd w:val="clear" w:color="auto" w:fill="FFFFFF"/>
        </w:rPr>
        <w:t xml:space="preserve">Code </w:t>
      </w:r>
      <w:r w:rsidR="004F4FA7" w:rsidRPr="00732EED">
        <w:rPr>
          <w:b/>
          <w:bCs/>
          <w:color w:val="09090B"/>
          <w:sz w:val="18"/>
          <w:szCs w:val="18"/>
          <w:shd w:val="clear" w:color="auto" w:fill="FFFFFF"/>
        </w:rPr>
        <w:t>D</w:t>
      </w:r>
      <w:r w:rsidRPr="00732EED">
        <w:rPr>
          <w:b/>
          <w:bCs/>
          <w:color w:val="09090B"/>
          <w:sz w:val="18"/>
          <w:szCs w:val="18"/>
          <w:shd w:val="clear" w:color="auto" w:fill="FFFFFF"/>
        </w:rPr>
        <w:t xml:space="preserve">evelopment (Phase 1): </w:t>
      </w:r>
    </w:p>
    <w:p w14:paraId="06822632" w14:textId="024D709D" w:rsidR="00B345A8" w:rsidRPr="00732EED" w:rsidRDefault="004F4FA7" w:rsidP="00004370">
      <w:pPr>
        <w:rPr>
          <w:b/>
          <w:bCs/>
          <w:color w:val="09090B"/>
          <w:sz w:val="18"/>
          <w:szCs w:val="18"/>
          <w:shd w:val="clear" w:color="auto" w:fill="FFFFFF"/>
        </w:rPr>
      </w:pPr>
      <w:r w:rsidRPr="00732EED">
        <w:rPr>
          <w:b/>
          <w:bCs/>
          <w:color w:val="09090B"/>
          <w:sz w:val="18"/>
          <w:szCs w:val="18"/>
          <w:shd w:val="clear" w:color="auto" w:fill="FFFFFF"/>
        </w:rPr>
        <w:t>T</w:t>
      </w:r>
      <w:r w:rsidR="00004370" w:rsidRPr="00732EED">
        <w:rPr>
          <w:b/>
          <w:bCs/>
          <w:color w:val="09090B"/>
          <w:sz w:val="18"/>
          <w:szCs w:val="18"/>
          <w:shd w:val="clear" w:color="auto" w:fill="FFFFFF"/>
        </w:rPr>
        <w:t xml:space="preserve">hemes, </w:t>
      </w:r>
      <w:r w:rsidRPr="00732EED">
        <w:rPr>
          <w:b/>
          <w:bCs/>
          <w:color w:val="09090B"/>
          <w:sz w:val="18"/>
          <w:szCs w:val="18"/>
          <w:shd w:val="clear" w:color="auto" w:fill="FFFFFF"/>
        </w:rPr>
        <w:t>S</w:t>
      </w:r>
      <w:r w:rsidR="00004370" w:rsidRPr="00732EED">
        <w:rPr>
          <w:b/>
          <w:bCs/>
          <w:color w:val="09090B"/>
          <w:sz w:val="18"/>
          <w:szCs w:val="18"/>
          <w:shd w:val="clear" w:color="auto" w:fill="FFFFFF"/>
        </w:rPr>
        <w:t xml:space="preserve">ubthemes, </w:t>
      </w:r>
      <w:r w:rsidRPr="00732EED">
        <w:rPr>
          <w:b/>
          <w:bCs/>
          <w:color w:val="09090B"/>
          <w:sz w:val="18"/>
          <w:szCs w:val="18"/>
          <w:shd w:val="clear" w:color="auto" w:fill="FFFFFF"/>
        </w:rPr>
        <w:t>E</w:t>
      </w:r>
      <w:r w:rsidR="00004370" w:rsidRPr="00732EED">
        <w:rPr>
          <w:b/>
          <w:bCs/>
          <w:color w:val="09090B"/>
          <w:sz w:val="18"/>
          <w:szCs w:val="18"/>
          <w:shd w:val="clear" w:color="auto" w:fill="FFFFFF"/>
        </w:rPr>
        <w:t xml:space="preserve">xamples, </w:t>
      </w:r>
      <w:r w:rsidRPr="00732EED">
        <w:rPr>
          <w:b/>
          <w:bCs/>
          <w:color w:val="09090B"/>
          <w:sz w:val="18"/>
          <w:szCs w:val="18"/>
          <w:shd w:val="clear" w:color="auto" w:fill="FFFFFF"/>
        </w:rPr>
        <w:t>S</w:t>
      </w:r>
      <w:r w:rsidR="00004370" w:rsidRPr="00732EED">
        <w:rPr>
          <w:b/>
          <w:bCs/>
          <w:color w:val="09090B"/>
          <w:sz w:val="18"/>
          <w:szCs w:val="18"/>
          <w:shd w:val="clear" w:color="auto" w:fill="FFFFFF"/>
        </w:rPr>
        <w:t xml:space="preserve">tudy </w:t>
      </w:r>
      <w:r w:rsidRPr="00732EED">
        <w:rPr>
          <w:b/>
          <w:bCs/>
          <w:color w:val="09090B"/>
          <w:sz w:val="18"/>
          <w:szCs w:val="18"/>
          <w:shd w:val="clear" w:color="auto" w:fill="FFFFFF"/>
        </w:rPr>
        <w:t>S</w:t>
      </w:r>
      <w:r w:rsidR="00004370" w:rsidRPr="00732EED">
        <w:rPr>
          <w:b/>
          <w:bCs/>
          <w:color w:val="09090B"/>
          <w:sz w:val="18"/>
          <w:szCs w:val="18"/>
          <w:shd w:val="clear" w:color="auto" w:fill="FFFFFF"/>
        </w:rPr>
        <w:t>ources</w:t>
      </w:r>
      <w:r w:rsidRPr="00732EED">
        <w:rPr>
          <w:b/>
          <w:bCs/>
          <w:color w:val="09090B"/>
          <w:sz w:val="18"/>
          <w:szCs w:val="18"/>
          <w:shd w:val="clear" w:color="auto" w:fill="FFFFFF"/>
        </w:rPr>
        <w:t xml:space="preserve">, </w:t>
      </w:r>
      <w:proofErr w:type="spellStart"/>
      <w:r w:rsidR="00E76014" w:rsidRPr="00732EED">
        <w:rPr>
          <w:b/>
          <w:bCs/>
          <w:sz w:val="18"/>
          <w:szCs w:val="18"/>
        </w:rPr>
        <w:t>CERQual</w:t>
      </w:r>
      <w:proofErr w:type="spellEnd"/>
      <w:r w:rsidR="00E76014" w:rsidRPr="00732EED">
        <w:rPr>
          <w:b/>
          <w:bCs/>
          <w:sz w:val="18"/>
          <w:szCs w:val="18"/>
        </w:rPr>
        <w:t xml:space="preserve"> Level</w:t>
      </w:r>
      <w:r w:rsidR="00E76014" w:rsidRPr="00732EED">
        <w:rPr>
          <w:b/>
          <w:bCs/>
          <w:color w:val="09090B"/>
          <w:sz w:val="18"/>
          <w:szCs w:val="18"/>
          <w:shd w:val="clear" w:color="auto" w:fill="FFFFFF"/>
        </w:rPr>
        <w:t xml:space="preserve">, </w:t>
      </w:r>
      <w:r w:rsidRPr="00732EED">
        <w:rPr>
          <w:b/>
          <w:bCs/>
          <w:color w:val="09090B"/>
          <w:sz w:val="18"/>
          <w:szCs w:val="18"/>
          <w:shd w:val="clear" w:color="auto" w:fill="FFFFFF"/>
        </w:rPr>
        <w:t>H</w:t>
      </w:r>
      <w:r w:rsidR="00004370" w:rsidRPr="00732EED">
        <w:rPr>
          <w:b/>
          <w:bCs/>
          <w:color w:val="09090B"/>
          <w:sz w:val="18"/>
          <w:szCs w:val="18"/>
          <w:shd w:val="clear" w:color="auto" w:fill="FFFFFF"/>
        </w:rPr>
        <w:t xml:space="preserve">euristic </w:t>
      </w:r>
      <w:r w:rsidRPr="00732EED">
        <w:rPr>
          <w:b/>
          <w:bCs/>
          <w:color w:val="09090B"/>
          <w:sz w:val="18"/>
          <w:szCs w:val="18"/>
          <w:shd w:val="clear" w:color="auto" w:fill="FFFFFF"/>
        </w:rPr>
        <w:t xml:space="preserve">Domain </w:t>
      </w:r>
      <w:r w:rsidR="00004370" w:rsidRPr="00732EED">
        <w:rPr>
          <w:b/>
          <w:bCs/>
          <w:color w:val="09090B"/>
          <w:sz w:val="18"/>
          <w:szCs w:val="18"/>
          <w:shd w:val="clear" w:color="auto" w:fill="FFFFFF"/>
        </w:rPr>
        <w:t>development*</w:t>
      </w:r>
    </w:p>
    <w:tbl>
      <w:tblPr>
        <w:tblStyle w:val="PlainTable1"/>
        <w:tblW w:w="5000" w:type="pct"/>
        <w:tblLook w:val="0420" w:firstRow="1" w:lastRow="0" w:firstColumn="0" w:lastColumn="0" w:noHBand="0" w:noVBand="1"/>
      </w:tblPr>
      <w:tblGrid>
        <w:gridCol w:w="1943"/>
        <w:gridCol w:w="2430"/>
        <w:gridCol w:w="2466"/>
        <w:gridCol w:w="2042"/>
        <w:gridCol w:w="1996"/>
        <w:gridCol w:w="2685"/>
      </w:tblGrid>
      <w:tr w:rsidR="00B345A8" w:rsidRPr="00732EED" w14:paraId="2D12B40B" w14:textId="77777777" w:rsidTr="001F2CA8">
        <w:trPr>
          <w:cnfStyle w:val="100000000000" w:firstRow="1" w:lastRow="0" w:firstColumn="0" w:lastColumn="0" w:oddVBand="0" w:evenVBand="0" w:oddHBand="0" w:evenHBand="0" w:firstRowFirstColumn="0" w:firstRowLastColumn="0" w:lastRowFirstColumn="0" w:lastRowLastColumn="0"/>
        </w:trPr>
        <w:tc>
          <w:tcPr>
            <w:tcW w:w="716" w:type="pct"/>
          </w:tcPr>
          <w:p w14:paraId="2A82D3F0" w14:textId="77777777" w:rsidR="00B345A8" w:rsidRPr="00732EED" w:rsidRDefault="00B345A8" w:rsidP="00DC5B3C">
            <w:pPr>
              <w:rPr>
                <w:sz w:val="18"/>
                <w:szCs w:val="18"/>
              </w:rPr>
            </w:pPr>
            <w:r w:rsidRPr="00732EED">
              <w:rPr>
                <w:sz w:val="18"/>
                <w:szCs w:val="18"/>
              </w:rPr>
              <w:t>Theme/ Domain</w:t>
            </w:r>
          </w:p>
        </w:tc>
        <w:tc>
          <w:tcPr>
            <w:tcW w:w="896" w:type="pct"/>
          </w:tcPr>
          <w:p w14:paraId="780963B8" w14:textId="77777777" w:rsidR="00B345A8" w:rsidRPr="00732EED" w:rsidRDefault="00B345A8" w:rsidP="00DC5B3C">
            <w:pPr>
              <w:rPr>
                <w:sz w:val="18"/>
                <w:szCs w:val="18"/>
              </w:rPr>
            </w:pPr>
            <w:r w:rsidRPr="00732EED">
              <w:rPr>
                <w:sz w:val="18"/>
                <w:szCs w:val="18"/>
              </w:rPr>
              <w:t>Sub-Theme/Sub-Domain</w:t>
            </w:r>
          </w:p>
        </w:tc>
        <w:tc>
          <w:tcPr>
            <w:tcW w:w="909" w:type="pct"/>
          </w:tcPr>
          <w:p w14:paraId="1B437944" w14:textId="77777777" w:rsidR="00B345A8" w:rsidRPr="00732EED" w:rsidRDefault="00B345A8" w:rsidP="00DC5B3C">
            <w:pPr>
              <w:rPr>
                <w:sz w:val="18"/>
                <w:szCs w:val="18"/>
              </w:rPr>
            </w:pPr>
            <w:r w:rsidRPr="00732EED">
              <w:rPr>
                <w:sz w:val="18"/>
                <w:szCs w:val="18"/>
              </w:rPr>
              <w:t>Example Phrases</w:t>
            </w:r>
          </w:p>
        </w:tc>
        <w:tc>
          <w:tcPr>
            <w:tcW w:w="753" w:type="pct"/>
          </w:tcPr>
          <w:p w14:paraId="068FDD14" w14:textId="77777777" w:rsidR="00B345A8" w:rsidRPr="00732EED" w:rsidRDefault="00B345A8" w:rsidP="00DC5B3C">
            <w:pPr>
              <w:rPr>
                <w:sz w:val="18"/>
                <w:szCs w:val="18"/>
              </w:rPr>
            </w:pPr>
            <w:r w:rsidRPr="00732EED">
              <w:rPr>
                <w:sz w:val="18"/>
                <w:szCs w:val="18"/>
              </w:rPr>
              <w:t>Study Examples (IDs)</w:t>
            </w:r>
          </w:p>
        </w:tc>
        <w:tc>
          <w:tcPr>
            <w:tcW w:w="736" w:type="pct"/>
          </w:tcPr>
          <w:p w14:paraId="582104A8" w14:textId="77777777" w:rsidR="00B345A8" w:rsidRPr="00732EED" w:rsidRDefault="00B345A8" w:rsidP="00DC5B3C">
            <w:pPr>
              <w:rPr>
                <w:sz w:val="18"/>
                <w:szCs w:val="18"/>
              </w:rPr>
            </w:pPr>
            <w:proofErr w:type="spellStart"/>
            <w:r w:rsidRPr="00732EED">
              <w:rPr>
                <w:sz w:val="18"/>
                <w:szCs w:val="18"/>
              </w:rPr>
              <w:t>CERQual</w:t>
            </w:r>
            <w:proofErr w:type="spellEnd"/>
            <w:r w:rsidRPr="00732EED">
              <w:rPr>
                <w:sz w:val="18"/>
                <w:szCs w:val="18"/>
              </w:rPr>
              <w:t xml:space="preserve"> Level</w:t>
            </w:r>
          </w:p>
        </w:tc>
        <w:tc>
          <w:tcPr>
            <w:tcW w:w="991" w:type="pct"/>
          </w:tcPr>
          <w:p w14:paraId="05BC8A4F" w14:textId="3E1B6DE8" w:rsidR="00B345A8" w:rsidRPr="00732EED" w:rsidRDefault="00B345A8" w:rsidP="00DC5B3C">
            <w:pPr>
              <w:rPr>
                <w:sz w:val="18"/>
                <w:szCs w:val="18"/>
              </w:rPr>
            </w:pPr>
            <w:r w:rsidRPr="00732EED">
              <w:rPr>
                <w:sz w:val="18"/>
                <w:szCs w:val="18"/>
              </w:rPr>
              <w:t>Heuristic Domian</w:t>
            </w:r>
            <w:r w:rsidR="00B8301F" w:rsidRPr="00732EED">
              <w:rPr>
                <w:sz w:val="18"/>
                <w:szCs w:val="18"/>
              </w:rPr>
              <w:t xml:space="preserve"> Development</w:t>
            </w:r>
          </w:p>
        </w:tc>
      </w:tr>
      <w:tr w:rsidR="00B345A8" w:rsidRPr="00732EED" w14:paraId="648AFCF7" w14:textId="77777777" w:rsidTr="001F2CA8">
        <w:trPr>
          <w:cnfStyle w:val="000000100000" w:firstRow="0" w:lastRow="0" w:firstColumn="0" w:lastColumn="0" w:oddVBand="0" w:evenVBand="0" w:oddHBand="1" w:evenHBand="0" w:firstRowFirstColumn="0" w:firstRowLastColumn="0" w:lastRowFirstColumn="0" w:lastRowLastColumn="0"/>
        </w:trPr>
        <w:tc>
          <w:tcPr>
            <w:tcW w:w="716" w:type="pct"/>
          </w:tcPr>
          <w:p w14:paraId="4191DE71" w14:textId="77777777" w:rsidR="00B345A8" w:rsidRPr="00732EED" w:rsidRDefault="00B345A8" w:rsidP="00DC5B3C">
            <w:pPr>
              <w:rPr>
                <w:sz w:val="18"/>
                <w:szCs w:val="18"/>
              </w:rPr>
            </w:pPr>
            <w:r w:rsidRPr="00732EED">
              <w:rPr>
                <w:sz w:val="18"/>
                <w:szCs w:val="18"/>
              </w:rPr>
              <w:t>Illness &amp; Pain Experience</w:t>
            </w:r>
          </w:p>
        </w:tc>
        <w:tc>
          <w:tcPr>
            <w:tcW w:w="896" w:type="pct"/>
          </w:tcPr>
          <w:p w14:paraId="140F63BA" w14:textId="77777777" w:rsidR="00B345A8" w:rsidRPr="00732EED" w:rsidRDefault="00B345A8" w:rsidP="00DC5B3C">
            <w:pPr>
              <w:rPr>
                <w:sz w:val="18"/>
                <w:szCs w:val="18"/>
              </w:rPr>
            </w:pPr>
            <w:r w:rsidRPr="00732EED">
              <w:rPr>
                <w:sz w:val="18"/>
                <w:szCs w:val="18"/>
              </w:rPr>
              <w:t>Dominance / Intrusiveness of Pain</w:t>
            </w:r>
          </w:p>
        </w:tc>
        <w:tc>
          <w:tcPr>
            <w:tcW w:w="909" w:type="pct"/>
          </w:tcPr>
          <w:p w14:paraId="2D71A5C5" w14:textId="77777777" w:rsidR="00B345A8" w:rsidRPr="00732EED" w:rsidRDefault="00B345A8" w:rsidP="00DC5B3C">
            <w:pPr>
              <w:rPr>
                <w:sz w:val="18"/>
                <w:szCs w:val="18"/>
              </w:rPr>
            </w:pPr>
            <w:r w:rsidRPr="00732EED">
              <w:rPr>
                <w:sz w:val="18"/>
                <w:szCs w:val="18"/>
              </w:rPr>
              <w:t>“Pain rules my life; it decides what I can do and whether life feels worth living.”</w:t>
            </w:r>
          </w:p>
        </w:tc>
        <w:tc>
          <w:tcPr>
            <w:tcW w:w="753" w:type="pct"/>
          </w:tcPr>
          <w:p w14:paraId="7BF1502D" w14:textId="77777777" w:rsidR="00B345A8" w:rsidRPr="00732EED" w:rsidRDefault="00B345A8" w:rsidP="00DC5B3C">
            <w:pPr>
              <w:rPr>
                <w:sz w:val="18"/>
                <w:szCs w:val="18"/>
              </w:rPr>
            </w:pPr>
            <w:r w:rsidRPr="00732EED">
              <w:rPr>
                <w:sz w:val="18"/>
                <w:szCs w:val="18"/>
              </w:rPr>
              <w:t>Ojala 2014 (19), Ojala 2015a (25), Snelgrove 2013 (10), Toye 2017 (37), van Rysewyk 2023 (72)</w:t>
            </w:r>
          </w:p>
        </w:tc>
        <w:tc>
          <w:tcPr>
            <w:tcW w:w="736" w:type="pct"/>
          </w:tcPr>
          <w:p w14:paraId="739DD7D7" w14:textId="77777777" w:rsidR="00B345A8" w:rsidRPr="00732EED" w:rsidRDefault="00B345A8" w:rsidP="00DC5B3C">
            <w:pPr>
              <w:rPr>
                <w:sz w:val="18"/>
                <w:szCs w:val="18"/>
              </w:rPr>
            </w:pPr>
            <w:r w:rsidRPr="00732EED">
              <w:rPr>
                <w:sz w:val="18"/>
                <w:szCs w:val="18"/>
              </w:rPr>
              <w:t>High</w:t>
            </w:r>
          </w:p>
        </w:tc>
        <w:tc>
          <w:tcPr>
            <w:tcW w:w="991" w:type="pct"/>
          </w:tcPr>
          <w:p w14:paraId="096E38F0" w14:textId="77777777" w:rsidR="00B345A8" w:rsidRPr="00732EED" w:rsidRDefault="00B345A8" w:rsidP="00DC5B3C">
            <w:pPr>
              <w:rPr>
                <w:sz w:val="18"/>
                <w:szCs w:val="18"/>
              </w:rPr>
            </w:pPr>
            <w:r w:rsidRPr="00732EED">
              <w:rPr>
                <w:sz w:val="18"/>
                <w:szCs w:val="18"/>
              </w:rPr>
              <w:t>Physical / Pain &amp; Symptom Burden</w:t>
            </w:r>
          </w:p>
        </w:tc>
      </w:tr>
      <w:tr w:rsidR="00B345A8" w:rsidRPr="00732EED" w14:paraId="45828533" w14:textId="77777777" w:rsidTr="001F2CA8">
        <w:tc>
          <w:tcPr>
            <w:tcW w:w="716" w:type="pct"/>
          </w:tcPr>
          <w:p w14:paraId="43178F42" w14:textId="77777777" w:rsidR="00B345A8" w:rsidRPr="00732EED" w:rsidRDefault="00B345A8" w:rsidP="00DC5B3C">
            <w:pPr>
              <w:rPr>
                <w:sz w:val="18"/>
                <w:szCs w:val="18"/>
              </w:rPr>
            </w:pPr>
            <w:r w:rsidRPr="00732EED">
              <w:rPr>
                <w:sz w:val="18"/>
                <w:szCs w:val="18"/>
              </w:rPr>
              <w:t>Illness &amp; Pain Experience</w:t>
            </w:r>
          </w:p>
        </w:tc>
        <w:tc>
          <w:tcPr>
            <w:tcW w:w="896" w:type="pct"/>
          </w:tcPr>
          <w:p w14:paraId="79DFB6A8" w14:textId="77777777" w:rsidR="00B345A8" w:rsidRPr="00732EED" w:rsidRDefault="00B345A8" w:rsidP="00DC5B3C">
            <w:pPr>
              <w:rPr>
                <w:sz w:val="18"/>
                <w:szCs w:val="18"/>
              </w:rPr>
            </w:pPr>
            <w:r w:rsidRPr="00732EED">
              <w:rPr>
                <w:sz w:val="18"/>
                <w:szCs w:val="18"/>
              </w:rPr>
              <w:t>Variability &amp; Unpredictability</w:t>
            </w:r>
          </w:p>
        </w:tc>
        <w:tc>
          <w:tcPr>
            <w:tcW w:w="909" w:type="pct"/>
          </w:tcPr>
          <w:p w14:paraId="166F4983" w14:textId="77777777" w:rsidR="00B345A8" w:rsidRPr="00732EED" w:rsidRDefault="00B345A8" w:rsidP="00DC5B3C">
            <w:pPr>
              <w:rPr>
                <w:sz w:val="18"/>
                <w:szCs w:val="18"/>
              </w:rPr>
            </w:pPr>
            <w:r w:rsidRPr="00732EED">
              <w:rPr>
                <w:sz w:val="18"/>
                <w:szCs w:val="18"/>
              </w:rPr>
              <w:t>Pain fluctuates, is deceiving and unpredictable, undermining trust in the body.</w:t>
            </w:r>
          </w:p>
        </w:tc>
        <w:tc>
          <w:tcPr>
            <w:tcW w:w="753" w:type="pct"/>
          </w:tcPr>
          <w:p w14:paraId="4663F171" w14:textId="77777777" w:rsidR="00B345A8" w:rsidRPr="00732EED" w:rsidRDefault="00B345A8" w:rsidP="00DC5B3C">
            <w:pPr>
              <w:rPr>
                <w:sz w:val="18"/>
                <w:szCs w:val="18"/>
              </w:rPr>
            </w:pPr>
            <w:r w:rsidRPr="00732EED">
              <w:rPr>
                <w:sz w:val="18"/>
                <w:szCs w:val="18"/>
              </w:rPr>
              <w:t>Krohne 2010 (1), Svensson 2015 (29), Toye 2019 (54), Bullo 2024 (75)</w:t>
            </w:r>
          </w:p>
        </w:tc>
        <w:tc>
          <w:tcPr>
            <w:tcW w:w="736" w:type="pct"/>
          </w:tcPr>
          <w:p w14:paraId="03326781" w14:textId="77777777" w:rsidR="00B345A8" w:rsidRPr="00732EED" w:rsidRDefault="00B345A8" w:rsidP="00DC5B3C">
            <w:pPr>
              <w:rPr>
                <w:sz w:val="18"/>
                <w:szCs w:val="18"/>
              </w:rPr>
            </w:pPr>
            <w:r w:rsidRPr="00732EED">
              <w:rPr>
                <w:sz w:val="18"/>
                <w:szCs w:val="18"/>
              </w:rPr>
              <w:t>High–Moderate</w:t>
            </w:r>
          </w:p>
        </w:tc>
        <w:tc>
          <w:tcPr>
            <w:tcW w:w="991" w:type="pct"/>
          </w:tcPr>
          <w:p w14:paraId="3FB95F1C" w14:textId="77777777" w:rsidR="00B345A8" w:rsidRPr="00732EED" w:rsidRDefault="00B345A8" w:rsidP="00DC5B3C">
            <w:pPr>
              <w:rPr>
                <w:sz w:val="18"/>
                <w:szCs w:val="18"/>
              </w:rPr>
            </w:pPr>
            <w:r w:rsidRPr="00732EED">
              <w:rPr>
                <w:sz w:val="18"/>
                <w:szCs w:val="18"/>
              </w:rPr>
              <w:t>Physical / Fluctuation &amp; Unpredictability (Variability &amp; Mystery)</w:t>
            </w:r>
          </w:p>
        </w:tc>
      </w:tr>
      <w:tr w:rsidR="00B345A8" w:rsidRPr="00732EED" w14:paraId="0524C839" w14:textId="77777777" w:rsidTr="001F2CA8">
        <w:trPr>
          <w:cnfStyle w:val="000000100000" w:firstRow="0" w:lastRow="0" w:firstColumn="0" w:lastColumn="0" w:oddVBand="0" w:evenVBand="0" w:oddHBand="1" w:evenHBand="0" w:firstRowFirstColumn="0" w:firstRowLastColumn="0" w:lastRowFirstColumn="0" w:lastRowLastColumn="0"/>
        </w:trPr>
        <w:tc>
          <w:tcPr>
            <w:tcW w:w="716" w:type="pct"/>
          </w:tcPr>
          <w:p w14:paraId="3B3CBFB5" w14:textId="77777777" w:rsidR="00B345A8" w:rsidRPr="00732EED" w:rsidRDefault="00B345A8" w:rsidP="00DC5B3C">
            <w:pPr>
              <w:rPr>
                <w:sz w:val="18"/>
                <w:szCs w:val="18"/>
              </w:rPr>
            </w:pPr>
            <w:r w:rsidRPr="00732EED">
              <w:rPr>
                <w:sz w:val="18"/>
                <w:szCs w:val="18"/>
              </w:rPr>
              <w:t>Illness &amp; Pain Experience</w:t>
            </w:r>
          </w:p>
        </w:tc>
        <w:tc>
          <w:tcPr>
            <w:tcW w:w="896" w:type="pct"/>
          </w:tcPr>
          <w:p w14:paraId="249355DA" w14:textId="77777777" w:rsidR="00B345A8" w:rsidRPr="00732EED" w:rsidRDefault="00B345A8" w:rsidP="00DC5B3C">
            <w:pPr>
              <w:rPr>
                <w:sz w:val="18"/>
                <w:szCs w:val="18"/>
              </w:rPr>
            </w:pPr>
            <w:r w:rsidRPr="00732EED">
              <w:rPr>
                <w:sz w:val="18"/>
                <w:szCs w:val="18"/>
              </w:rPr>
              <w:t>Pain as Violence / Enemy</w:t>
            </w:r>
          </w:p>
        </w:tc>
        <w:tc>
          <w:tcPr>
            <w:tcW w:w="909" w:type="pct"/>
          </w:tcPr>
          <w:p w14:paraId="43515088" w14:textId="77777777" w:rsidR="00B345A8" w:rsidRPr="00732EED" w:rsidRDefault="00B345A8" w:rsidP="00DC5B3C">
            <w:pPr>
              <w:rPr>
                <w:sz w:val="18"/>
                <w:szCs w:val="18"/>
              </w:rPr>
            </w:pPr>
            <w:r w:rsidRPr="00732EED">
              <w:rPr>
                <w:sz w:val="18"/>
                <w:szCs w:val="18"/>
              </w:rPr>
              <w:t>Pain experienced as an attacking force, torture or physical violence.</w:t>
            </w:r>
          </w:p>
        </w:tc>
        <w:tc>
          <w:tcPr>
            <w:tcW w:w="753" w:type="pct"/>
          </w:tcPr>
          <w:p w14:paraId="218B3E0F" w14:textId="77777777" w:rsidR="00B345A8" w:rsidRPr="00732EED" w:rsidRDefault="00B345A8" w:rsidP="00DC5B3C">
            <w:pPr>
              <w:rPr>
                <w:sz w:val="18"/>
                <w:szCs w:val="18"/>
              </w:rPr>
            </w:pPr>
            <w:r w:rsidRPr="00732EED">
              <w:rPr>
                <w:sz w:val="18"/>
                <w:szCs w:val="18"/>
              </w:rPr>
              <w:t>Taylor 2013 (11), Kirkham 2015 (23), Bullo 2024 (75)</w:t>
            </w:r>
          </w:p>
        </w:tc>
        <w:tc>
          <w:tcPr>
            <w:tcW w:w="736" w:type="pct"/>
          </w:tcPr>
          <w:p w14:paraId="75D89851" w14:textId="77777777" w:rsidR="00B345A8" w:rsidRPr="00732EED" w:rsidRDefault="00B345A8" w:rsidP="00DC5B3C">
            <w:pPr>
              <w:rPr>
                <w:sz w:val="18"/>
                <w:szCs w:val="18"/>
              </w:rPr>
            </w:pPr>
            <w:r w:rsidRPr="00732EED">
              <w:rPr>
                <w:sz w:val="18"/>
                <w:szCs w:val="18"/>
              </w:rPr>
              <w:t>High</w:t>
            </w:r>
          </w:p>
        </w:tc>
        <w:tc>
          <w:tcPr>
            <w:tcW w:w="991" w:type="pct"/>
          </w:tcPr>
          <w:p w14:paraId="11585796" w14:textId="77777777" w:rsidR="00B345A8" w:rsidRPr="00732EED" w:rsidRDefault="00B345A8" w:rsidP="00DC5B3C">
            <w:pPr>
              <w:rPr>
                <w:sz w:val="18"/>
                <w:szCs w:val="18"/>
              </w:rPr>
            </w:pPr>
            <w:r w:rsidRPr="00732EED">
              <w:rPr>
                <w:sz w:val="18"/>
                <w:szCs w:val="18"/>
              </w:rPr>
              <w:t>Chronic Pain / Sensory Qualities &amp; Metaphors</w:t>
            </w:r>
          </w:p>
        </w:tc>
      </w:tr>
      <w:tr w:rsidR="00B345A8" w:rsidRPr="00732EED" w14:paraId="2A6E4453" w14:textId="77777777" w:rsidTr="001F2CA8">
        <w:tc>
          <w:tcPr>
            <w:tcW w:w="716" w:type="pct"/>
          </w:tcPr>
          <w:p w14:paraId="6F21E50E" w14:textId="77777777" w:rsidR="00B345A8" w:rsidRPr="00732EED" w:rsidRDefault="00B345A8" w:rsidP="00DC5B3C">
            <w:pPr>
              <w:rPr>
                <w:sz w:val="18"/>
                <w:szCs w:val="18"/>
              </w:rPr>
            </w:pPr>
            <w:r w:rsidRPr="00732EED">
              <w:rPr>
                <w:sz w:val="18"/>
                <w:szCs w:val="18"/>
              </w:rPr>
              <w:t>Illness &amp; Pain Experience</w:t>
            </w:r>
          </w:p>
        </w:tc>
        <w:tc>
          <w:tcPr>
            <w:tcW w:w="896" w:type="pct"/>
          </w:tcPr>
          <w:p w14:paraId="025D4CB1" w14:textId="77777777" w:rsidR="00B345A8" w:rsidRPr="00732EED" w:rsidRDefault="00B345A8" w:rsidP="00DC5B3C">
            <w:pPr>
              <w:rPr>
                <w:sz w:val="18"/>
                <w:szCs w:val="18"/>
              </w:rPr>
            </w:pPr>
            <w:r w:rsidRPr="00732EED">
              <w:rPr>
                <w:sz w:val="18"/>
                <w:szCs w:val="18"/>
              </w:rPr>
              <w:t>Multidimensional Nature</w:t>
            </w:r>
          </w:p>
        </w:tc>
        <w:tc>
          <w:tcPr>
            <w:tcW w:w="909" w:type="pct"/>
          </w:tcPr>
          <w:p w14:paraId="5053C67E" w14:textId="77777777" w:rsidR="00B345A8" w:rsidRPr="00732EED" w:rsidRDefault="00B345A8" w:rsidP="00DC5B3C">
            <w:pPr>
              <w:rPr>
                <w:sz w:val="18"/>
                <w:szCs w:val="18"/>
              </w:rPr>
            </w:pPr>
            <w:r w:rsidRPr="00732EED">
              <w:rPr>
                <w:sz w:val="18"/>
                <w:szCs w:val="18"/>
              </w:rPr>
              <w:t>Pain is more than sensation: it affects body, mind, social life, and spirituality.</w:t>
            </w:r>
          </w:p>
        </w:tc>
        <w:tc>
          <w:tcPr>
            <w:tcW w:w="753" w:type="pct"/>
          </w:tcPr>
          <w:p w14:paraId="38F29F5A" w14:textId="77777777" w:rsidR="00B345A8" w:rsidRPr="00732EED" w:rsidRDefault="00B345A8" w:rsidP="00DC5B3C">
            <w:pPr>
              <w:rPr>
                <w:sz w:val="18"/>
                <w:szCs w:val="18"/>
              </w:rPr>
            </w:pPr>
            <w:r w:rsidRPr="00732EED">
              <w:rPr>
                <w:sz w:val="18"/>
                <w:szCs w:val="18"/>
              </w:rPr>
              <w:t>De Villiers 2015 (21), Rambod 2016 (31), Andersen 2021 (59)</w:t>
            </w:r>
          </w:p>
        </w:tc>
        <w:tc>
          <w:tcPr>
            <w:tcW w:w="736" w:type="pct"/>
          </w:tcPr>
          <w:p w14:paraId="4ED8066D" w14:textId="77777777" w:rsidR="00B345A8" w:rsidRPr="00732EED" w:rsidRDefault="00B345A8" w:rsidP="00DC5B3C">
            <w:pPr>
              <w:rPr>
                <w:sz w:val="18"/>
                <w:szCs w:val="18"/>
              </w:rPr>
            </w:pPr>
            <w:r w:rsidRPr="00732EED">
              <w:rPr>
                <w:sz w:val="18"/>
                <w:szCs w:val="18"/>
              </w:rPr>
              <w:t>High</w:t>
            </w:r>
          </w:p>
        </w:tc>
        <w:tc>
          <w:tcPr>
            <w:tcW w:w="991" w:type="pct"/>
          </w:tcPr>
          <w:p w14:paraId="507B6F6B" w14:textId="77777777" w:rsidR="00B345A8" w:rsidRPr="00732EED" w:rsidRDefault="00B345A8" w:rsidP="00DC5B3C">
            <w:pPr>
              <w:rPr>
                <w:sz w:val="18"/>
                <w:szCs w:val="18"/>
              </w:rPr>
            </w:pPr>
            <w:r w:rsidRPr="00732EED">
              <w:rPr>
                <w:sz w:val="18"/>
                <w:szCs w:val="18"/>
              </w:rPr>
              <w:t>Chronic Pain / Suffering &amp; Distress (multidimensional illness intrusiveness)</w:t>
            </w:r>
          </w:p>
        </w:tc>
      </w:tr>
      <w:tr w:rsidR="00B345A8" w:rsidRPr="00732EED" w14:paraId="057E7758" w14:textId="77777777" w:rsidTr="001F2CA8">
        <w:trPr>
          <w:cnfStyle w:val="000000100000" w:firstRow="0" w:lastRow="0" w:firstColumn="0" w:lastColumn="0" w:oddVBand="0" w:evenVBand="0" w:oddHBand="1" w:evenHBand="0" w:firstRowFirstColumn="0" w:firstRowLastColumn="0" w:lastRowFirstColumn="0" w:lastRowLastColumn="0"/>
        </w:trPr>
        <w:tc>
          <w:tcPr>
            <w:tcW w:w="716" w:type="pct"/>
          </w:tcPr>
          <w:p w14:paraId="633FDF92" w14:textId="77777777" w:rsidR="00B345A8" w:rsidRPr="00732EED" w:rsidRDefault="00B345A8" w:rsidP="00DC5B3C">
            <w:pPr>
              <w:rPr>
                <w:sz w:val="18"/>
                <w:szCs w:val="18"/>
              </w:rPr>
            </w:pPr>
            <w:r w:rsidRPr="00732EED">
              <w:rPr>
                <w:sz w:val="18"/>
                <w:szCs w:val="18"/>
              </w:rPr>
              <w:t>Self, Identity &amp; Biography</w:t>
            </w:r>
          </w:p>
        </w:tc>
        <w:tc>
          <w:tcPr>
            <w:tcW w:w="896" w:type="pct"/>
          </w:tcPr>
          <w:p w14:paraId="2470BF74" w14:textId="77777777" w:rsidR="00B345A8" w:rsidRPr="00732EED" w:rsidRDefault="00B345A8" w:rsidP="00DC5B3C">
            <w:pPr>
              <w:rPr>
                <w:sz w:val="18"/>
                <w:szCs w:val="18"/>
              </w:rPr>
            </w:pPr>
            <w:r w:rsidRPr="00732EED">
              <w:rPr>
                <w:sz w:val="18"/>
                <w:szCs w:val="18"/>
              </w:rPr>
              <w:t>Fragmented / Changed Self</w:t>
            </w:r>
          </w:p>
        </w:tc>
        <w:tc>
          <w:tcPr>
            <w:tcW w:w="909" w:type="pct"/>
          </w:tcPr>
          <w:p w14:paraId="146D8FB2" w14:textId="77777777" w:rsidR="00B345A8" w:rsidRPr="00732EED" w:rsidRDefault="00B345A8" w:rsidP="00DC5B3C">
            <w:pPr>
              <w:rPr>
                <w:sz w:val="18"/>
                <w:szCs w:val="18"/>
              </w:rPr>
            </w:pPr>
            <w:r w:rsidRPr="00732EED">
              <w:rPr>
                <w:sz w:val="18"/>
                <w:szCs w:val="18"/>
              </w:rPr>
              <w:t>“I no longer recognize myself; pain has fragmented my life story and the person I used to be.”</w:t>
            </w:r>
          </w:p>
        </w:tc>
        <w:tc>
          <w:tcPr>
            <w:tcW w:w="753" w:type="pct"/>
          </w:tcPr>
          <w:p w14:paraId="4A2E6F3D" w14:textId="77777777" w:rsidR="00B345A8" w:rsidRPr="00732EED" w:rsidRDefault="00B345A8" w:rsidP="00DC5B3C">
            <w:pPr>
              <w:rPr>
                <w:sz w:val="18"/>
                <w:szCs w:val="18"/>
              </w:rPr>
            </w:pPr>
            <w:r w:rsidRPr="00732EED">
              <w:rPr>
                <w:sz w:val="18"/>
                <w:szCs w:val="18"/>
              </w:rPr>
              <w:t xml:space="preserve">Snelgrove 2013 (10), Ojala 2015a (25), </w:t>
            </w:r>
            <w:proofErr w:type="spellStart"/>
            <w:r w:rsidRPr="00732EED">
              <w:rPr>
                <w:sz w:val="18"/>
                <w:szCs w:val="18"/>
              </w:rPr>
              <w:t>Röing</w:t>
            </w:r>
            <w:proofErr w:type="spellEnd"/>
            <w:r w:rsidRPr="00732EED">
              <w:rPr>
                <w:sz w:val="18"/>
                <w:szCs w:val="18"/>
              </w:rPr>
              <w:t xml:space="preserve"> &amp; Sanner 2015 (28), Stilwell 2025 (93)</w:t>
            </w:r>
          </w:p>
        </w:tc>
        <w:tc>
          <w:tcPr>
            <w:tcW w:w="736" w:type="pct"/>
          </w:tcPr>
          <w:p w14:paraId="726E4D40" w14:textId="77777777" w:rsidR="00B345A8" w:rsidRPr="00732EED" w:rsidRDefault="00B345A8" w:rsidP="00DC5B3C">
            <w:pPr>
              <w:rPr>
                <w:sz w:val="18"/>
                <w:szCs w:val="18"/>
              </w:rPr>
            </w:pPr>
            <w:r w:rsidRPr="00732EED">
              <w:rPr>
                <w:sz w:val="18"/>
                <w:szCs w:val="18"/>
              </w:rPr>
              <w:t>High</w:t>
            </w:r>
          </w:p>
        </w:tc>
        <w:tc>
          <w:tcPr>
            <w:tcW w:w="991" w:type="pct"/>
          </w:tcPr>
          <w:p w14:paraId="0C968524" w14:textId="77777777" w:rsidR="00B345A8" w:rsidRPr="00732EED" w:rsidRDefault="00B345A8" w:rsidP="00DC5B3C">
            <w:pPr>
              <w:rPr>
                <w:sz w:val="18"/>
                <w:szCs w:val="18"/>
              </w:rPr>
            </w:pPr>
            <w:r w:rsidRPr="00732EED">
              <w:rPr>
                <w:sz w:val="18"/>
                <w:szCs w:val="18"/>
              </w:rPr>
              <w:t>Psychological / Self</w:t>
            </w:r>
            <w:r w:rsidRPr="00732EED">
              <w:rPr>
                <w:sz w:val="18"/>
                <w:szCs w:val="18"/>
              </w:rPr>
              <w:noBreakHyphen/>
              <w:t>esteem &amp; Identity Threat</w:t>
            </w:r>
          </w:p>
        </w:tc>
      </w:tr>
      <w:tr w:rsidR="00B345A8" w:rsidRPr="00732EED" w14:paraId="4825F1E8" w14:textId="77777777" w:rsidTr="001F2CA8">
        <w:tc>
          <w:tcPr>
            <w:tcW w:w="716" w:type="pct"/>
          </w:tcPr>
          <w:p w14:paraId="5FB52676" w14:textId="77777777" w:rsidR="00B345A8" w:rsidRPr="00732EED" w:rsidRDefault="00B345A8" w:rsidP="00DC5B3C">
            <w:pPr>
              <w:rPr>
                <w:sz w:val="18"/>
                <w:szCs w:val="18"/>
              </w:rPr>
            </w:pPr>
            <w:r w:rsidRPr="00732EED">
              <w:rPr>
                <w:sz w:val="18"/>
                <w:szCs w:val="18"/>
              </w:rPr>
              <w:t>Self, Identity &amp; Biography</w:t>
            </w:r>
          </w:p>
        </w:tc>
        <w:tc>
          <w:tcPr>
            <w:tcW w:w="896" w:type="pct"/>
          </w:tcPr>
          <w:p w14:paraId="43915F40" w14:textId="77777777" w:rsidR="00B345A8" w:rsidRPr="00732EED" w:rsidRDefault="00B345A8" w:rsidP="00DC5B3C">
            <w:pPr>
              <w:rPr>
                <w:sz w:val="18"/>
                <w:szCs w:val="18"/>
              </w:rPr>
            </w:pPr>
            <w:r w:rsidRPr="00732EED">
              <w:rPr>
                <w:sz w:val="18"/>
                <w:szCs w:val="18"/>
              </w:rPr>
              <w:t>Stigma &amp; Legitimacy</w:t>
            </w:r>
          </w:p>
        </w:tc>
        <w:tc>
          <w:tcPr>
            <w:tcW w:w="909" w:type="pct"/>
          </w:tcPr>
          <w:p w14:paraId="3AFFE0AF" w14:textId="77777777" w:rsidR="00B345A8" w:rsidRPr="00732EED" w:rsidRDefault="00B345A8" w:rsidP="00DC5B3C">
            <w:pPr>
              <w:rPr>
                <w:sz w:val="18"/>
                <w:szCs w:val="18"/>
              </w:rPr>
            </w:pPr>
            <w:r w:rsidRPr="00732EED">
              <w:rPr>
                <w:sz w:val="18"/>
                <w:szCs w:val="18"/>
              </w:rPr>
              <w:t>“Others see me as lazy or malingering; my invisible pain is not believed, and my credibility is lost.”</w:t>
            </w:r>
          </w:p>
        </w:tc>
        <w:tc>
          <w:tcPr>
            <w:tcW w:w="753" w:type="pct"/>
          </w:tcPr>
          <w:p w14:paraId="055B6987" w14:textId="77777777" w:rsidR="00B345A8" w:rsidRPr="00732EED" w:rsidRDefault="00B345A8" w:rsidP="00DC5B3C">
            <w:pPr>
              <w:rPr>
                <w:sz w:val="18"/>
                <w:szCs w:val="18"/>
              </w:rPr>
            </w:pPr>
            <w:r w:rsidRPr="00732EED">
              <w:rPr>
                <w:sz w:val="18"/>
                <w:szCs w:val="18"/>
              </w:rPr>
              <w:t xml:space="preserve">Juuso 2014 (14), </w:t>
            </w:r>
            <w:proofErr w:type="spellStart"/>
            <w:r w:rsidRPr="00732EED">
              <w:rPr>
                <w:sz w:val="18"/>
                <w:szCs w:val="18"/>
              </w:rPr>
              <w:t>LavieAjayi</w:t>
            </w:r>
            <w:proofErr w:type="spellEnd"/>
            <w:r w:rsidRPr="00732EED">
              <w:rPr>
                <w:sz w:val="18"/>
                <w:szCs w:val="18"/>
              </w:rPr>
              <w:t xml:space="preserve"> 2012 (7), </w:t>
            </w:r>
            <w:proofErr w:type="spellStart"/>
            <w:r w:rsidRPr="00732EED">
              <w:rPr>
                <w:sz w:val="18"/>
                <w:szCs w:val="18"/>
              </w:rPr>
              <w:t>Mengshoel</w:t>
            </w:r>
            <w:proofErr w:type="spellEnd"/>
            <w:r w:rsidRPr="00732EED">
              <w:rPr>
                <w:sz w:val="18"/>
                <w:szCs w:val="18"/>
              </w:rPr>
              <w:t xml:space="preserve"> 2018 (45), Toye 2017 (37), Ojala 2015b (26)</w:t>
            </w:r>
          </w:p>
        </w:tc>
        <w:tc>
          <w:tcPr>
            <w:tcW w:w="736" w:type="pct"/>
          </w:tcPr>
          <w:p w14:paraId="1EEC0C41" w14:textId="77777777" w:rsidR="00B345A8" w:rsidRPr="00732EED" w:rsidRDefault="00B345A8" w:rsidP="00DC5B3C">
            <w:pPr>
              <w:rPr>
                <w:sz w:val="18"/>
                <w:szCs w:val="18"/>
              </w:rPr>
            </w:pPr>
            <w:r w:rsidRPr="00732EED">
              <w:rPr>
                <w:sz w:val="18"/>
                <w:szCs w:val="18"/>
              </w:rPr>
              <w:t>High</w:t>
            </w:r>
          </w:p>
        </w:tc>
        <w:tc>
          <w:tcPr>
            <w:tcW w:w="991" w:type="pct"/>
          </w:tcPr>
          <w:p w14:paraId="609ED388" w14:textId="77777777" w:rsidR="00B345A8" w:rsidRPr="00732EED" w:rsidRDefault="00B345A8" w:rsidP="00DC5B3C">
            <w:pPr>
              <w:rPr>
                <w:sz w:val="18"/>
                <w:szCs w:val="18"/>
              </w:rPr>
            </w:pPr>
            <w:r w:rsidRPr="00732EED">
              <w:rPr>
                <w:sz w:val="18"/>
                <w:szCs w:val="18"/>
              </w:rPr>
              <w:t>Cultural / Stigma &amp; Malingering</w:t>
            </w:r>
          </w:p>
        </w:tc>
      </w:tr>
      <w:tr w:rsidR="00B345A8" w:rsidRPr="00732EED" w14:paraId="2E254F70" w14:textId="77777777" w:rsidTr="001F2CA8">
        <w:trPr>
          <w:cnfStyle w:val="000000100000" w:firstRow="0" w:lastRow="0" w:firstColumn="0" w:lastColumn="0" w:oddVBand="0" w:evenVBand="0" w:oddHBand="1" w:evenHBand="0" w:firstRowFirstColumn="0" w:firstRowLastColumn="0" w:lastRowFirstColumn="0" w:lastRowLastColumn="0"/>
        </w:trPr>
        <w:tc>
          <w:tcPr>
            <w:tcW w:w="716" w:type="pct"/>
          </w:tcPr>
          <w:p w14:paraId="72BE2187" w14:textId="77777777" w:rsidR="00B345A8" w:rsidRPr="00732EED" w:rsidRDefault="00B345A8" w:rsidP="00DC5B3C">
            <w:pPr>
              <w:rPr>
                <w:sz w:val="18"/>
                <w:szCs w:val="18"/>
              </w:rPr>
            </w:pPr>
            <w:r w:rsidRPr="00732EED">
              <w:rPr>
                <w:sz w:val="18"/>
                <w:szCs w:val="18"/>
              </w:rPr>
              <w:t>Self, Identity &amp; Biography</w:t>
            </w:r>
          </w:p>
        </w:tc>
        <w:tc>
          <w:tcPr>
            <w:tcW w:w="896" w:type="pct"/>
          </w:tcPr>
          <w:p w14:paraId="0319267E" w14:textId="77777777" w:rsidR="00B345A8" w:rsidRPr="00732EED" w:rsidRDefault="00B345A8" w:rsidP="00DC5B3C">
            <w:pPr>
              <w:rPr>
                <w:sz w:val="18"/>
                <w:szCs w:val="18"/>
              </w:rPr>
            </w:pPr>
            <w:r w:rsidRPr="00732EED">
              <w:rPr>
                <w:sz w:val="18"/>
                <w:szCs w:val="18"/>
              </w:rPr>
              <w:t>Quest for Diagnosis &amp; Explanation</w:t>
            </w:r>
          </w:p>
        </w:tc>
        <w:tc>
          <w:tcPr>
            <w:tcW w:w="909" w:type="pct"/>
          </w:tcPr>
          <w:p w14:paraId="76E6595B" w14:textId="77777777" w:rsidR="00B345A8" w:rsidRPr="00732EED" w:rsidRDefault="00B345A8" w:rsidP="00DC5B3C">
            <w:pPr>
              <w:rPr>
                <w:sz w:val="18"/>
                <w:szCs w:val="18"/>
              </w:rPr>
            </w:pPr>
            <w:r w:rsidRPr="00732EED">
              <w:rPr>
                <w:sz w:val="18"/>
                <w:szCs w:val="18"/>
              </w:rPr>
              <w:t>“I kept searching for a diagnosis—the ‘holy grail’—to validate my suffering and make sense of it.”</w:t>
            </w:r>
          </w:p>
        </w:tc>
        <w:tc>
          <w:tcPr>
            <w:tcW w:w="753" w:type="pct"/>
          </w:tcPr>
          <w:p w14:paraId="7DFEF0FE" w14:textId="77777777" w:rsidR="00B345A8" w:rsidRPr="00732EED" w:rsidRDefault="00B345A8" w:rsidP="00DC5B3C">
            <w:pPr>
              <w:rPr>
                <w:sz w:val="18"/>
                <w:szCs w:val="18"/>
              </w:rPr>
            </w:pPr>
            <w:proofErr w:type="spellStart"/>
            <w:r w:rsidRPr="00732EED">
              <w:rPr>
                <w:sz w:val="18"/>
                <w:szCs w:val="18"/>
              </w:rPr>
              <w:t>Skuladottir</w:t>
            </w:r>
            <w:proofErr w:type="spellEnd"/>
            <w:r w:rsidRPr="00732EED">
              <w:rPr>
                <w:sz w:val="18"/>
                <w:szCs w:val="18"/>
              </w:rPr>
              <w:t xml:space="preserve"> &amp; Halldorsdottir 2011 (5), Toye 2017 (37), Chala 2022 (66), Keen 2021 (62)</w:t>
            </w:r>
          </w:p>
        </w:tc>
        <w:tc>
          <w:tcPr>
            <w:tcW w:w="736" w:type="pct"/>
          </w:tcPr>
          <w:p w14:paraId="387037A3" w14:textId="77777777" w:rsidR="00B345A8" w:rsidRPr="00732EED" w:rsidRDefault="00B345A8" w:rsidP="00DC5B3C">
            <w:pPr>
              <w:rPr>
                <w:sz w:val="18"/>
                <w:szCs w:val="18"/>
              </w:rPr>
            </w:pPr>
            <w:r w:rsidRPr="00732EED">
              <w:rPr>
                <w:sz w:val="18"/>
                <w:szCs w:val="18"/>
              </w:rPr>
              <w:t>High–Moderate</w:t>
            </w:r>
          </w:p>
        </w:tc>
        <w:tc>
          <w:tcPr>
            <w:tcW w:w="991" w:type="pct"/>
          </w:tcPr>
          <w:p w14:paraId="44132954" w14:textId="77777777" w:rsidR="00B345A8" w:rsidRPr="00732EED" w:rsidRDefault="00B345A8" w:rsidP="00DC5B3C">
            <w:pPr>
              <w:rPr>
                <w:sz w:val="18"/>
                <w:szCs w:val="18"/>
              </w:rPr>
            </w:pPr>
            <w:r w:rsidRPr="00732EED">
              <w:rPr>
                <w:sz w:val="18"/>
                <w:szCs w:val="18"/>
              </w:rPr>
              <w:t>Cognitive / Illness Representations / Models</w:t>
            </w:r>
          </w:p>
        </w:tc>
      </w:tr>
      <w:tr w:rsidR="00B345A8" w:rsidRPr="00732EED" w14:paraId="40BA220F" w14:textId="77777777" w:rsidTr="001F2CA8">
        <w:tc>
          <w:tcPr>
            <w:tcW w:w="716" w:type="pct"/>
          </w:tcPr>
          <w:p w14:paraId="68653FF2" w14:textId="77777777" w:rsidR="00B345A8" w:rsidRPr="00732EED" w:rsidRDefault="00B345A8" w:rsidP="00DC5B3C">
            <w:pPr>
              <w:rPr>
                <w:sz w:val="18"/>
                <w:szCs w:val="18"/>
              </w:rPr>
            </w:pPr>
            <w:r w:rsidRPr="00732EED">
              <w:rPr>
                <w:sz w:val="18"/>
                <w:szCs w:val="18"/>
              </w:rPr>
              <w:t>Self, Identity &amp; Biography</w:t>
            </w:r>
          </w:p>
        </w:tc>
        <w:tc>
          <w:tcPr>
            <w:tcW w:w="896" w:type="pct"/>
          </w:tcPr>
          <w:p w14:paraId="0F5312F7" w14:textId="77777777" w:rsidR="00B345A8" w:rsidRPr="00732EED" w:rsidRDefault="00B345A8" w:rsidP="00DC5B3C">
            <w:pPr>
              <w:rPr>
                <w:sz w:val="18"/>
                <w:szCs w:val="18"/>
              </w:rPr>
            </w:pPr>
            <w:r w:rsidRPr="00732EED">
              <w:rPr>
                <w:sz w:val="18"/>
                <w:szCs w:val="18"/>
              </w:rPr>
              <w:t>Acceptance / New Self with Pain</w:t>
            </w:r>
          </w:p>
        </w:tc>
        <w:tc>
          <w:tcPr>
            <w:tcW w:w="909" w:type="pct"/>
          </w:tcPr>
          <w:p w14:paraId="010B3E5D" w14:textId="77777777" w:rsidR="00B345A8" w:rsidRPr="00732EED" w:rsidRDefault="00B345A8" w:rsidP="00DC5B3C">
            <w:pPr>
              <w:rPr>
                <w:sz w:val="18"/>
                <w:szCs w:val="18"/>
              </w:rPr>
            </w:pPr>
            <w:r w:rsidRPr="00732EED">
              <w:rPr>
                <w:sz w:val="18"/>
                <w:szCs w:val="18"/>
              </w:rPr>
              <w:t>"I now see myself as someone who has pain but is not only pain; I focus on what I can still do."</w:t>
            </w:r>
          </w:p>
        </w:tc>
        <w:tc>
          <w:tcPr>
            <w:tcW w:w="753" w:type="pct"/>
          </w:tcPr>
          <w:p w14:paraId="276424D8" w14:textId="77777777" w:rsidR="00B345A8" w:rsidRPr="00732EED" w:rsidRDefault="00B345A8" w:rsidP="00DC5B3C">
            <w:pPr>
              <w:rPr>
                <w:sz w:val="18"/>
                <w:szCs w:val="18"/>
              </w:rPr>
            </w:pPr>
            <w:r w:rsidRPr="00732EED">
              <w:rPr>
                <w:sz w:val="18"/>
                <w:szCs w:val="18"/>
              </w:rPr>
              <w:t>Mathias 2014 (16), Ojala 2015c (27), Macgregor 2024 (80), Angel 2017 (32), Bruger 2024 (74), Peppard 2023 (70)</w:t>
            </w:r>
          </w:p>
        </w:tc>
        <w:tc>
          <w:tcPr>
            <w:tcW w:w="736" w:type="pct"/>
          </w:tcPr>
          <w:p w14:paraId="47E628A5" w14:textId="77777777" w:rsidR="00B345A8" w:rsidRPr="00732EED" w:rsidRDefault="00B345A8" w:rsidP="00DC5B3C">
            <w:pPr>
              <w:rPr>
                <w:sz w:val="18"/>
                <w:szCs w:val="18"/>
              </w:rPr>
            </w:pPr>
            <w:r w:rsidRPr="00732EED">
              <w:rPr>
                <w:sz w:val="18"/>
                <w:szCs w:val="18"/>
              </w:rPr>
              <w:t>High</w:t>
            </w:r>
          </w:p>
        </w:tc>
        <w:tc>
          <w:tcPr>
            <w:tcW w:w="991" w:type="pct"/>
          </w:tcPr>
          <w:p w14:paraId="63B20D6E" w14:textId="77777777" w:rsidR="00B345A8" w:rsidRPr="00732EED" w:rsidRDefault="00B345A8" w:rsidP="00DC5B3C">
            <w:pPr>
              <w:rPr>
                <w:sz w:val="18"/>
                <w:szCs w:val="18"/>
              </w:rPr>
            </w:pPr>
            <w:r w:rsidRPr="00732EED">
              <w:rPr>
                <w:sz w:val="18"/>
                <w:szCs w:val="18"/>
              </w:rPr>
              <w:t>Psychological / Resilience &amp; Growth</w:t>
            </w:r>
          </w:p>
        </w:tc>
      </w:tr>
      <w:tr w:rsidR="00B345A8" w:rsidRPr="00732EED" w14:paraId="2A042055" w14:textId="77777777" w:rsidTr="001F2CA8">
        <w:trPr>
          <w:cnfStyle w:val="000000100000" w:firstRow="0" w:lastRow="0" w:firstColumn="0" w:lastColumn="0" w:oddVBand="0" w:evenVBand="0" w:oddHBand="1" w:evenHBand="0" w:firstRowFirstColumn="0" w:firstRowLastColumn="0" w:lastRowFirstColumn="0" w:lastRowLastColumn="0"/>
        </w:trPr>
        <w:tc>
          <w:tcPr>
            <w:tcW w:w="716" w:type="pct"/>
          </w:tcPr>
          <w:p w14:paraId="3FB95EE8" w14:textId="77777777" w:rsidR="00B345A8" w:rsidRPr="00732EED" w:rsidRDefault="00B345A8" w:rsidP="00DC5B3C">
            <w:pPr>
              <w:rPr>
                <w:sz w:val="18"/>
                <w:szCs w:val="18"/>
              </w:rPr>
            </w:pPr>
            <w:r w:rsidRPr="00732EED">
              <w:rPr>
                <w:sz w:val="18"/>
                <w:szCs w:val="18"/>
              </w:rPr>
              <w:t>Self, Identity &amp; Biography</w:t>
            </w:r>
          </w:p>
        </w:tc>
        <w:tc>
          <w:tcPr>
            <w:tcW w:w="896" w:type="pct"/>
          </w:tcPr>
          <w:p w14:paraId="457AD2BB" w14:textId="77777777" w:rsidR="00B345A8" w:rsidRPr="00732EED" w:rsidRDefault="00B345A8" w:rsidP="00DC5B3C">
            <w:pPr>
              <w:rPr>
                <w:sz w:val="18"/>
                <w:szCs w:val="18"/>
              </w:rPr>
            </w:pPr>
            <w:r w:rsidRPr="00732EED">
              <w:rPr>
                <w:sz w:val="18"/>
                <w:szCs w:val="18"/>
              </w:rPr>
              <w:t>Existential / Spiritual Meaning</w:t>
            </w:r>
          </w:p>
        </w:tc>
        <w:tc>
          <w:tcPr>
            <w:tcW w:w="909" w:type="pct"/>
          </w:tcPr>
          <w:p w14:paraId="13F331B8" w14:textId="77777777" w:rsidR="00B345A8" w:rsidRPr="00732EED" w:rsidRDefault="00B345A8" w:rsidP="00DC5B3C">
            <w:pPr>
              <w:rPr>
                <w:sz w:val="18"/>
                <w:szCs w:val="18"/>
              </w:rPr>
            </w:pPr>
            <w:r w:rsidRPr="00732EED">
              <w:rPr>
                <w:sz w:val="18"/>
                <w:szCs w:val="18"/>
              </w:rPr>
              <w:t>"My faith and my sense of purpose help me endure and give meaning to my suffering."</w:t>
            </w:r>
          </w:p>
        </w:tc>
        <w:tc>
          <w:tcPr>
            <w:tcW w:w="753" w:type="pct"/>
          </w:tcPr>
          <w:p w14:paraId="73C714E4" w14:textId="77777777" w:rsidR="00B345A8" w:rsidRPr="00732EED" w:rsidRDefault="00B345A8" w:rsidP="00DC5B3C">
            <w:pPr>
              <w:rPr>
                <w:sz w:val="18"/>
                <w:szCs w:val="18"/>
              </w:rPr>
            </w:pPr>
            <w:r w:rsidRPr="00732EED">
              <w:rPr>
                <w:sz w:val="18"/>
                <w:szCs w:val="18"/>
              </w:rPr>
              <w:t>Hassani 2017 (33), Rambod 2016 (31), Andersen 2021 (59), Najem 2025 (90)</w:t>
            </w:r>
          </w:p>
        </w:tc>
        <w:tc>
          <w:tcPr>
            <w:tcW w:w="736" w:type="pct"/>
          </w:tcPr>
          <w:p w14:paraId="37795FBF" w14:textId="77777777" w:rsidR="00B345A8" w:rsidRPr="00732EED" w:rsidRDefault="00B345A8" w:rsidP="00DC5B3C">
            <w:pPr>
              <w:rPr>
                <w:sz w:val="18"/>
                <w:szCs w:val="18"/>
              </w:rPr>
            </w:pPr>
            <w:r w:rsidRPr="00732EED">
              <w:rPr>
                <w:sz w:val="18"/>
                <w:szCs w:val="18"/>
              </w:rPr>
              <w:t>High</w:t>
            </w:r>
          </w:p>
        </w:tc>
        <w:tc>
          <w:tcPr>
            <w:tcW w:w="991" w:type="pct"/>
          </w:tcPr>
          <w:p w14:paraId="465AF209" w14:textId="77777777" w:rsidR="00B345A8" w:rsidRPr="00732EED" w:rsidRDefault="00B345A8" w:rsidP="00DC5B3C">
            <w:pPr>
              <w:rPr>
                <w:sz w:val="18"/>
                <w:szCs w:val="18"/>
              </w:rPr>
            </w:pPr>
            <w:r w:rsidRPr="00732EED">
              <w:rPr>
                <w:sz w:val="18"/>
                <w:szCs w:val="18"/>
              </w:rPr>
              <w:t>Cognitive / Existential Angst &amp; Meaning</w:t>
            </w:r>
          </w:p>
        </w:tc>
      </w:tr>
      <w:tr w:rsidR="00B345A8" w:rsidRPr="00732EED" w14:paraId="36E44066" w14:textId="77777777" w:rsidTr="001F2CA8">
        <w:tc>
          <w:tcPr>
            <w:tcW w:w="716" w:type="pct"/>
          </w:tcPr>
          <w:p w14:paraId="7B592748" w14:textId="77777777" w:rsidR="00B345A8" w:rsidRPr="00732EED" w:rsidRDefault="00B345A8" w:rsidP="00DC5B3C">
            <w:pPr>
              <w:rPr>
                <w:sz w:val="18"/>
                <w:szCs w:val="18"/>
              </w:rPr>
            </w:pPr>
            <w:r w:rsidRPr="00732EED">
              <w:rPr>
                <w:sz w:val="18"/>
                <w:szCs w:val="18"/>
              </w:rPr>
              <w:t>Social World &amp; Relationships</w:t>
            </w:r>
          </w:p>
        </w:tc>
        <w:tc>
          <w:tcPr>
            <w:tcW w:w="896" w:type="pct"/>
          </w:tcPr>
          <w:p w14:paraId="2644DD29" w14:textId="77777777" w:rsidR="00B345A8" w:rsidRPr="00732EED" w:rsidRDefault="00B345A8" w:rsidP="00DC5B3C">
            <w:pPr>
              <w:rPr>
                <w:sz w:val="18"/>
                <w:szCs w:val="18"/>
              </w:rPr>
            </w:pPr>
            <w:r w:rsidRPr="00732EED">
              <w:rPr>
                <w:sz w:val="18"/>
                <w:szCs w:val="18"/>
              </w:rPr>
              <w:t>Social Support &amp; Connection</w:t>
            </w:r>
          </w:p>
        </w:tc>
        <w:tc>
          <w:tcPr>
            <w:tcW w:w="909" w:type="pct"/>
          </w:tcPr>
          <w:p w14:paraId="3AE525DE" w14:textId="77777777" w:rsidR="00B345A8" w:rsidRPr="00732EED" w:rsidRDefault="00B345A8" w:rsidP="00DC5B3C">
            <w:pPr>
              <w:rPr>
                <w:sz w:val="18"/>
                <w:szCs w:val="18"/>
              </w:rPr>
            </w:pPr>
            <w:r w:rsidRPr="00732EED">
              <w:rPr>
                <w:sz w:val="18"/>
                <w:szCs w:val="18"/>
              </w:rPr>
              <w:t>Feeling understood and less alone through family, groups, or online communities improves coping and self-management.</w:t>
            </w:r>
          </w:p>
        </w:tc>
        <w:tc>
          <w:tcPr>
            <w:tcW w:w="753" w:type="pct"/>
          </w:tcPr>
          <w:p w14:paraId="03EA836E" w14:textId="77777777" w:rsidR="00B345A8" w:rsidRPr="00732EED" w:rsidRDefault="00B345A8" w:rsidP="00DC5B3C">
            <w:pPr>
              <w:rPr>
                <w:sz w:val="18"/>
                <w:szCs w:val="18"/>
              </w:rPr>
            </w:pPr>
            <w:proofErr w:type="spellStart"/>
            <w:r w:rsidRPr="00732EED">
              <w:rPr>
                <w:sz w:val="18"/>
                <w:szCs w:val="18"/>
              </w:rPr>
              <w:t>Dysvik</w:t>
            </w:r>
            <w:proofErr w:type="spellEnd"/>
            <w:r w:rsidRPr="00732EED">
              <w:rPr>
                <w:sz w:val="18"/>
                <w:szCs w:val="18"/>
              </w:rPr>
              <w:t xml:space="preserve"> 2014 (12), Furnes 2014 (13), Merolli 2014 (17), </w:t>
            </w:r>
            <w:proofErr w:type="spellStart"/>
            <w:r w:rsidRPr="00732EED">
              <w:rPr>
                <w:sz w:val="18"/>
                <w:szCs w:val="18"/>
              </w:rPr>
              <w:t>Fracso</w:t>
            </w:r>
            <w:proofErr w:type="spellEnd"/>
            <w:r w:rsidRPr="00732EED">
              <w:rPr>
                <w:sz w:val="18"/>
                <w:szCs w:val="18"/>
              </w:rPr>
              <w:t xml:space="preserve"> 2021 (60), Joyce 2023 (69)</w:t>
            </w:r>
          </w:p>
        </w:tc>
        <w:tc>
          <w:tcPr>
            <w:tcW w:w="736" w:type="pct"/>
          </w:tcPr>
          <w:p w14:paraId="56C0B4E7" w14:textId="77777777" w:rsidR="00B345A8" w:rsidRPr="00732EED" w:rsidRDefault="00B345A8" w:rsidP="00DC5B3C">
            <w:pPr>
              <w:rPr>
                <w:sz w:val="18"/>
                <w:szCs w:val="18"/>
              </w:rPr>
            </w:pPr>
            <w:r w:rsidRPr="00732EED">
              <w:rPr>
                <w:sz w:val="18"/>
                <w:szCs w:val="18"/>
              </w:rPr>
              <w:t>High</w:t>
            </w:r>
          </w:p>
        </w:tc>
        <w:tc>
          <w:tcPr>
            <w:tcW w:w="991" w:type="pct"/>
          </w:tcPr>
          <w:p w14:paraId="39E8E69F" w14:textId="77777777" w:rsidR="00B345A8" w:rsidRPr="00732EED" w:rsidRDefault="00B345A8" w:rsidP="00DC5B3C">
            <w:pPr>
              <w:rPr>
                <w:sz w:val="18"/>
                <w:szCs w:val="18"/>
              </w:rPr>
            </w:pPr>
            <w:r w:rsidRPr="00732EED">
              <w:rPr>
                <w:sz w:val="18"/>
                <w:szCs w:val="18"/>
              </w:rPr>
              <w:t>Social / Support System</w:t>
            </w:r>
          </w:p>
        </w:tc>
      </w:tr>
      <w:tr w:rsidR="00B345A8" w:rsidRPr="00732EED" w14:paraId="0DE5F9C4" w14:textId="77777777" w:rsidTr="001F2CA8">
        <w:trPr>
          <w:cnfStyle w:val="000000100000" w:firstRow="0" w:lastRow="0" w:firstColumn="0" w:lastColumn="0" w:oddVBand="0" w:evenVBand="0" w:oddHBand="1" w:evenHBand="0" w:firstRowFirstColumn="0" w:firstRowLastColumn="0" w:lastRowFirstColumn="0" w:lastRowLastColumn="0"/>
        </w:trPr>
        <w:tc>
          <w:tcPr>
            <w:tcW w:w="716" w:type="pct"/>
          </w:tcPr>
          <w:p w14:paraId="6D874C56" w14:textId="77777777" w:rsidR="00B345A8" w:rsidRPr="00732EED" w:rsidRDefault="00B345A8" w:rsidP="00DC5B3C">
            <w:pPr>
              <w:rPr>
                <w:sz w:val="18"/>
                <w:szCs w:val="18"/>
              </w:rPr>
            </w:pPr>
            <w:r w:rsidRPr="00732EED">
              <w:rPr>
                <w:sz w:val="18"/>
                <w:szCs w:val="18"/>
              </w:rPr>
              <w:lastRenderedPageBreak/>
              <w:t>Social World &amp; Relationships</w:t>
            </w:r>
          </w:p>
        </w:tc>
        <w:tc>
          <w:tcPr>
            <w:tcW w:w="896" w:type="pct"/>
          </w:tcPr>
          <w:p w14:paraId="7A8883C9" w14:textId="77777777" w:rsidR="00B345A8" w:rsidRPr="00732EED" w:rsidRDefault="00B345A8" w:rsidP="00DC5B3C">
            <w:pPr>
              <w:rPr>
                <w:sz w:val="18"/>
                <w:szCs w:val="18"/>
              </w:rPr>
            </w:pPr>
            <w:r w:rsidRPr="00732EED">
              <w:rPr>
                <w:sz w:val="18"/>
                <w:szCs w:val="18"/>
              </w:rPr>
              <w:t>Social Isolation &amp; Loneliness</w:t>
            </w:r>
          </w:p>
        </w:tc>
        <w:tc>
          <w:tcPr>
            <w:tcW w:w="909" w:type="pct"/>
          </w:tcPr>
          <w:p w14:paraId="6234C2A8" w14:textId="77777777" w:rsidR="00B345A8" w:rsidRPr="00732EED" w:rsidRDefault="00B345A8" w:rsidP="00DC5B3C">
            <w:pPr>
              <w:rPr>
                <w:sz w:val="18"/>
                <w:szCs w:val="18"/>
              </w:rPr>
            </w:pPr>
            <w:r w:rsidRPr="00732EED">
              <w:rPr>
                <w:sz w:val="18"/>
                <w:szCs w:val="18"/>
              </w:rPr>
              <w:t>Persistent pain and functional limits lead to withdrawal, fewer contacts, and a deep sense of loneliness or “solitude of pain.”</w:t>
            </w:r>
          </w:p>
        </w:tc>
        <w:tc>
          <w:tcPr>
            <w:tcW w:w="753" w:type="pct"/>
          </w:tcPr>
          <w:p w14:paraId="1D1CA4FD" w14:textId="77777777" w:rsidR="00B345A8" w:rsidRPr="00732EED" w:rsidRDefault="00B345A8" w:rsidP="00DC5B3C">
            <w:pPr>
              <w:rPr>
                <w:sz w:val="18"/>
                <w:szCs w:val="18"/>
                <w:lang w:val="nl-NL"/>
              </w:rPr>
            </w:pPr>
            <w:r w:rsidRPr="00732EED">
              <w:rPr>
                <w:sz w:val="18"/>
                <w:szCs w:val="18"/>
                <w:lang w:val="nl-NL"/>
              </w:rPr>
              <w:t>Nilsen 2014 (18), Bath 2019 (49), Bruger 2024 (74), Jiang 2025 (89), van Rysewyk 2023 (72)</w:t>
            </w:r>
          </w:p>
        </w:tc>
        <w:tc>
          <w:tcPr>
            <w:tcW w:w="736" w:type="pct"/>
          </w:tcPr>
          <w:p w14:paraId="6EF23E59" w14:textId="77777777" w:rsidR="00B345A8" w:rsidRPr="00732EED" w:rsidRDefault="00B345A8" w:rsidP="00DC5B3C">
            <w:pPr>
              <w:rPr>
                <w:sz w:val="18"/>
                <w:szCs w:val="18"/>
              </w:rPr>
            </w:pPr>
            <w:r w:rsidRPr="00732EED">
              <w:rPr>
                <w:sz w:val="18"/>
                <w:szCs w:val="18"/>
              </w:rPr>
              <w:t>High</w:t>
            </w:r>
          </w:p>
        </w:tc>
        <w:tc>
          <w:tcPr>
            <w:tcW w:w="991" w:type="pct"/>
          </w:tcPr>
          <w:p w14:paraId="5E4EBE43" w14:textId="77777777" w:rsidR="00B345A8" w:rsidRPr="00732EED" w:rsidRDefault="00B345A8" w:rsidP="00DC5B3C">
            <w:pPr>
              <w:rPr>
                <w:sz w:val="18"/>
                <w:szCs w:val="18"/>
              </w:rPr>
            </w:pPr>
            <w:r w:rsidRPr="00732EED">
              <w:rPr>
                <w:sz w:val="18"/>
                <w:szCs w:val="18"/>
              </w:rPr>
              <w:t>Social / Isolation</w:t>
            </w:r>
          </w:p>
        </w:tc>
      </w:tr>
      <w:tr w:rsidR="00B345A8" w:rsidRPr="00732EED" w14:paraId="62CD152F" w14:textId="77777777" w:rsidTr="001F2CA8">
        <w:tc>
          <w:tcPr>
            <w:tcW w:w="716" w:type="pct"/>
          </w:tcPr>
          <w:p w14:paraId="4AAB9D7C" w14:textId="77777777" w:rsidR="00B345A8" w:rsidRPr="00732EED" w:rsidRDefault="00B345A8" w:rsidP="00DC5B3C">
            <w:pPr>
              <w:rPr>
                <w:sz w:val="18"/>
                <w:szCs w:val="18"/>
              </w:rPr>
            </w:pPr>
            <w:r w:rsidRPr="00732EED">
              <w:rPr>
                <w:sz w:val="18"/>
                <w:szCs w:val="18"/>
              </w:rPr>
              <w:t>Social World &amp; Relationships</w:t>
            </w:r>
          </w:p>
        </w:tc>
        <w:tc>
          <w:tcPr>
            <w:tcW w:w="896" w:type="pct"/>
          </w:tcPr>
          <w:p w14:paraId="34C56A40" w14:textId="77777777" w:rsidR="00B345A8" w:rsidRPr="00732EED" w:rsidRDefault="00B345A8" w:rsidP="00DC5B3C">
            <w:pPr>
              <w:rPr>
                <w:sz w:val="18"/>
                <w:szCs w:val="18"/>
              </w:rPr>
            </w:pPr>
            <w:r w:rsidRPr="00732EED">
              <w:rPr>
                <w:sz w:val="18"/>
                <w:szCs w:val="18"/>
              </w:rPr>
              <w:t>Family, Gender, &amp; Role Strain; Gender Expectations, &amp; Caregiving roles</w:t>
            </w:r>
          </w:p>
        </w:tc>
        <w:tc>
          <w:tcPr>
            <w:tcW w:w="909" w:type="pct"/>
          </w:tcPr>
          <w:p w14:paraId="1489E8AD" w14:textId="77777777" w:rsidR="00B345A8" w:rsidRPr="00732EED" w:rsidRDefault="00B345A8" w:rsidP="00DC5B3C">
            <w:pPr>
              <w:rPr>
                <w:sz w:val="18"/>
                <w:szCs w:val="18"/>
              </w:rPr>
            </w:pPr>
            <w:r w:rsidRPr="00732EED">
              <w:rPr>
                <w:sz w:val="18"/>
                <w:szCs w:val="18"/>
              </w:rPr>
              <w:t>“Pain disrupts parenthood</w:t>
            </w:r>
            <w:proofErr w:type="gramStart"/>
            <w:r w:rsidRPr="00732EED">
              <w:rPr>
                <w:sz w:val="18"/>
                <w:szCs w:val="18"/>
              </w:rPr>
              <w:t>” ;</w:t>
            </w:r>
            <w:proofErr w:type="gramEnd"/>
            <w:r w:rsidRPr="00732EED">
              <w:rPr>
                <w:sz w:val="18"/>
                <w:szCs w:val="18"/>
              </w:rPr>
              <w:t xml:space="preserve"> women report dual burden of paid and unpaid work; mothers feel inadequate.</w:t>
            </w:r>
          </w:p>
        </w:tc>
        <w:tc>
          <w:tcPr>
            <w:tcW w:w="753" w:type="pct"/>
          </w:tcPr>
          <w:p w14:paraId="09AFFD02" w14:textId="77777777" w:rsidR="00B345A8" w:rsidRPr="00732EED" w:rsidRDefault="00B345A8" w:rsidP="00DC5B3C">
            <w:pPr>
              <w:rPr>
                <w:sz w:val="18"/>
                <w:szCs w:val="18"/>
              </w:rPr>
            </w:pPr>
            <w:r w:rsidRPr="00732EED">
              <w:rPr>
                <w:sz w:val="18"/>
                <w:szCs w:val="18"/>
              </w:rPr>
              <w:t>Mustafa 2020 (55), Lo Monaco 2024 (78), Palacios</w:t>
            </w:r>
            <w:r w:rsidRPr="00732EED">
              <w:rPr>
                <w:sz w:val="18"/>
                <w:szCs w:val="18"/>
              </w:rPr>
              <w:noBreakHyphen/>
            </w:r>
            <w:proofErr w:type="spellStart"/>
            <w:r w:rsidRPr="00732EED">
              <w:rPr>
                <w:sz w:val="18"/>
                <w:szCs w:val="18"/>
              </w:rPr>
              <w:t>Ceña</w:t>
            </w:r>
            <w:proofErr w:type="spellEnd"/>
            <w:r w:rsidRPr="00732EED">
              <w:rPr>
                <w:sz w:val="18"/>
                <w:szCs w:val="18"/>
              </w:rPr>
              <w:t xml:space="preserve"> 2017 (35), Sun 2023 (71)</w:t>
            </w:r>
          </w:p>
        </w:tc>
        <w:tc>
          <w:tcPr>
            <w:tcW w:w="736" w:type="pct"/>
          </w:tcPr>
          <w:p w14:paraId="3F89E621" w14:textId="77777777" w:rsidR="00B345A8" w:rsidRPr="00732EED" w:rsidRDefault="00B345A8" w:rsidP="00DC5B3C">
            <w:pPr>
              <w:rPr>
                <w:sz w:val="18"/>
                <w:szCs w:val="18"/>
              </w:rPr>
            </w:pPr>
            <w:r w:rsidRPr="00732EED">
              <w:rPr>
                <w:sz w:val="18"/>
                <w:szCs w:val="18"/>
              </w:rPr>
              <w:t>High–Moderate        </w:t>
            </w:r>
          </w:p>
        </w:tc>
        <w:tc>
          <w:tcPr>
            <w:tcW w:w="991" w:type="pct"/>
          </w:tcPr>
          <w:p w14:paraId="284E66DE" w14:textId="77777777" w:rsidR="00B345A8" w:rsidRPr="00732EED" w:rsidRDefault="00B345A8" w:rsidP="00DC5B3C">
            <w:pPr>
              <w:rPr>
                <w:sz w:val="18"/>
                <w:szCs w:val="18"/>
              </w:rPr>
            </w:pPr>
            <w:r w:rsidRPr="00732EED">
              <w:rPr>
                <w:sz w:val="18"/>
                <w:szCs w:val="18"/>
              </w:rPr>
              <w:t>Social / Family Dynamics (with Cultural / Gender Norms &amp; Roles for gendered aspects)</w:t>
            </w:r>
          </w:p>
        </w:tc>
      </w:tr>
      <w:tr w:rsidR="00B345A8" w:rsidRPr="00732EED" w14:paraId="66360250"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6" w:type="pct"/>
          </w:tcPr>
          <w:p w14:paraId="70B2914D" w14:textId="77777777" w:rsidR="00B345A8" w:rsidRPr="00732EED" w:rsidRDefault="00B345A8" w:rsidP="00DC5B3C">
            <w:pPr>
              <w:rPr>
                <w:b w:val="0"/>
                <w:bCs w:val="0"/>
                <w:sz w:val="18"/>
                <w:szCs w:val="18"/>
              </w:rPr>
            </w:pPr>
            <w:r w:rsidRPr="00732EED">
              <w:rPr>
                <w:b w:val="0"/>
                <w:bCs w:val="0"/>
                <w:sz w:val="18"/>
                <w:szCs w:val="18"/>
              </w:rPr>
              <w:t>Social World &amp; Relationships</w:t>
            </w:r>
          </w:p>
        </w:tc>
        <w:tc>
          <w:tcPr>
            <w:tcW w:w="896" w:type="pct"/>
          </w:tcPr>
          <w:p w14:paraId="0D7D2007"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Occupation, RTW</w:t>
            </w:r>
          </w:p>
        </w:tc>
        <w:tc>
          <w:tcPr>
            <w:tcW w:w="909" w:type="pct"/>
          </w:tcPr>
          <w:p w14:paraId="14425322"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is central to identity and dignity; pain leads to loss, precarious employment, or complex RTW negotiations and accommodations.</w:t>
            </w:r>
          </w:p>
        </w:tc>
        <w:tc>
          <w:tcPr>
            <w:tcW w:w="753" w:type="pct"/>
          </w:tcPr>
          <w:p w14:paraId="4F7C07BB"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732EED">
              <w:rPr>
                <w:sz w:val="18"/>
                <w:szCs w:val="18"/>
              </w:rPr>
              <w:t>MacNeela</w:t>
            </w:r>
            <w:proofErr w:type="spellEnd"/>
            <w:r w:rsidRPr="00732EED">
              <w:rPr>
                <w:sz w:val="18"/>
                <w:szCs w:val="18"/>
              </w:rPr>
              <w:t xml:space="preserve"> 2015 (24), Schwarz 2024 (84), Lundin 2024 (79), Bath 2019 (49), Albán</w:t>
            </w:r>
            <w:r w:rsidRPr="00732EED">
              <w:rPr>
                <w:sz w:val="18"/>
                <w:szCs w:val="18"/>
              </w:rPr>
              <w:noBreakHyphen/>
            </w:r>
            <w:proofErr w:type="spellStart"/>
            <w:r w:rsidRPr="00732EED">
              <w:rPr>
                <w:sz w:val="18"/>
                <w:szCs w:val="18"/>
              </w:rPr>
              <w:t>ReYes</w:t>
            </w:r>
            <w:proofErr w:type="spellEnd"/>
            <w:r w:rsidRPr="00732EED">
              <w:rPr>
                <w:sz w:val="18"/>
                <w:szCs w:val="18"/>
              </w:rPr>
              <w:t xml:space="preserve"> 2024 (73)</w:t>
            </w:r>
          </w:p>
        </w:tc>
        <w:tc>
          <w:tcPr>
            <w:tcW w:w="736" w:type="pct"/>
          </w:tcPr>
          <w:p w14:paraId="64417C9B"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w:t>
            </w:r>
          </w:p>
        </w:tc>
        <w:tc>
          <w:tcPr>
            <w:tcW w:w="991" w:type="pct"/>
          </w:tcPr>
          <w:p w14:paraId="3F5620D3"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 Work &amp; Return to Work</w:t>
            </w:r>
          </w:p>
        </w:tc>
      </w:tr>
      <w:tr w:rsidR="00B345A8" w:rsidRPr="00732EED" w14:paraId="10CF2082"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716" w:type="pct"/>
          </w:tcPr>
          <w:p w14:paraId="410391BA" w14:textId="77777777" w:rsidR="00B345A8" w:rsidRPr="00732EED" w:rsidRDefault="00B345A8" w:rsidP="00DC5B3C">
            <w:pPr>
              <w:rPr>
                <w:b w:val="0"/>
                <w:bCs w:val="0"/>
                <w:sz w:val="18"/>
                <w:szCs w:val="18"/>
              </w:rPr>
            </w:pPr>
            <w:r w:rsidRPr="00732EED">
              <w:rPr>
                <w:b w:val="0"/>
                <w:bCs w:val="0"/>
                <w:sz w:val="18"/>
                <w:szCs w:val="18"/>
              </w:rPr>
              <w:t>Social World &amp; Relationships</w:t>
            </w:r>
          </w:p>
        </w:tc>
        <w:tc>
          <w:tcPr>
            <w:tcW w:w="896" w:type="pct"/>
          </w:tcPr>
          <w:p w14:paraId="40FA5E2B"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 Norms &amp; Stigma</w:t>
            </w:r>
          </w:p>
        </w:tc>
        <w:tc>
          <w:tcPr>
            <w:tcW w:w="909" w:type="pct"/>
          </w:tcPr>
          <w:p w14:paraId="5FFB6A0A"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 scripts (e.g., masculinity, leprosy stigma, OA stigma) shape what people can say, when they seek help, and how they are treated.</w:t>
            </w:r>
          </w:p>
        </w:tc>
        <w:tc>
          <w:tcPr>
            <w:tcW w:w="753" w:type="pct"/>
          </w:tcPr>
          <w:p w14:paraId="4B1FFA58"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Snell 2024 (85), </w:t>
            </w:r>
            <w:proofErr w:type="spellStart"/>
            <w:r w:rsidRPr="00732EED">
              <w:rPr>
                <w:sz w:val="18"/>
                <w:szCs w:val="18"/>
              </w:rPr>
              <w:t>Nikoloudi</w:t>
            </w:r>
            <w:proofErr w:type="spellEnd"/>
            <w:r w:rsidRPr="00732EED">
              <w:rPr>
                <w:sz w:val="18"/>
                <w:szCs w:val="18"/>
              </w:rPr>
              <w:t xml:space="preserve"> 2024 (82), Danes</w:t>
            </w:r>
            <w:r w:rsidRPr="00732EED">
              <w:rPr>
                <w:sz w:val="18"/>
                <w:szCs w:val="18"/>
              </w:rPr>
              <w:noBreakHyphen/>
            </w:r>
            <w:proofErr w:type="spellStart"/>
            <w:r w:rsidRPr="00732EED">
              <w:rPr>
                <w:sz w:val="18"/>
                <w:szCs w:val="18"/>
              </w:rPr>
              <w:t>Daetz</w:t>
            </w:r>
            <w:proofErr w:type="spellEnd"/>
            <w:r w:rsidRPr="00732EED">
              <w:rPr>
                <w:sz w:val="18"/>
                <w:szCs w:val="18"/>
              </w:rPr>
              <w:t xml:space="preserve"> 2025 (88), Bosco 2025 (87), Altun 2023 (68)</w:t>
            </w:r>
          </w:p>
        </w:tc>
        <w:tc>
          <w:tcPr>
            <w:tcW w:w="736" w:type="pct"/>
          </w:tcPr>
          <w:p w14:paraId="24D3CD59"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High–Moderate</w:t>
            </w:r>
          </w:p>
        </w:tc>
        <w:tc>
          <w:tcPr>
            <w:tcW w:w="991" w:type="pct"/>
          </w:tcPr>
          <w:p w14:paraId="6C799ED4"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 / Stigma &amp; Malingering</w:t>
            </w:r>
          </w:p>
        </w:tc>
      </w:tr>
      <w:tr w:rsidR="00B345A8" w:rsidRPr="00732EED" w14:paraId="3951EB84"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6" w:type="pct"/>
          </w:tcPr>
          <w:p w14:paraId="751EC782" w14:textId="77777777" w:rsidR="00B345A8" w:rsidRPr="00732EED" w:rsidRDefault="00B345A8" w:rsidP="00DC5B3C">
            <w:pPr>
              <w:rPr>
                <w:b w:val="0"/>
                <w:bCs w:val="0"/>
                <w:sz w:val="18"/>
                <w:szCs w:val="18"/>
              </w:rPr>
            </w:pPr>
            <w:r w:rsidRPr="00732EED">
              <w:rPr>
                <w:b w:val="0"/>
                <w:bCs w:val="0"/>
                <w:sz w:val="18"/>
                <w:szCs w:val="18"/>
              </w:rPr>
              <w:t>Healthcare &amp; Systems</w:t>
            </w:r>
          </w:p>
        </w:tc>
        <w:tc>
          <w:tcPr>
            <w:tcW w:w="896" w:type="pct"/>
          </w:tcPr>
          <w:p w14:paraId="38D8AD7B"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c>
          <w:tcPr>
            <w:tcW w:w="909" w:type="pct"/>
          </w:tcPr>
          <w:p w14:paraId="6B8406D9"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"They say it’s in my head; I feel like a </w:t>
            </w:r>
            <w:proofErr w:type="gramStart"/>
            <w:r w:rsidRPr="00732EED">
              <w:rPr>
                <w:sz w:val="18"/>
                <w:szCs w:val="18"/>
              </w:rPr>
              <w:t>second class</w:t>
            </w:r>
            <w:proofErr w:type="gramEnd"/>
            <w:r w:rsidRPr="00732EED">
              <w:rPr>
                <w:sz w:val="18"/>
                <w:szCs w:val="18"/>
              </w:rPr>
              <w:t xml:space="preserve"> citizen, fighting to prove my pain is real."</w:t>
            </w:r>
          </w:p>
        </w:tc>
        <w:tc>
          <w:tcPr>
            <w:tcW w:w="753" w:type="pct"/>
          </w:tcPr>
          <w:p w14:paraId="43079164"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Hansson 2011 (4), Ojala 2015b (26), Palacios </w:t>
            </w:r>
            <w:proofErr w:type="spellStart"/>
            <w:r w:rsidRPr="00732EED">
              <w:rPr>
                <w:sz w:val="18"/>
                <w:szCs w:val="18"/>
              </w:rPr>
              <w:t>Ceña</w:t>
            </w:r>
            <w:proofErr w:type="spellEnd"/>
            <w:r w:rsidRPr="00732EED">
              <w:rPr>
                <w:sz w:val="18"/>
                <w:szCs w:val="18"/>
              </w:rPr>
              <w:t xml:space="preserve"> 2017 (35), </w:t>
            </w:r>
            <w:proofErr w:type="spellStart"/>
            <w:r w:rsidRPr="00732EED">
              <w:rPr>
                <w:sz w:val="18"/>
                <w:szCs w:val="18"/>
              </w:rPr>
              <w:t>Hazaveh</w:t>
            </w:r>
            <w:proofErr w:type="spellEnd"/>
            <w:r w:rsidRPr="00732EED">
              <w:rPr>
                <w:sz w:val="18"/>
                <w:szCs w:val="18"/>
              </w:rPr>
              <w:t xml:space="preserve"> &amp; Hovey 2018 (44), </w:t>
            </w:r>
            <w:proofErr w:type="spellStart"/>
            <w:r w:rsidRPr="00732EED">
              <w:rPr>
                <w:sz w:val="18"/>
                <w:szCs w:val="18"/>
              </w:rPr>
              <w:t>Mengshoel</w:t>
            </w:r>
            <w:proofErr w:type="spellEnd"/>
            <w:r w:rsidRPr="00732EED">
              <w:rPr>
                <w:sz w:val="18"/>
                <w:szCs w:val="18"/>
              </w:rPr>
              <w:t xml:space="preserve"> 2018 (45)</w:t>
            </w:r>
          </w:p>
        </w:tc>
        <w:tc>
          <w:tcPr>
            <w:tcW w:w="736" w:type="pct"/>
          </w:tcPr>
          <w:p w14:paraId="14618C29"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w:t>
            </w:r>
          </w:p>
        </w:tc>
        <w:tc>
          <w:tcPr>
            <w:tcW w:w="991" w:type="pct"/>
          </w:tcPr>
          <w:p w14:paraId="7D4ACAC5"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 Health Inequities</w:t>
            </w:r>
          </w:p>
        </w:tc>
      </w:tr>
      <w:tr w:rsidR="00B345A8" w:rsidRPr="00732EED" w14:paraId="67D298E0"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716" w:type="pct"/>
          </w:tcPr>
          <w:p w14:paraId="16C4FBDA" w14:textId="77777777" w:rsidR="00B345A8" w:rsidRPr="00732EED" w:rsidRDefault="00B345A8" w:rsidP="00DC5B3C">
            <w:pPr>
              <w:rPr>
                <w:b w:val="0"/>
                <w:bCs w:val="0"/>
                <w:sz w:val="18"/>
                <w:szCs w:val="18"/>
              </w:rPr>
            </w:pPr>
            <w:r w:rsidRPr="00732EED">
              <w:rPr>
                <w:b w:val="0"/>
                <w:bCs w:val="0"/>
                <w:sz w:val="18"/>
                <w:szCs w:val="18"/>
              </w:rPr>
              <w:t>Healthcare &amp; Systems</w:t>
            </w:r>
          </w:p>
        </w:tc>
        <w:tc>
          <w:tcPr>
            <w:tcW w:w="896" w:type="pct"/>
          </w:tcPr>
          <w:p w14:paraId="1DFE85F5"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Access Barriers &amp; Inequities</w:t>
            </w:r>
          </w:p>
        </w:tc>
        <w:tc>
          <w:tcPr>
            <w:tcW w:w="909" w:type="pct"/>
          </w:tcPr>
          <w:p w14:paraId="4865BE7A"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Travel distance, cost, waiting times, misdiagnosis, and refugee or minority status restrict access to appropriate care.</w:t>
            </w:r>
          </w:p>
        </w:tc>
        <w:tc>
          <w:tcPr>
            <w:tcW w:w="753" w:type="pct"/>
          </w:tcPr>
          <w:p w14:paraId="02492A30"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Kahere</w:t>
            </w:r>
            <w:proofErr w:type="spellEnd"/>
            <w:r w:rsidRPr="00732EED">
              <w:rPr>
                <w:sz w:val="18"/>
                <w:szCs w:val="18"/>
              </w:rPr>
              <w:t xml:space="preserve"> 2022 (67), Bath 2019 (49), Altun 2023 (68), Rodríguez 2019 (52), Yildirim 2020 (58), Sun 2023 (71)</w:t>
            </w:r>
          </w:p>
        </w:tc>
        <w:tc>
          <w:tcPr>
            <w:tcW w:w="736" w:type="pct"/>
          </w:tcPr>
          <w:p w14:paraId="4BE41B13"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w:t>
            </w:r>
          </w:p>
        </w:tc>
        <w:tc>
          <w:tcPr>
            <w:tcW w:w="991" w:type="pct"/>
          </w:tcPr>
          <w:p w14:paraId="08EF851F"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 / Validation vs Dismissal</w:t>
            </w:r>
          </w:p>
        </w:tc>
      </w:tr>
      <w:tr w:rsidR="00B345A8" w:rsidRPr="00732EED" w14:paraId="0B527137"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6" w:type="pct"/>
          </w:tcPr>
          <w:p w14:paraId="153FC66F" w14:textId="77777777" w:rsidR="00B345A8" w:rsidRPr="00732EED" w:rsidRDefault="00B345A8" w:rsidP="00DC5B3C">
            <w:pPr>
              <w:rPr>
                <w:b w:val="0"/>
                <w:bCs w:val="0"/>
                <w:sz w:val="18"/>
                <w:szCs w:val="18"/>
              </w:rPr>
            </w:pPr>
            <w:r w:rsidRPr="00732EED">
              <w:rPr>
                <w:b w:val="0"/>
                <w:bCs w:val="0"/>
                <w:sz w:val="18"/>
                <w:szCs w:val="18"/>
              </w:rPr>
              <w:t>Healthcare &amp; Systems</w:t>
            </w:r>
          </w:p>
        </w:tc>
        <w:tc>
          <w:tcPr>
            <w:tcW w:w="896" w:type="pct"/>
          </w:tcPr>
          <w:p w14:paraId="4AAC49DE"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Fragmentation &amp; Biomedical Limits</w:t>
            </w:r>
          </w:p>
        </w:tc>
        <w:tc>
          <w:tcPr>
            <w:tcW w:w="909" w:type="pct"/>
          </w:tcPr>
          <w:p w14:paraId="4E9AB6AB"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Care is fragmented, with conflicting messages; biomedical focus neglects psychosocial needs and </w:t>
            </w:r>
            <w:proofErr w:type="gramStart"/>
            <w:r w:rsidRPr="00732EED">
              <w:rPr>
                <w:sz w:val="18"/>
                <w:szCs w:val="18"/>
              </w:rPr>
              <w:t>long term</w:t>
            </w:r>
            <w:proofErr w:type="gramEnd"/>
            <w:r w:rsidRPr="00732EED">
              <w:rPr>
                <w:sz w:val="18"/>
                <w:szCs w:val="18"/>
              </w:rPr>
              <w:t xml:space="preserve"> management.</w:t>
            </w:r>
          </w:p>
        </w:tc>
        <w:tc>
          <w:tcPr>
            <w:tcW w:w="753" w:type="pct"/>
          </w:tcPr>
          <w:p w14:paraId="205EA2FA"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Schultz 2019 (53), Hearn 2015 (22), Hearn 2018 (41), Lee 2018 (42), Keen 2021 (62), Toye 2019 (54)</w:t>
            </w:r>
          </w:p>
        </w:tc>
        <w:tc>
          <w:tcPr>
            <w:tcW w:w="736" w:type="pct"/>
          </w:tcPr>
          <w:p w14:paraId="699F1707"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w:t>
            </w:r>
          </w:p>
        </w:tc>
        <w:tc>
          <w:tcPr>
            <w:tcW w:w="991" w:type="pct"/>
          </w:tcPr>
          <w:p w14:paraId="174348F4"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Healthcare / Access Barriers &amp; Logistics (also Social / Access </w:t>
            </w:r>
            <w:proofErr w:type="gramStart"/>
            <w:r w:rsidRPr="00732EED">
              <w:rPr>
                <w:sz w:val="18"/>
                <w:szCs w:val="18"/>
              </w:rPr>
              <w:t>To</w:t>
            </w:r>
            <w:proofErr w:type="gramEnd"/>
            <w:r w:rsidRPr="00732EED">
              <w:rPr>
                <w:sz w:val="18"/>
                <w:szCs w:val="18"/>
              </w:rPr>
              <w:t xml:space="preserve"> Healthcare)</w:t>
            </w:r>
          </w:p>
        </w:tc>
      </w:tr>
      <w:tr w:rsidR="00B345A8" w:rsidRPr="00732EED" w14:paraId="0ADB1403"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716" w:type="pct"/>
          </w:tcPr>
          <w:p w14:paraId="74CE03C6" w14:textId="77777777" w:rsidR="00B345A8" w:rsidRPr="00732EED" w:rsidRDefault="00B345A8" w:rsidP="00DC5B3C">
            <w:pPr>
              <w:rPr>
                <w:b w:val="0"/>
                <w:bCs w:val="0"/>
                <w:sz w:val="18"/>
                <w:szCs w:val="18"/>
              </w:rPr>
            </w:pPr>
            <w:r w:rsidRPr="00732EED">
              <w:rPr>
                <w:b w:val="0"/>
                <w:bCs w:val="0"/>
                <w:sz w:val="18"/>
                <w:szCs w:val="18"/>
              </w:rPr>
              <w:t>Healthcare &amp; Systems</w:t>
            </w:r>
          </w:p>
        </w:tc>
        <w:tc>
          <w:tcPr>
            <w:tcW w:w="896" w:type="pct"/>
          </w:tcPr>
          <w:p w14:paraId="1E73B6FF"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Interventions</w:t>
            </w:r>
          </w:p>
        </w:tc>
        <w:tc>
          <w:tcPr>
            <w:tcW w:w="909" w:type="pct"/>
          </w:tcPr>
          <w:p w14:paraId="5840160C"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Group rehab, CBT/ACT, self-management courses, PNE, digital tools and mind-body interventions enhance self-efficacy and agency.</w:t>
            </w:r>
          </w:p>
        </w:tc>
        <w:tc>
          <w:tcPr>
            <w:tcW w:w="753" w:type="pct"/>
          </w:tcPr>
          <w:p w14:paraId="2D9ABA27"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Dysvik</w:t>
            </w:r>
            <w:proofErr w:type="spellEnd"/>
            <w:r w:rsidRPr="00732EED">
              <w:rPr>
                <w:sz w:val="18"/>
                <w:szCs w:val="18"/>
              </w:rPr>
              <w:t xml:space="preserve"> 2014 (12), Furnes 2014 (13), Morton 2017 (34), Sanabria-Mazo 2024 (83), Barber 2025 (86), Joyce 2023 (69)</w:t>
            </w:r>
          </w:p>
        </w:tc>
        <w:tc>
          <w:tcPr>
            <w:tcW w:w="736" w:type="pct"/>
          </w:tcPr>
          <w:p w14:paraId="23E4444F"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w:t>
            </w:r>
          </w:p>
        </w:tc>
        <w:tc>
          <w:tcPr>
            <w:tcW w:w="991" w:type="pct"/>
          </w:tcPr>
          <w:p w14:paraId="071D51E3"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 / Fragmented Care &amp; Mismatch</w:t>
            </w:r>
          </w:p>
        </w:tc>
      </w:tr>
      <w:tr w:rsidR="00B345A8" w:rsidRPr="00732EED" w14:paraId="2BF9EB8E"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6" w:type="pct"/>
          </w:tcPr>
          <w:p w14:paraId="119B6074" w14:textId="77777777" w:rsidR="00B345A8" w:rsidRPr="00732EED" w:rsidRDefault="00B345A8" w:rsidP="00DC5B3C">
            <w:pPr>
              <w:rPr>
                <w:b w:val="0"/>
                <w:bCs w:val="0"/>
                <w:sz w:val="18"/>
                <w:szCs w:val="18"/>
              </w:rPr>
            </w:pPr>
            <w:r w:rsidRPr="00732EED">
              <w:rPr>
                <w:b w:val="0"/>
                <w:bCs w:val="0"/>
                <w:sz w:val="18"/>
                <w:szCs w:val="18"/>
              </w:rPr>
              <w:t>Healthcare &amp; Systems</w:t>
            </w:r>
          </w:p>
        </w:tc>
        <w:tc>
          <w:tcPr>
            <w:tcW w:w="896" w:type="pct"/>
          </w:tcPr>
          <w:p w14:paraId="10CFFFCF"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System Reform &amp; Professional Perspectives</w:t>
            </w:r>
          </w:p>
        </w:tc>
        <w:tc>
          <w:tcPr>
            <w:tcW w:w="909" w:type="pct"/>
          </w:tcPr>
          <w:p w14:paraId="16956E7C"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for training, geriatric programs, participatory research, and better coordination in LTC and nursing homes.</w:t>
            </w:r>
          </w:p>
        </w:tc>
        <w:tc>
          <w:tcPr>
            <w:tcW w:w="753" w:type="pct"/>
          </w:tcPr>
          <w:p w14:paraId="7DBC4D0E"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Shehadeh 2025 (92), Gaber 2024 (76), Sun 2023 (71), Schwarz 2024 (84)</w:t>
            </w:r>
          </w:p>
        </w:tc>
        <w:tc>
          <w:tcPr>
            <w:tcW w:w="736" w:type="pct"/>
          </w:tcPr>
          <w:p w14:paraId="3BE51343"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w:t>
            </w:r>
          </w:p>
        </w:tc>
        <w:tc>
          <w:tcPr>
            <w:tcW w:w="991" w:type="pct"/>
          </w:tcPr>
          <w:p w14:paraId="5E20D0DF"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 / Positive Programs &amp; Self</w:t>
            </w:r>
            <w:r w:rsidRPr="00732EED">
              <w:rPr>
                <w:sz w:val="18"/>
                <w:szCs w:val="18"/>
              </w:rPr>
              <w:noBreakHyphen/>
              <w:t>Management</w:t>
            </w:r>
          </w:p>
        </w:tc>
      </w:tr>
      <w:tr w:rsidR="00B345A8" w:rsidRPr="00732EED" w14:paraId="193868C6"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716" w:type="pct"/>
          </w:tcPr>
          <w:p w14:paraId="2DCE79AF" w14:textId="77777777" w:rsidR="00B345A8" w:rsidRPr="00732EED" w:rsidRDefault="00B345A8" w:rsidP="00DC5B3C">
            <w:pPr>
              <w:rPr>
                <w:b w:val="0"/>
                <w:bCs w:val="0"/>
                <w:sz w:val="18"/>
                <w:szCs w:val="18"/>
              </w:rPr>
            </w:pPr>
            <w:r w:rsidRPr="00732EED">
              <w:rPr>
                <w:b w:val="0"/>
                <w:bCs w:val="0"/>
                <w:sz w:val="18"/>
                <w:szCs w:val="18"/>
              </w:rPr>
              <w:lastRenderedPageBreak/>
              <w:t>Coping &amp; Management</w:t>
            </w:r>
          </w:p>
        </w:tc>
        <w:tc>
          <w:tcPr>
            <w:tcW w:w="896" w:type="pct"/>
          </w:tcPr>
          <w:p w14:paraId="651EF2E8"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Everyday Self-Management</w:t>
            </w:r>
          </w:p>
        </w:tc>
        <w:tc>
          <w:tcPr>
            <w:tcW w:w="909" w:type="pct"/>
          </w:tcPr>
          <w:p w14:paraId="6F59A14B"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People “push through” or pace, use exercise, posture, energy planning, and alternative therapies.</w:t>
            </w:r>
          </w:p>
        </w:tc>
        <w:tc>
          <w:tcPr>
            <w:tcW w:w="753" w:type="pct"/>
          </w:tcPr>
          <w:p w14:paraId="5C8DB37B"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Krohne 2010 (1), Angel 2017 (32), Cooper 2018 (39), Bath 2019 (49), Matias-Soto 2024 (81), Peppard 2023 (70)</w:t>
            </w:r>
          </w:p>
        </w:tc>
        <w:tc>
          <w:tcPr>
            <w:tcW w:w="736" w:type="pct"/>
          </w:tcPr>
          <w:p w14:paraId="432B4BA0"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w:t>
            </w:r>
          </w:p>
        </w:tc>
        <w:tc>
          <w:tcPr>
            <w:tcW w:w="991" w:type="pct"/>
          </w:tcPr>
          <w:p w14:paraId="6F012013"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 / System Reform &amp; Professional Views</w:t>
            </w:r>
          </w:p>
        </w:tc>
      </w:tr>
      <w:tr w:rsidR="00B345A8" w:rsidRPr="00732EED" w14:paraId="492CF08A"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6" w:type="pct"/>
          </w:tcPr>
          <w:p w14:paraId="24182EC0" w14:textId="77777777" w:rsidR="00B345A8" w:rsidRPr="00732EED" w:rsidRDefault="00B345A8" w:rsidP="00DC5B3C">
            <w:pPr>
              <w:rPr>
                <w:b w:val="0"/>
                <w:bCs w:val="0"/>
                <w:sz w:val="18"/>
                <w:szCs w:val="18"/>
              </w:rPr>
            </w:pPr>
            <w:r w:rsidRPr="00732EED">
              <w:rPr>
                <w:b w:val="0"/>
                <w:bCs w:val="0"/>
                <w:sz w:val="18"/>
                <w:szCs w:val="18"/>
              </w:rPr>
              <w:t>Coping &amp; Management</w:t>
            </w:r>
          </w:p>
        </w:tc>
        <w:tc>
          <w:tcPr>
            <w:tcW w:w="896" w:type="pct"/>
          </w:tcPr>
          <w:p w14:paraId="4EC645C7"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 &amp; Emotional Coping</w:t>
            </w:r>
          </w:p>
        </w:tc>
        <w:tc>
          <w:tcPr>
            <w:tcW w:w="909" w:type="pct"/>
          </w:tcPr>
          <w:p w14:paraId="276FCED1"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Catastrophizing, rumination, fear-avoidance, but also re-framing, patience, and hope.</w:t>
            </w:r>
          </w:p>
        </w:tc>
        <w:tc>
          <w:tcPr>
            <w:tcW w:w="753" w:type="pct"/>
          </w:tcPr>
          <w:p w14:paraId="075DF482"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Schütze 2017 (36), Hassani 2017 (33), Matias-Soto 2024 (81), Andersen 2021 (59)</w:t>
            </w:r>
          </w:p>
        </w:tc>
        <w:tc>
          <w:tcPr>
            <w:tcW w:w="736" w:type="pct"/>
          </w:tcPr>
          <w:p w14:paraId="3A79C4C4"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w:t>
            </w:r>
          </w:p>
        </w:tc>
        <w:tc>
          <w:tcPr>
            <w:tcW w:w="991" w:type="pct"/>
          </w:tcPr>
          <w:p w14:paraId="6C7E6D1D"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 / Positive Programs &amp; Self</w:t>
            </w:r>
            <w:r w:rsidRPr="00732EED">
              <w:rPr>
                <w:sz w:val="18"/>
                <w:szCs w:val="18"/>
              </w:rPr>
              <w:noBreakHyphen/>
              <w:t>Management, Cognitive / Catastrophizing &amp; Rumination (and Psychological / Anxiety &amp; Fear; Resilience &amp; Growth)</w:t>
            </w:r>
          </w:p>
        </w:tc>
      </w:tr>
      <w:tr w:rsidR="00B345A8" w:rsidRPr="00732EED" w14:paraId="26D3464C"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716" w:type="pct"/>
          </w:tcPr>
          <w:p w14:paraId="5C14B37A" w14:textId="77777777" w:rsidR="00B345A8" w:rsidRPr="00732EED" w:rsidRDefault="00B345A8" w:rsidP="00DC5B3C">
            <w:pPr>
              <w:rPr>
                <w:b w:val="0"/>
                <w:bCs w:val="0"/>
                <w:sz w:val="18"/>
                <w:szCs w:val="18"/>
              </w:rPr>
            </w:pPr>
            <w:r w:rsidRPr="00732EED">
              <w:rPr>
                <w:b w:val="0"/>
                <w:bCs w:val="0"/>
                <w:sz w:val="18"/>
                <w:szCs w:val="18"/>
              </w:rPr>
              <w:t>Coping &amp; Management</w:t>
            </w:r>
          </w:p>
        </w:tc>
        <w:tc>
          <w:tcPr>
            <w:tcW w:w="896" w:type="pct"/>
          </w:tcPr>
          <w:p w14:paraId="213624E4"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Peer / Online Narration</w:t>
            </w:r>
          </w:p>
        </w:tc>
        <w:tc>
          <w:tcPr>
            <w:tcW w:w="909" w:type="pct"/>
          </w:tcPr>
          <w:p w14:paraId="353202F0"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Sharing experiences in groups or online provides validation, knowledge, and motivation.</w:t>
            </w:r>
          </w:p>
        </w:tc>
        <w:tc>
          <w:tcPr>
            <w:tcW w:w="753" w:type="pct"/>
          </w:tcPr>
          <w:p w14:paraId="5AA78F4C"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Merolli 2014 (17), Mathias 2014 (16), </w:t>
            </w:r>
            <w:proofErr w:type="spellStart"/>
            <w:r w:rsidRPr="00732EED">
              <w:rPr>
                <w:sz w:val="18"/>
                <w:szCs w:val="18"/>
              </w:rPr>
              <w:t>Fracso</w:t>
            </w:r>
            <w:proofErr w:type="spellEnd"/>
            <w:r w:rsidRPr="00732EED">
              <w:rPr>
                <w:sz w:val="18"/>
                <w:szCs w:val="18"/>
              </w:rPr>
              <w:t xml:space="preserve"> 2021 (60), Macgregor 2024 (80), Joyce 2023 (69)</w:t>
            </w:r>
          </w:p>
        </w:tc>
        <w:tc>
          <w:tcPr>
            <w:tcW w:w="736" w:type="pct"/>
          </w:tcPr>
          <w:p w14:paraId="693135D7"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w:t>
            </w:r>
          </w:p>
        </w:tc>
        <w:tc>
          <w:tcPr>
            <w:tcW w:w="991" w:type="pct"/>
          </w:tcPr>
          <w:p w14:paraId="1FEB7424"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 Peer &amp; Online Communities</w:t>
            </w:r>
          </w:p>
        </w:tc>
      </w:tr>
      <w:tr w:rsidR="00B345A8" w:rsidRPr="00732EED" w14:paraId="5BE9C70E"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6" w:type="pct"/>
          </w:tcPr>
          <w:p w14:paraId="123C9473" w14:textId="77777777" w:rsidR="00B345A8" w:rsidRPr="00732EED" w:rsidRDefault="00B345A8" w:rsidP="00DC5B3C">
            <w:pPr>
              <w:rPr>
                <w:b w:val="0"/>
                <w:bCs w:val="0"/>
                <w:sz w:val="18"/>
                <w:szCs w:val="18"/>
              </w:rPr>
            </w:pPr>
            <w:r w:rsidRPr="00732EED">
              <w:rPr>
                <w:b w:val="0"/>
                <w:bCs w:val="0"/>
                <w:sz w:val="18"/>
                <w:szCs w:val="18"/>
              </w:rPr>
              <w:t>Coping &amp; Management</w:t>
            </w:r>
          </w:p>
        </w:tc>
        <w:tc>
          <w:tcPr>
            <w:tcW w:w="896" w:type="pct"/>
          </w:tcPr>
          <w:p w14:paraId="3917B427"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Medication &amp; Procedures</w:t>
            </w:r>
          </w:p>
        </w:tc>
        <w:tc>
          <w:tcPr>
            <w:tcW w:w="909" w:type="pct"/>
          </w:tcPr>
          <w:p w14:paraId="5D6714BB"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Opioids and procedures can restore function but lead to secrecy, fear, ambivalence, and limited relief.</w:t>
            </w:r>
          </w:p>
        </w:tc>
        <w:tc>
          <w:tcPr>
            <w:tcW w:w="753" w:type="pct"/>
          </w:tcPr>
          <w:p w14:paraId="56933E99"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Vallerand &amp; Nowak 2010 (3), Brooks 2015 (20), Stensland 2021 (63), Hearn 2018 (41)</w:t>
            </w:r>
          </w:p>
        </w:tc>
        <w:tc>
          <w:tcPr>
            <w:tcW w:w="736" w:type="pct"/>
          </w:tcPr>
          <w:p w14:paraId="69D5464D"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High–Moderate</w:t>
            </w:r>
          </w:p>
        </w:tc>
        <w:tc>
          <w:tcPr>
            <w:tcW w:w="991" w:type="pct"/>
          </w:tcPr>
          <w:p w14:paraId="35F6E631" w14:textId="77777777" w:rsidR="00B345A8" w:rsidRPr="00732EED" w:rsidRDefault="00B345A8"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 / Fragmented Care &amp; Mismatch (and Chronic Pain / Suffering &amp; Distress for ambivalence/limited relief)</w:t>
            </w:r>
          </w:p>
        </w:tc>
      </w:tr>
      <w:tr w:rsidR="00B345A8" w:rsidRPr="00732EED" w14:paraId="2353411F"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716" w:type="pct"/>
          </w:tcPr>
          <w:p w14:paraId="32865B73" w14:textId="77777777" w:rsidR="00B345A8" w:rsidRPr="00732EED" w:rsidRDefault="00B345A8" w:rsidP="00DC5B3C">
            <w:pPr>
              <w:rPr>
                <w:b w:val="0"/>
                <w:bCs w:val="0"/>
                <w:sz w:val="18"/>
                <w:szCs w:val="18"/>
              </w:rPr>
            </w:pPr>
            <w:r w:rsidRPr="00732EED">
              <w:rPr>
                <w:b w:val="0"/>
                <w:bCs w:val="0"/>
                <w:sz w:val="18"/>
                <w:szCs w:val="18"/>
              </w:rPr>
              <w:t>Coping &amp; Management</w:t>
            </w:r>
          </w:p>
        </w:tc>
        <w:tc>
          <w:tcPr>
            <w:tcW w:w="896" w:type="pct"/>
          </w:tcPr>
          <w:p w14:paraId="676F0BD0"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&amp; Mind–Body</w:t>
            </w:r>
          </w:p>
        </w:tc>
        <w:tc>
          <w:tcPr>
            <w:tcW w:w="909" w:type="pct"/>
          </w:tcPr>
          <w:p w14:paraId="2A251DE1"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spiritual practices, mindfulness, and Yoga Nidra help decouple identity from pain.</w:t>
            </w:r>
          </w:p>
        </w:tc>
        <w:tc>
          <w:tcPr>
            <w:tcW w:w="753" w:type="pct"/>
          </w:tcPr>
          <w:p w14:paraId="6CF8091E"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Mathias 2014 (16), Hassani 2017 (33), Barber 2025 (86), Toye 2021 (65), Macgregor 2024 (80)</w:t>
            </w:r>
          </w:p>
        </w:tc>
        <w:tc>
          <w:tcPr>
            <w:tcW w:w="736" w:type="pct"/>
          </w:tcPr>
          <w:p w14:paraId="0282AF93"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w:t>
            </w:r>
          </w:p>
        </w:tc>
        <w:tc>
          <w:tcPr>
            <w:tcW w:w="991" w:type="pct"/>
          </w:tcPr>
          <w:p w14:paraId="6A964EA0" w14:textId="77777777" w:rsidR="00B345A8" w:rsidRPr="00732EED" w:rsidRDefault="00B345A8"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 / Acceptance Ecosystem (and Psychological / Resilience &amp; Growth)</w:t>
            </w:r>
          </w:p>
        </w:tc>
      </w:tr>
    </w:tbl>
    <w:p w14:paraId="6E426D1E" w14:textId="75D4044F" w:rsidR="00E76014" w:rsidRPr="00732EED" w:rsidRDefault="00004370" w:rsidP="00E76014">
      <w:pPr>
        <w:rPr>
          <w:sz w:val="18"/>
          <w:szCs w:val="18"/>
        </w:rPr>
      </w:pPr>
      <w:r w:rsidRPr="00732EED">
        <w:rPr>
          <w:sz w:val="18"/>
          <w:szCs w:val="18"/>
        </w:rPr>
        <w:t>* Study ID mapping: Study numbers in the "Study Examples (IDs)" column correspond to full references listed in Supplementary Table S4. Count / exemplar logic: Subtheme rows include exemplar participant phrases (edited for length and clarity) and exemplar study citations; exemplars are illustrative, not exhaustive. </w:t>
      </w:r>
      <w:proofErr w:type="spellStart"/>
      <w:r w:rsidRPr="00732EED">
        <w:rPr>
          <w:sz w:val="18"/>
          <w:szCs w:val="18"/>
        </w:rPr>
        <w:t>CERQual</w:t>
      </w:r>
      <w:proofErr w:type="spellEnd"/>
      <w:r w:rsidRPr="00732EED">
        <w:rPr>
          <w:sz w:val="18"/>
          <w:szCs w:val="18"/>
        </w:rPr>
        <w:t xml:space="preserve">: </w:t>
      </w:r>
      <w:proofErr w:type="spellStart"/>
      <w:r w:rsidRPr="00732EED">
        <w:rPr>
          <w:sz w:val="18"/>
          <w:szCs w:val="18"/>
        </w:rPr>
        <w:t>CERQual</w:t>
      </w:r>
      <w:proofErr w:type="spellEnd"/>
      <w:r w:rsidRPr="00732EED">
        <w:rPr>
          <w:sz w:val="18"/>
          <w:szCs w:val="18"/>
        </w:rPr>
        <w:t xml:space="preserve"> level = Confidence in the Evidence from Reviews of Qualitative Research (Lewin et al., 2018). Full </w:t>
      </w:r>
      <w:proofErr w:type="spellStart"/>
      <w:r w:rsidRPr="00732EED">
        <w:rPr>
          <w:sz w:val="18"/>
          <w:szCs w:val="18"/>
        </w:rPr>
        <w:t>CERQual</w:t>
      </w:r>
      <w:proofErr w:type="spellEnd"/>
      <w:r w:rsidRPr="00732EED">
        <w:rPr>
          <w:sz w:val="18"/>
          <w:szCs w:val="18"/>
        </w:rPr>
        <w:t xml:space="preserve"> evidence profiles and justifications are provided in Supplementary Table S3. Count semantics: This table documents initial hermeneutic codes (instances/themes identified during Phase 1) used to develop heuristic domains; counts shown in subsequent tables reflect aggregated occurrences. Instances may be multiple per study; counts are therefore not mutually exclusive. Heuristic mapping: "Heuristic Domain" indicates the domain assignment used in subsequent heuristic clustering; some subthemes map to multiple higher</w:t>
      </w:r>
      <w:r w:rsidRPr="00732EED">
        <w:rPr>
          <w:sz w:val="18"/>
          <w:szCs w:val="18"/>
        </w:rPr>
        <w:noBreakHyphen/>
        <w:t>order domains and are cross</w:t>
      </w:r>
      <w:r w:rsidRPr="00732EED">
        <w:rPr>
          <w:sz w:val="18"/>
          <w:szCs w:val="18"/>
        </w:rPr>
        <w:noBreakHyphen/>
        <w:t>referenced in the main synthesis (see Methods and Figure 1). Coding procedures: Phase</w:t>
      </w:r>
      <w:r w:rsidRPr="00732EED">
        <w:rPr>
          <w:sz w:val="18"/>
          <w:szCs w:val="18"/>
        </w:rPr>
        <w:noBreakHyphen/>
        <w:t>1 coding used line</w:t>
      </w:r>
      <w:r w:rsidRPr="00732EED">
        <w:rPr>
          <w:sz w:val="18"/>
          <w:szCs w:val="18"/>
        </w:rPr>
        <w:noBreakHyphen/>
        <w:t>by</w:t>
      </w:r>
      <w:r w:rsidRPr="00732EED">
        <w:rPr>
          <w:sz w:val="18"/>
          <w:szCs w:val="18"/>
        </w:rPr>
        <w:noBreakHyphen/>
        <w:t>line hermeneutic reading and descriptive theme development; the codebook, coding rules, and worked examples are provided in Supplementary File S5. Inter</w:t>
      </w:r>
      <w:r w:rsidRPr="00732EED">
        <w:rPr>
          <w:sz w:val="18"/>
          <w:szCs w:val="18"/>
        </w:rPr>
        <w:noBreakHyphen/>
        <w:t>rater reliability: Independent double</w:t>
      </w:r>
      <w:r w:rsidRPr="00732EED">
        <w:rPr>
          <w:sz w:val="18"/>
          <w:szCs w:val="18"/>
        </w:rPr>
        <w:noBreakHyphen/>
        <w:t>coding was performed on a random 20% sample of extraction units with disagreement resolved by consensus; inter</w:t>
      </w:r>
      <w:r w:rsidRPr="00732EED">
        <w:rPr>
          <w:sz w:val="18"/>
          <w:szCs w:val="18"/>
        </w:rPr>
        <w:noBreakHyphen/>
        <w:t xml:space="preserve">rater reliability (Cohen’s κ) = [insert κ value]. Quality / appraisal linkage: Quality appraisals (CASP/MMAT) and links between study quality and theme inclusion are reported in Supplementary Tables S3–S5; themes were not weighted by study quality at the coding </w:t>
      </w:r>
      <w:r w:rsidR="00B93F1C" w:rsidRPr="00732EED">
        <w:rPr>
          <w:sz w:val="18"/>
          <w:szCs w:val="18"/>
        </w:rPr>
        <w:t>Phase</w:t>
      </w:r>
      <w:r w:rsidRPr="00732EED">
        <w:rPr>
          <w:sz w:val="18"/>
          <w:szCs w:val="18"/>
        </w:rPr>
        <w:t>. Date coverage: Included studies were published July 2010–July 2025; (see Supplementary Table S2 and PRISMA flow diagram). Duplicated/linked reports: Multiple papers from the same participant sample (e.g., Ojala series; Stensland sub</w:t>
      </w:r>
      <w:r w:rsidRPr="00732EED">
        <w:rPr>
          <w:sz w:val="18"/>
          <w:szCs w:val="18"/>
        </w:rPr>
        <w:noBreakHyphen/>
        <w:t>studies) are documented in Supplementary Table S4 and treated as related reports in analyses; counts note instances rather than unique participant samples. Abbreviations &amp; terms: IPA = Interpretative Phenomenological Analysis; MBI = mindfulness</w:t>
      </w:r>
      <w:r w:rsidRPr="00732EED">
        <w:rPr>
          <w:sz w:val="18"/>
          <w:szCs w:val="18"/>
        </w:rPr>
        <w:noBreakHyphen/>
        <w:t>based intervention; LTC = long</w:t>
      </w:r>
      <w:r w:rsidRPr="00732EED">
        <w:rPr>
          <w:sz w:val="18"/>
          <w:szCs w:val="18"/>
        </w:rPr>
        <w:noBreakHyphen/>
        <w:t>term care; NR = not reported. Transparency &amp; reproducibility: Raw extraction notes, verbatim quotes used to support each coded instance, full search histories, and completed appraisal checklists are available in Supplementary Files S2–S7 for reproducibility and audit. Ethical note: All primary studies reported their own ethical approvals as stated in the original publications; where not reported this is indicated in the appraisal tables (Supplementary Table S3).</w:t>
      </w:r>
      <w:r w:rsidR="00E76014" w:rsidRPr="00732EED">
        <w:rPr>
          <w:sz w:val="18"/>
          <w:szCs w:val="18"/>
        </w:rPr>
        <w:t xml:space="preserve"> </w:t>
      </w:r>
      <w:proofErr w:type="spellStart"/>
      <w:r w:rsidR="00E76014" w:rsidRPr="00732EED">
        <w:rPr>
          <w:sz w:val="18"/>
          <w:szCs w:val="18"/>
        </w:rPr>
        <w:t>CERQual</w:t>
      </w:r>
      <w:proofErr w:type="spellEnd"/>
      <w:r w:rsidR="00E76014" w:rsidRPr="00732EED">
        <w:rPr>
          <w:sz w:val="18"/>
          <w:szCs w:val="18"/>
        </w:rPr>
        <w:t xml:space="preserve">/quality: </w:t>
      </w:r>
      <w:proofErr w:type="spellStart"/>
      <w:r w:rsidR="00E76014" w:rsidRPr="00732EED">
        <w:rPr>
          <w:sz w:val="18"/>
          <w:szCs w:val="18"/>
        </w:rPr>
        <w:t>CERQual</w:t>
      </w:r>
      <w:proofErr w:type="spellEnd"/>
      <w:r w:rsidR="00E76014" w:rsidRPr="00732EED">
        <w:rPr>
          <w:sz w:val="18"/>
          <w:szCs w:val="18"/>
        </w:rPr>
        <w:t xml:space="preserve"> levels and study quality were used to inform confidence statements in the synthesis but did not alter primary code assignment during Phase 1. See Supplementary Tables S3–S5 for full appraisals.</w:t>
      </w:r>
    </w:p>
    <w:p w14:paraId="5738D0CC" w14:textId="09F09401" w:rsidR="00994F9D" w:rsidRDefault="00994F9D" w:rsidP="00004370">
      <w:pPr>
        <w:rPr>
          <w:sz w:val="18"/>
          <w:szCs w:val="18"/>
        </w:rPr>
      </w:pPr>
      <w:r>
        <w:rPr>
          <w:sz w:val="18"/>
          <w:szCs w:val="18"/>
        </w:rPr>
        <w:br w:type="page"/>
      </w:r>
    </w:p>
    <w:p w14:paraId="65D3C575" w14:textId="09320446" w:rsidR="00004370" w:rsidRPr="00732EED" w:rsidRDefault="004F4FA7" w:rsidP="005F7C23">
      <w:pPr>
        <w:keepNext/>
        <w:keepLines/>
        <w:rPr>
          <w:b/>
          <w:bCs/>
          <w:sz w:val="18"/>
          <w:szCs w:val="18"/>
        </w:rPr>
      </w:pPr>
      <w:r w:rsidRPr="00732EED">
        <w:rPr>
          <w:b/>
          <w:bCs/>
          <w:sz w:val="18"/>
          <w:szCs w:val="18"/>
        </w:rPr>
        <w:lastRenderedPageBreak/>
        <w:t>Table S</w:t>
      </w:r>
      <w:r w:rsidR="000F2A82" w:rsidRPr="00732EED">
        <w:rPr>
          <w:b/>
          <w:bCs/>
          <w:sz w:val="18"/>
          <w:szCs w:val="18"/>
        </w:rPr>
        <w:t>8</w:t>
      </w:r>
      <w:r w:rsidRPr="00732EED">
        <w:rPr>
          <w:b/>
          <w:bCs/>
          <w:sz w:val="18"/>
          <w:szCs w:val="18"/>
        </w:rPr>
        <w:t>. Codebook Development</w:t>
      </w:r>
      <w:r w:rsidR="00E76014" w:rsidRPr="00732EED">
        <w:rPr>
          <w:b/>
          <w:bCs/>
          <w:sz w:val="18"/>
          <w:szCs w:val="18"/>
        </w:rPr>
        <w:t xml:space="preserve"> (Phase 1):</w:t>
      </w:r>
      <w:r w:rsidRPr="00732EED">
        <w:rPr>
          <w:b/>
          <w:bCs/>
          <w:sz w:val="18"/>
          <w:szCs w:val="18"/>
        </w:rPr>
        <w:t xml:space="preserve"> Definitions, Inclusion/Exclusion Criteria, Heuristic Rules, Example Studies*</w:t>
      </w:r>
    </w:p>
    <w:tbl>
      <w:tblPr>
        <w:tblStyle w:val="PlainTable1"/>
        <w:tblW w:w="5000" w:type="pct"/>
        <w:tblLook w:val="0420" w:firstRow="1" w:lastRow="0" w:firstColumn="0" w:lastColumn="0" w:noHBand="0" w:noVBand="1"/>
      </w:tblPr>
      <w:tblGrid>
        <w:gridCol w:w="3193"/>
        <w:gridCol w:w="2634"/>
        <w:gridCol w:w="1961"/>
        <w:gridCol w:w="2821"/>
        <w:gridCol w:w="1741"/>
        <w:gridCol w:w="1212"/>
      </w:tblGrid>
      <w:tr w:rsidR="004F4FA7" w:rsidRPr="00732EED" w14:paraId="177D0097" w14:textId="77777777" w:rsidTr="001F2CA8">
        <w:trPr>
          <w:cnfStyle w:val="100000000000" w:firstRow="1" w:lastRow="0" w:firstColumn="0" w:lastColumn="0" w:oddVBand="0" w:evenVBand="0" w:oddHBand="0" w:evenHBand="0" w:firstRowFirstColumn="0" w:firstRowLastColumn="0" w:lastRowFirstColumn="0" w:lastRowLastColumn="0"/>
        </w:trPr>
        <w:tc>
          <w:tcPr>
            <w:tcW w:w="1177" w:type="pct"/>
          </w:tcPr>
          <w:p w14:paraId="1307CFAB" w14:textId="77777777" w:rsidR="004F4FA7" w:rsidRPr="00732EED" w:rsidRDefault="004F4FA7" w:rsidP="004F4FA7">
            <w:pPr>
              <w:rPr>
                <w:sz w:val="18"/>
                <w:szCs w:val="18"/>
              </w:rPr>
            </w:pPr>
            <w:r w:rsidRPr="00732EED">
              <w:rPr>
                <w:sz w:val="18"/>
                <w:szCs w:val="18"/>
              </w:rPr>
              <w:t>Code/ Theme</w:t>
            </w:r>
          </w:p>
        </w:tc>
        <w:tc>
          <w:tcPr>
            <w:tcW w:w="971" w:type="pct"/>
          </w:tcPr>
          <w:p w14:paraId="2DB692A9" w14:textId="77777777" w:rsidR="004F4FA7" w:rsidRPr="00732EED" w:rsidRDefault="004F4FA7" w:rsidP="004F4FA7">
            <w:pPr>
              <w:rPr>
                <w:sz w:val="18"/>
                <w:szCs w:val="18"/>
              </w:rPr>
            </w:pPr>
            <w:r w:rsidRPr="00732EED">
              <w:rPr>
                <w:sz w:val="18"/>
                <w:szCs w:val="18"/>
              </w:rPr>
              <w:t>Definition</w:t>
            </w:r>
          </w:p>
        </w:tc>
        <w:tc>
          <w:tcPr>
            <w:tcW w:w="723" w:type="pct"/>
          </w:tcPr>
          <w:p w14:paraId="5025386F" w14:textId="77777777" w:rsidR="004F4FA7" w:rsidRPr="00732EED" w:rsidRDefault="004F4FA7" w:rsidP="004F4FA7">
            <w:pPr>
              <w:rPr>
                <w:sz w:val="18"/>
                <w:szCs w:val="18"/>
              </w:rPr>
            </w:pPr>
            <w:r w:rsidRPr="00732EED">
              <w:rPr>
                <w:sz w:val="18"/>
                <w:szCs w:val="18"/>
              </w:rPr>
              <w:t>Include</w:t>
            </w:r>
          </w:p>
        </w:tc>
        <w:tc>
          <w:tcPr>
            <w:tcW w:w="1040" w:type="pct"/>
          </w:tcPr>
          <w:p w14:paraId="3EF2C866" w14:textId="77777777" w:rsidR="004F4FA7" w:rsidRPr="00732EED" w:rsidRDefault="004F4FA7" w:rsidP="004F4FA7">
            <w:pPr>
              <w:rPr>
                <w:sz w:val="18"/>
                <w:szCs w:val="18"/>
              </w:rPr>
            </w:pPr>
            <w:r w:rsidRPr="00732EED">
              <w:rPr>
                <w:sz w:val="18"/>
                <w:szCs w:val="18"/>
              </w:rPr>
              <w:t>Exclude</w:t>
            </w:r>
          </w:p>
        </w:tc>
        <w:tc>
          <w:tcPr>
            <w:tcW w:w="642" w:type="pct"/>
          </w:tcPr>
          <w:p w14:paraId="02FED53D" w14:textId="77777777" w:rsidR="004F4FA7" w:rsidRPr="00732EED" w:rsidRDefault="004F4FA7" w:rsidP="004F4FA7">
            <w:pPr>
              <w:rPr>
                <w:sz w:val="18"/>
                <w:szCs w:val="18"/>
              </w:rPr>
            </w:pPr>
            <w:r w:rsidRPr="00732EED">
              <w:rPr>
                <w:sz w:val="18"/>
                <w:szCs w:val="18"/>
              </w:rPr>
              <w:t>Heuristics</w:t>
            </w:r>
          </w:p>
        </w:tc>
        <w:tc>
          <w:tcPr>
            <w:tcW w:w="448" w:type="pct"/>
          </w:tcPr>
          <w:p w14:paraId="05473305" w14:textId="77777777" w:rsidR="004F4FA7" w:rsidRPr="00732EED" w:rsidRDefault="004F4FA7" w:rsidP="004F4FA7">
            <w:pPr>
              <w:rPr>
                <w:sz w:val="18"/>
                <w:szCs w:val="18"/>
              </w:rPr>
            </w:pPr>
            <w:r w:rsidRPr="00732EED">
              <w:rPr>
                <w:sz w:val="18"/>
                <w:szCs w:val="18"/>
              </w:rPr>
              <w:t>Example studies</w:t>
            </w:r>
          </w:p>
        </w:tc>
      </w:tr>
      <w:tr w:rsidR="004F4FA7" w:rsidRPr="00732EED" w14:paraId="574B1FB4" w14:textId="77777777" w:rsidTr="001F2CA8">
        <w:trPr>
          <w:cnfStyle w:val="000000100000" w:firstRow="0" w:lastRow="0" w:firstColumn="0" w:lastColumn="0" w:oddVBand="0" w:evenVBand="0" w:oddHBand="1" w:evenHBand="0" w:firstRowFirstColumn="0" w:firstRowLastColumn="0" w:lastRowFirstColumn="0" w:lastRowLastColumn="0"/>
        </w:trPr>
        <w:tc>
          <w:tcPr>
            <w:tcW w:w="1177" w:type="pct"/>
          </w:tcPr>
          <w:p w14:paraId="318C6D0D" w14:textId="77777777" w:rsidR="004F4FA7" w:rsidRPr="00732EED" w:rsidRDefault="004F4FA7" w:rsidP="00DC5B3C">
            <w:pPr>
              <w:rPr>
                <w:sz w:val="18"/>
                <w:szCs w:val="18"/>
              </w:rPr>
            </w:pPr>
            <w:r w:rsidRPr="00732EED">
              <w:rPr>
                <w:sz w:val="18"/>
                <w:szCs w:val="18"/>
              </w:rPr>
              <w:t>Support System</w:t>
            </w:r>
          </w:p>
        </w:tc>
        <w:tc>
          <w:tcPr>
            <w:tcW w:w="971" w:type="pct"/>
          </w:tcPr>
          <w:p w14:paraId="73404BE5" w14:textId="77777777" w:rsidR="004F4FA7" w:rsidRPr="00732EED" w:rsidRDefault="004F4FA7" w:rsidP="00DC5B3C">
            <w:pPr>
              <w:rPr>
                <w:sz w:val="18"/>
                <w:szCs w:val="18"/>
              </w:rPr>
            </w:pPr>
            <w:r w:rsidRPr="00732EED">
              <w:rPr>
                <w:sz w:val="18"/>
                <w:szCs w:val="18"/>
              </w:rPr>
              <w:t>Emotional, practical, interpersonal, or communal support that helps individuals cope with chronic pain.</w:t>
            </w:r>
          </w:p>
        </w:tc>
        <w:tc>
          <w:tcPr>
            <w:tcW w:w="723" w:type="pct"/>
          </w:tcPr>
          <w:p w14:paraId="04AC9348" w14:textId="77777777" w:rsidR="004F4FA7" w:rsidRPr="00732EED" w:rsidRDefault="004F4FA7" w:rsidP="00DC5B3C">
            <w:pPr>
              <w:rPr>
                <w:sz w:val="18"/>
                <w:szCs w:val="18"/>
              </w:rPr>
            </w:pPr>
            <w:r w:rsidRPr="00732EED">
              <w:rPr>
                <w:sz w:val="18"/>
                <w:szCs w:val="18"/>
              </w:rPr>
              <w:t>Feeling helped, understood, accompanied, encouraged, or sustained by others.</w:t>
            </w:r>
          </w:p>
        </w:tc>
        <w:tc>
          <w:tcPr>
            <w:tcW w:w="1040" w:type="pct"/>
          </w:tcPr>
          <w:p w14:paraId="6B9AEF6B" w14:textId="77777777" w:rsidR="004F4FA7" w:rsidRPr="00732EED" w:rsidRDefault="004F4FA7" w:rsidP="00DC5B3C">
            <w:pPr>
              <w:rPr>
                <w:sz w:val="18"/>
                <w:szCs w:val="18"/>
              </w:rPr>
            </w:pPr>
            <w:r w:rsidRPr="00732EED">
              <w:rPr>
                <w:sz w:val="18"/>
                <w:szCs w:val="18"/>
              </w:rPr>
              <w:t>Formal treatment structure or service delivery better coded under Healthcare/System.</w:t>
            </w:r>
          </w:p>
        </w:tc>
        <w:tc>
          <w:tcPr>
            <w:tcW w:w="642" w:type="pct"/>
          </w:tcPr>
          <w:p w14:paraId="31DFD9E7" w14:textId="77777777" w:rsidR="004F4FA7" w:rsidRPr="00732EED" w:rsidRDefault="004F4FA7" w:rsidP="00DC5B3C">
            <w:pPr>
              <w:rPr>
                <w:sz w:val="18"/>
                <w:szCs w:val="18"/>
              </w:rPr>
            </w:pPr>
            <w:r w:rsidRPr="00732EED">
              <w:rPr>
                <w:sz w:val="18"/>
                <w:szCs w:val="18"/>
              </w:rPr>
              <w:t>If relationships buffer suffering, use this code.</w:t>
            </w:r>
          </w:p>
        </w:tc>
        <w:tc>
          <w:tcPr>
            <w:tcW w:w="448" w:type="pct"/>
          </w:tcPr>
          <w:p w14:paraId="73B73A79" w14:textId="77777777" w:rsidR="004F4FA7" w:rsidRPr="00732EED" w:rsidRDefault="004F4FA7" w:rsidP="00DC5B3C">
            <w:pPr>
              <w:rPr>
                <w:sz w:val="18"/>
                <w:szCs w:val="18"/>
              </w:rPr>
            </w:pPr>
            <w:r w:rsidRPr="00732EED">
              <w:rPr>
                <w:sz w:val="18"/>
                <w:szCs w:val="18"/>
              </w:rPr>
              <w:t>58, 77, 91</w:t>
            </w:r>
          </w:p>
        </w:tc>
      </w:tr>
      <w:tr w:rsidR="004F4FA7" w:rsidRPr="00732EED" w14:paraId="5567E2CF" w14:textId="77777777" w:rsidTr="001F2CA8">
        <w:tc>
          <w:tcPr>
            <w:tcW w:w="1177" w:type="pct"/>
          </w:tcPr>
          <w:p w14:paraId="780C1E05" w14:textId="77777777" w:rsidR="004F4FA7" w:rsidRPr="00732EED" w:rsidRDefault="004F4FA7" w:rsidP="00DC5B3C">
            <w:pPr>
              <w:rPr>
                <w:sz w:val="18"/>
                <w:szCs w:val="18"/>
              </w:rPr>
            </w:pPr>
            <w:r w:rsidRPr="00732EED">
              <w:rPr>
                <w:sz w:val="18"/>
                <w:szCs w:val="18"/>
              </w:rPr>
              <w:t>Access to Healthcare</w:t>
            </w:r>
          </w:p>
        </w:tc>
        <w:tc>
          <w:tcPr>
            <w:tcW w:w="971" w:type="pct"/>
          </w:tcPr>
          <w:p w14:paraId="03E899A9" w14:textId="77777777" w:rsidR="004F4FA7" w:rsidRPr="00732EED" w:rsidRDefault="004F4FA7" w:rsidP="00DC5B3C">
            <w:pPr>
              <w:rPr>
                <w:sz w:val="18"/>
                <w:szCs w:val="18"/>
              </w:rPr>
            </w:pPr>
            <w:r w:rsidRPr="00732EED">
              <w:rPr>
                <w:sz w:val="18"/>
                <w:szCs w:val="18"/>
              </w:rPr>
              <w:t>Socially mediated ability or inability to obtain care.</w:t>
            </w:r>
          </w:p>
        </w:tc>
        <w:tc>
          <w:tcPr>
            <w:tcW w:w="723" w:type="pct"/>
          </w:tcPr>
          <w:p w14:paraId="0D5B94FB" w14:textId="77777777" w:rsidR="004F4FA7" w:rsidRPr="00732EED" w:rsidRDefault="004F4FA7" w:rsidP="00DC5B3C">
            <w:pPr>
              <w:rPr>
                <w:sz w:val="18"/>
                <w:szCs w:val="18"/>
              </w:rPr>
            </w:pPr>
            <w:r w:rsidRPr="00732EED">
              <w:rPr>
                <w:sz w:val="18"/>
                <w:szCs w:val="18"/>
              </w:rPr>
              <w:t>Access shaped by family, migration, language, community, or social position.</w:t>
            </w:r>
          </w:p>
        </w:tc>
        <w:tc>
          <w:tcPr>
            <w:tcW w:w="1040" w:type="pct"/>
          </w:tcPr>
          <w:p w14:paraId="0D6F1796" w14:textId="77777777" w:rsidR="004F4FA7" w:rsidRPr="00732EED" w:rsidRDefault="004F4FA7" w:rsidP="00DC5B3C">
            <w:pPr>
              <w:rPr>
                <w:sz w:val="18"/>
                <w:szCs w:val="18"/>
              </w:rPr>
            </w:pPr>
            <w:r w:rsidRPr="00732EED">
              <w:rPr>
                <w:sz w:val="18"/>
                <w:szCs w:val="18"/>
              </w:rPr>
              <w:t>Waiting times, staffing, distance, or infrastructure barriers better coded as Access Barriers &amp; Logistics.</w:t>
            </w:r>
          </w:p>
        </w:tc>
        <w:tc>
          <w:tcPr>
            <w:tcW w:w="642" w:type="pct"/>
          </w:tcPr>
          <w:p w14:paraId="79E88405" w14:textId="77777777" w:rsidR="004F4FA7" w:rsidRPr="00732EED" w:rsidRDefault="004F4FA7" w:rsidP="00DC5B3C">
            <w:pPr>
              <w:rPr>
                <w:sz w:val="18"/>
                <w:szCs w:val="18"/>
              </w:rPr>
            </w:pPr>
            <w:r w:rsidRPr="00732EED">
              <w:rPr>
                <w:sz w:val="18"/>
                <w:szCs w:val="18"/>
              </w:rPr>
              <w:t>If access is experienced through the social world, use this code.</w:t>
            </w:r>
          </w:p>
        </w:tc>
        <w:tc>
          <w:tcPr>
            <w:tcW w:w="448" w:type="pct"/>
          </w:tcPr>
          <w:p w14:paraId="681DAC4D" w14:textId="77777777" w:rsidR="004F4FA7" w:rsidRPr="00732EED" w:rsidRDefault="004F4FA7" w:rsidP="00DC5B3C">
            <w:pPr>
              <w:rPr>
                <w:sz w:val="18"/>
                <w:szCs w:val="18"/>
              </w:rPr>
            </w:pPr>
            <w:r w:rsidRPr="00732EED">
              <w:rPr>
                <w:sz w:val="18"/>
                <w:szCs w:val="18"/>
              </w:rPr>
              <w:t>68, 87</w:t>
            </w:r>
          </w:p>
        </w:tc>
      </w:tr>
      <w:tr w:rsidR="004F4FA7" w:rsidRPr="00732EED" w14:paraId="5BF9BE77" w14:textId="77777777" w:rsidTr="001F2CA8">
        <w:trPr>
          <w:cnfStyle w:val="000000100000" w:firstRow="0" w:lastRow="0" w:firstColumn="0" w:lastColumn="0" w:oddVBand="0" w:evenVBand="0" w:oddHBand="1" w:evenHBand="0" w:firstRowFirstColumn="0" w:firstRowLastColumn="0" w:lastRowFirstColumn="0" w:lastRowLastColumn="0"/>
        </w:trPr>
        <w:tc>
          <w:tcPr>
            <w:tcW w:w="1177" w:type="pct"/>
          </w:tcPr>
          <w:p w14:paraId="0D74FB11" w14:textId="77777777" w:rsidR="004F4FA7" w:rsidRPr="00732EED" w:rsidRDefault="004F4FA7" w:rsidP="00DC5B3C">
            <w:pPr>
              <w:rPr>
                <w:sz w:val="18"/>
                <w:szCs w:val="18"/>
              </w:rPr>
            </w:pPr>
            <w:r w:rsidRPr="00732EED">
              <w:rPr>
                <w:sz w:val="18"/>
                <w:szCs w:val="18"/>
              </w:rPr>
              <w:t>Isolation</w:t>
            </w:r>
          </w:p>
        </w:tc>
        <w:tc>
          <w:tcPr>
            <w:tcW w:w="971" w:type="pct"/>
          </w:tcPr>
          <w:p w14:paraId="5BD062D0" w14:textId="77777777" w:rsidR="004F4FA7" w:rsidRPr="00732EED" w:rsidRDefault="004F4FA7" w:rsidP="00DC5B3C">
            <w:pPr>
              <w:rPr>
                <w:sz w:val="18"/>
                <w:szCs w:val="18"/>
              </w:rPr>
            </w:pPr>
            <w:r w:rsidRPr="00732EED">
              <w:rPr>
                <w:sz w:val="18"/>
                <w:szCs w:val="18"/>
              </w:rPr>
              <w:t>Loneliness, withdrawal, exclusion, disconnection, or reduced social participation.</w:t>
            </w:r>
          </w:p>
        </w:tc>
        <w:tc>
          <w:tcPr>
            <w:tcW w:w="723" w:type="pct"/>
          </w:tcPr>
          <w:p w14:paraId="646BA2C5" w14:textId="77777777" w:rsidR="004F4FA7" w:rsidRPr="00732EED" w:rsidRDefault="004F4FA7" w:rsidP="00DC5B3C">
            <w:pPr>
              <w:rPr>
                <w:sz w:val="18"/>
                <w:szCs w:val="18"/>
              </w:rPr>
            </w:pPr>
            <w:r w:rsidRPr="00732EED">
              <w:rPr>
                <w:sz w:val="18"/>
                <w:szCs w:val="18"/>
              </w:rPr>
              <w:t>Loss of contact, loneliness, social withdrawal, feeling alone with pain.</w:t>
            </w:r>
          </w:p>
        </w:tc>
        <w:tc>
          <w:tcPr>
            <w:tcW w:w="1040" w:type="pct"/>
          </w:tcPr>
          <w:p w14:paraId="10505E46" w14:textId="77777777" w:rsidR="004F4FA7" w:rsidRPr="00732EED" w:rsidRDefault="004F4FA7" w:rsidP="00DC5B3C">
            <w:pPr>
              <w:rPr>
                <w:sz w:val="18"/>
                <w:szCs w:val="18"/>
              </w:rPr>
            </w:pPr>
            <w:r w:rsidRPr="00732EED">
              <w:rPr>
                <w:sz w:val="18"/>
                <w:szCs w:val="18"/>
              </w:rPr>
              <w:t>Deliberate concealment better coded as Avoidance &amp; Silence.</w:t>
            </w:r>
          </w:p>
        </w:tc>
        <w:tc>
          <w:tcPr>
            <w:tcW w:w="642" w:type="pct"/>
          </w:tcPr>
          <w:p w14:paraId="763D5CD2" w14:textId="77777777" w:rsidR="004F4FA7" w:rsidRPr="00732EED" w:rsidRDefault="004F4FA7" w:rsidP="00DC5B3C">
            <w:pPr>
              <w:rPr>
                <w:sz w:val="18"/>
                <w:szCs w:val="18"/>
              </w:rPr>
            </w:pPr>
            <w:r w:rsidRPr="00732EED">
              <w:rPr>
                <w:sz w:val="18"/>
                <w:szCs w:val="18"/>
              </w:rPr>
              <w:t>If pain separates the person from ordinary social life, use this code.</w:t>
            </w:r>
          </w:p>
        </w:tc>
        <w:tc>
          <w:tcPr>
            <w:tcW w:w="448" w:type="pct"/>
          </w:tcPr>
          <w:p w14:paraId="2B1EE9BD" w14:textId="77777777" w:rsidR="004F4FA7" w:rsidRPr="00732EED" w:rsidRDefault="004F4FA7" w:rsidP="00DC5B3C">
            <w:pPr>
              <w:rPr>
                <w:sz w:val="18"/>
                <w:szCs w:val="18"/>
              </w:rPr>
            </w:pPr>
            <w:r w:rsidRPr="00732EED">
              <w:rPr>
                <w:sz w:val="18"/>
                <w:szCs w:val="18"/>
              </w:rPr>
              <w:t>1, 18, 74, 89</w:t>
            </w:r>
          </w:p>
        </w:tc>
      </w:tr>
      <w:tr w:rsidR="004F4FA7" w:rsidRPr="00732EED" w14:paraId="43874A70"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170CCE06" w14:textId="77777777" w:rsidR="004F4FA7" w:rsidRPr="00732EED" w:rsidRDefault="004F4FA7" w:rsidP="00DC5B3C">
            <w:pPr>
              <w:rPr>
                <w:b w:val="0"/>
                <w:bCs w:val="0"/>
                <w:sz w:val="18"/>
                <w:szCs w:val="18"/>
              </w:rPr>
            </w:pPr>
            <w:r w:rsidRPr="00732EED">
              <w:rPr>
                <w:b w:val="0"/>
                <w:bCs w:val="0"/>
                <w:sz w:val="18"/>
                <w:szCs w:val="18"/>
              </w:rPr>
              <w:t>Family Dynamics</w:t>
            </w:r>
          </w:p>
        </w:tc>
        <w:tc>
          <w:tcPr>
            <w:tcW w:w="971" w:type="pct"/>
          </w:tcPr>
          <w:p w14:paraId="61487A25"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Effects of chronic pain on family relationships, caregiving, reciprocity, intimacy, and household roles.</w:t>
            </w:r>
          </w:p>
        </w:tc>
        <w:tc>
          <w:tcPr>
            <w:tcW w:w="723" w:type="pct"/>
          </w:tcPr>
          <w:p w14:paraId="3482BF99"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Family strain, altered family roles, dependence, caregiving burden, household disruption.</w:t>
            </w:r>
          </w:p>
        </w:tc>
        <w:tc>
          <w:tcPr>
            <w:tcW w:w="1040" w:type="pct"/>
          </w:tcPr>
          <w:p w14:paraId="16FD287A"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Broader social support not centered on family.</w:t>
            </w:r>
          </w:p>
        </w:tc>
        <w:tc>
          <w:tcPr>
            <w:tcW w:w="642" w:type="pct"/>
          </w:tcPr>
          <w:p w14:paraId="09068646"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family is the key relational unit, use this code.</w:t>
            </w:r>
          </w:p>
        </w:tc>
        <w:tc>
          <w:tcPr>
            <w:tcW w:w="448" w:type="pct"/>
          </w:tcPr>
          <w:p w14:paraId="5A59D683"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24, 31, 56, 71</w:t>
            </w:r>
          </w:p>
        </w:tc>
      </w:tr>
      <w:tr w:rsidR="004F4FA7" w:rsidRPr="00732EED" w14:paraId="05F37B2E"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383F8547" w14:textId="77777777" w:rsidR="004F4FA7" w:rsidRPr="00732EED" w:rsidRDefault="004F4FA7" w:rsidP="00DC5B3C">
            <w:pPr>
              <w:rPr>
                <w:b w:val="0"/>
                <w:bCs w:val="0"/>
                <w:sz w:val="18"/>
                <w:szCs w:val="18"/>
              </w:rPr>
            </w:pPr>
            <w:r w:rsidRPr="00732EED">
              <w:rPr>
                <w:b w:val="0"/>
                <w:bCs w:val="0"/>
                <w:sz w:val="18"/>
                <w:szCs w:val="18"/>
              </w:rPr>
              <w:t>Work &amp; Return to Work</w:t>
            </w:r>
          </w:p>
        </w:tc>
        <w:tc>
          <w:tcPr>
            <w:tcW w:w="971" w:type="pct"/>
          </w:tcPr>
          <w:p w14:paraId="77E8BF6B"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impact of pain on employment, occupational identity, work ability, or return to work.</w:t>
            </w:r>
          </w:p>
        </w:tc>
        <w:tc>
          <w:tcPr>
            <w:tcW w:w="723" w:type="pct"/>
          </w:tcPr>
          <w:p w14:paraId="370468C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Job loss, reduced work capacity, difficulty sustaining employment, return-to-work issues.</w:t>
            </w:r>
          </w:p>
        </w:tc>
        <w:tc>
          <w:tcPr>
            <w:tcW w:w="1040" w:type="pct"/>
          </w:tcPr>
          <w:p w14:paraId="3F346C5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 workplace adaptation as primary issue, better coded under Home/Work Environment Adaptations.</w:t>
            </w:r>
          </w:p>
        </w:tc>
        <w:tc>
          <w:tcPr>
            <w:tcW w:w="642" w:type="pct"/>
          </w:tcPr>
          <w:p w14:paraId="592D1B7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work role is central, use this code.</w:t>
            </w:r>
          </w:p>
        </w:tc>
        <w:tc>
          <w:tcPr>
            <w:tcW w:w="448" w:type="pct"/>
          </w:tcPr>
          <w:p w14:paraId="3283D0F1"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38, 46, 73, 84, 94</w:t>
            </w:r>
          </w:p>
        </w:tc>
      </w:tr>
      <w:tr w:rsidR="004F4FA7" w:rsidRPr="00732EED" w14:paraId="68B70A24"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68C94E14" w14:textId="77777777" w:rsidR="004F4FA7" w:rsidRPr="00732EED" w:rsidRDefault="004F4FA7" w:rsidP="00DC5B3C">
            <w:pPr>
              <w:rPr>
                <w:b w:val="0"/>
                <w:bCs w:val="0"/>
                <w:sz w:val="18"/>
                <w:szCs w:val="18"/>
              </w:rPr>
            </w:pPr>
            <w:r w:rsidRPr="00732EED">
              <w:rPr>
                <w:b w:val="0"/>
                <w:bCs w:val="0"/>
                <w:sz w:val="18"/>
                <w:szCs w:val="18"/>
              </w:rPr>
              <w:t>Communication</w:t>
            </w:r>
          </w:p>
        </w:tc>
        <w:tc>
          <w:tcPr>
            <w:tcW w:w="971" w:type="pct"/>
          </w:tcPr>
          <w:p w14:paraId="0DC54237"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Difficulty or facilitation in describing pain, being understood, or exchanging meaning about pain.</w:t>
            </w:r>
          </w:p>
        </w:tc>
        <w:tc>
          <w:tcPr>
            <w:tcW w:w="723" w:type="pct"/>
          </w:tcPr>
          <w:p w14:paraId="6389EF8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Problems expressing pain, narrative difficulty, communication barriers, being unable to explain pain.</w:t>
            </w:r>
          </w:p>
        </w:tc>
        <w:tc>
          <w:tcPr>
            <w:tcW w:w="1040" w:type="pct"/>
          </w:tcPr>
          <w:p w14:paraId="3DB5F231"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Not being believed, when legitimacy is central, better coded as Validation vs Dismissal.</w:t>
            </w:r>
          </w:p>
        </w:tc>
        <w:tc>
          <w:tcPr>
            <w:tcW w:w="642" w:type="pct"/>
          </w:tcPr>
          <w:p w14:paraId="081922D6"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the issue is expression rather than legitimacy, use this code.</w:t>
            </w:r>
          </w:p>
        </w:tc>
        <w:tc>
          <w:tcPr>
            <w:tcW w:w="448" w:type="pct"/>
          </w:tcPr>
          <w:p w14:paraId="475A27D6"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4, 17</w:t>
            </w:r>
          </w:p>
        </w:tc>
      </w:tr>
      <w:tr w:rsidR="004F4FA7" w:rsidRPr="00732EED" w14:paraId="72DB81DF"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510CF945" w14:textId="77777777" w:rsidR="004F4FA7" w:rsidRPr="00732EED" w:rsidRDefault="004F4FA7" w:rsidP="00DC5B3C">
            <w:pPr>
              <w:rPr>
                <w:b w:val="0"/>
                <w:bCs w:val="0"/>
                <w:sz w:val="18"/>
                <w:szCs w:val="18"/>
              </w:rPr>
            </w:pPr>
            <w:r w:rsidRPr="00732EED">
              <w:rPr>
                <w:b w:val="0"/>
                <w:bCs w:val="0"/>
                <w:sz w:val="18"/>
                <w:szCs w:val="18"/>
              </w:rPr>
              <w:t>Expectations &amp; Roles</w:t>
            </w:r>
          </w:p>
        </w:tc>
        <w:tc>
          <w:tcPr>
            <w:tcW w:w="971" w:type="pct"/>
          </w:tcPr>
          <w:p w14:paraId="79C39F02"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obligations and role expectations tied to normalcy, productivity, age, or relational duties.</w:t>
            </w:r>
          </w:p>
        </w:tc>
        <w:tc>
          <w:tcPr>
            <w:tcW w:w="723" w:type="pct"/>
          </w:tcPr>
          <w:p w14:paraId="60B812D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Pressure to appear normal, meet obligations, remain productive, or fulfill expected roles.</w:t>
            </w:r>
          </w:p>
        </w:tc>
        <w:tc>
          <w:tcPr>
            <w:tcW w:w="1040" w:type="pct"/>
          </w:tcPr>
          <w:p w14:paraId="10B80A3E"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Explicitly gendered role expectations better coded under Gender Norms &amp; Roles.</w:t>
            </w:r>
          </w:p>
        </w:tc>
        <w:tc>
          <w:tcPr>
            <w:tcW w:w="642" w:type="pct"/>
          </w:tcPr>
          <w:p w14:paraId="7F6DA63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pain is experienced as conflict with social expectations, use this code.</w:t>
            </w:r>
          </w:p>
        </w:tc>
        <w:tc>
          <w:tcPr>
            <w:tcW w:w="448" w:type="pct"/>
          </w:tcPr>
          <w:p w14:paraId="2C8E86F0"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38, 85, 90</w:t>
            </w:r>
          </w:p>
        </w:tc>
      </w:tr>
      <w:tr w:rsidR="004F4FA7" w:rsidRPr="00732EED" w14:paraId="48F86D0F"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6A123C4C" w14:textId="77777777" w:rsidR="004F4FA7" w:rsidRPr="00732EED" w:rsidRDefault="004F4FA7" w:rsidP="00DC5B3C">
            <w:pPr>
              <w:rPr>
                <w:b w:val="0"/>
                <w:bCs w:val="0"/>
                <w:sz w:val="18"/>
                <w:szCs w:val="18"/>
              </w:rPr>
            </w:pPr>
            <w:r w:rsidRPr="00732EED">
              <w:rPr>
                <w:b w:val="0"/>
                <w:bCs w:val="0"/>
                <w:sz w:val="18"/>
                <w:szCs w:val="18"/>
              </w:rPr>
              <w:t>Health Inequities</w:t>
            </w:r>
          </w:p>
        </w:tc>
        <w:tc>
          <w:tcPr>
            <w:tcW w:w="971" w:type="pct"/>
          </w:tcPr>
          <w:p w14:paraId="58A02C37"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Unequal pain or care experiences linked to social disadvantage or discrimination.</w:t>
            </w:r>
          </w:p>
        </w:tc>
        <w:tc>
          <w:tcPr>
            <w:tcW w:w="723" w:type="pct"/>
          </w:tcPr>
          <w:p w14:paraId="13CD167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Marginalization, structural bias, underserved status, patterned disadvantage.</w:t>
            </w:r>
          </w:p>
        </w:tc>
        <w:tc>
          <w:tcPr>
            <w:tcW w:w="1040" w:type="pct"/>
          </w:tcPr>
          <w:p w14:paraId="3DE2CC6F"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Generic poor care without inequity dimension.</w:t>
            </w:r>
          </w:p>
        </w:tc>
        <w:tc>
          <w:tcPr>
            <w:tcW w:w="642" w:type="pct"/>
          </w:tcPr>
          <w:p w14:paraId="40C9A0EE"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disadvantage is systematic rather than incidental, use this code.</w:t>
            </w:r>
          </w:p>
        </w:tc>
        <w:tc>
          <w:tcPr>
            <w:tcW w:w="448" w:type="pct"/>
          </w:tcPr>
          <w:p w14:paraId="122FA5CD"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70, 88</w:t>
            </w:r>
          </w:p>
        </w:tc>
      </w:tr>
      <w:tr w:rsidR="004F4FA7" w:rsidRPr="00732EED" w14:paraId="69A904CE"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7D7CAC24" w14:textId="77777777" w:rsidR="004F4FA7" w:rsidRPr="00732EED" w:rsidRDefault="004F4FA7" w:rsidP="00DC5B3C">
            <w:pPr>
              <w:rPr>
                <w:b w:val="0"/>
                <w:bCs w:val="0"/>
                <w:sz w:val="18"/>
                <w:szCs w:val="18"/>
              </w:rPr>
            </w:pPr>
            <w:r w:rsidRPr="00732EED">
              <w:rPr>
                <w:b w:val="0"/>
                <w:bCs w:val="0"/>
                <w:sz w:val="18"/>
                <w:szCs w:val="18"/>
              </w:rPr>
              <w:t>Peer &amp; Online Communities</w:t>
            </w:r>
          </w:p>
        </w:tc>
        <w:tc>
          <w:tcPr>
            <w:tcW w:w="971" w:type="pct"/>
          </w:tcPr>
          <w:p w14:paraId="32E4DD2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normalization, learning, identity, or belonging through peers or online spaces.</w:t>
            </w:r>
          </w:p>
        </w:tc>
        <w:tc>
          <w:tcPr>
            <w:tcW w:w="723" w:type="pct"/>
          </w:tcPr>
          <w:p w14:paraId="11053FF2"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Peer groups, online communities, connection with similar others, mutual learning.</w:t>
            </w:r>
          </w:p>
        </w:tc>
        <w:tc>
          <w:tcPr>
            <w:tcW w:w="1040" w:type="pct"/>
          </w:tcPr>
          <w:p w14:paraId="1172D66C"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Broader digital ecosystems better coded as Digital &amp; Participatory Ecologies.</w:t>
            </w:r>
          </w:p>
        </w:tc>
        <w:tc>
          <w:tcPr>
            <w:tcW w:w="642" w:type="pct"/>
          </w:tcPr>
          <w:p w14:paraId="7D98A6DA"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“others like me” are central, use this code.</w:t>
            </w:r>
          </w:p>
        </w:tc>
        <w:tc>
          <w:tcPr>
            <w:tcW w:w="448" w:type="pct"/>
          </w:tcPr>
          <w:p w14:paraId="6445ED2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12, 16, 17, 60</w:t>
            </w:r>
          </w:p>
        </w:tc>
      </w:tr>
      <w:tr w:rsidR="004F4FA7" w:rsidRPr="00732EED" w14:paraId="13CA5C88"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142A3FC9" w14:textId="77777777" w:rsidR="004F4FA7" w:rsidRPr="00732EED" w:rsidRDefault="004F4FA7" w:rsidP="00DC5B3C">
            <w:pPr>
              <w:rPr>
                <w:b w:val="0"/>
                <w:bCs w:val="0"/>
                <w:sz w:val="18"/>
                <w:szCs w:val="18"/>
              </w:rPr>
            </w:pPr>
            <w:r w:rsidRPr="00732EED">
              <w:rPr>
                <w:b w:val="0"/>
                <w:bCs w:val="0"/>
                <w:sz w:val="18"/>
                <w:szCs w:val="18"/>
              </w:rPr>
              <w:t>Pain &amp; Symptom Burden</w:t>
            </w:r>
          </w:p>
        </w:tc>
        <w:tc>
          <w:tcPr>
            <w:tcW w:w="971" w:type="pct"/>
          </w:tcPr>
          <w:p w14:paraId="33DDB98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bodily weight of pain and associated symptoms.</w:t>
            </w:r>
          </w:p>
        </w:tc>
        <w:tc>
          <w:tcPr>
            <w:tcW w:w="723" w:type="pct"/>
          </w:tcPr>
          <w:p w14:paraId="5C23D3D3"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Severity, persistence, fatigue, bodily </w:t>
            </w:r>
            <w:r w:rsidRPr="00732EED">
              <w:rPr>
                <w:sz w:val="18"/>
                <w:szCs w:val="18"/>
              </w:rPr>
              <w:lastRenderedPageBreak/>
              <w:t>suffering, symptom load.</w:t>
            </w:r>
          </w:p>
        </w:tc>
        <w:tc>
          <w:tcPr>
            <w:tcW w:w="1040" w:type="pct"/>
          </w:tcPr>
          <w:p w14:paraId="658226AF"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Figurative or metaphorical pain description better coded as Sensory Qualities &amp; Metaphors.</w:t>
            </w:r>
          </w:p>
        </w:tc>
        <w:tc>
          <w:tcPr>
            <w:tcW w:w="642" w:type="pct"/>
          </w:tcPr>
          <w:p w14:paraId="4D12EA0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the main emphasis is how bad the body feels, use this code.</w:t>
            </w:r>
          </w:p>
        </w:tc>
        <w:tc>
          <w:tcPr>
            <w:tcW w:w="448" w:type="pct"/>
          </w:tcPr>
          <w:p w14:paraId="69A9024E"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10, 30, 42, 47, 94</w:t>
            </w:r>
          </w:p>
        </w:tc>
      </w:tr>
      <w:tr w:rsidR="004F4FA7" w:rsidRPr="00732EED" w14:paraId="7E44804E"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554C79FD" w14:textId="77777777" w:rsidR="004F4FA7" w:rsidRPr="00732EED" w:rsidRDefault="004F4FA7" w:rsidP="00DC5B3C">
            <w:pPr>
              <w:rPr>
                <w:b w:val="0"/>
                <w:bCs w:val="0"/>
                <w:sz w:val="18"/>
                <w:szCs w:val="18"/>
              </w:rPr>
            </w:pPr>
            <w:r w:rsidRPr="00732EED">
              <w:rPr>
                <w:b w:val="0"/>
                <w:bCs w:val="0"/>
                <w:sz w:val="18"/>
                <w:szCs w:val="18"/>
              </w:rPr>
              <w:t>Activity &amp; Pacing</w:t>
            </w:r>
          </w:p>
        </w:tc>
        <w:tc>
          <w:tcPr>
            <w:tcW w:w="971" w:type="pct"/>
          </w:tcPr>
          <w:p w14:paraId="71F0BBAB"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Balancing exertion, rest, movement, exercise, and energy use in relation to pain.</w:t>
            </w:r>
          </w:p>
        </w:tc>
        <w:tc>
          <w:tcPr>
            <w:tcW w:w="723" w:type="pct"/>
          </w:tcPr>
          <w:p w14:paraId="3B5C8A61"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Pacing, balancing activity and rest, regulating movement, exertion management.</w:t>
            </w:r>
          </w:p>
        </w:tc>
        <w:tc>
          <w:tcPr>
            <w:tcW w:w="1040" w:type="pct"/>
          </w:tcPr>
          <w:p w14:paraId="68357D6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General incapacity without regulation attempt, better coded as Limitations &amp; Disability.</w:t>
            </w:r>
          </w:p>
        </w:tc>
        <w:tc>
          <w:tcPr>
            <w:tcW w:w="642" w:type="pct"/>
          </w:tcPr>
          <w:p w14:paraId="6719EF20"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the finding is about managing effort, use this code.</w:t>
            </w:r>
          </w:p>
        </w:tc>
        <w:tc>
          <w:tcPr>
            <w:tcW w:w="448" w:type="pct"/>
          </w:tcPr>
          <w:p w14:paraId="68F79CBA"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1, 39, 69</w:t>
            </w:r>
          </w:p>
        </w:tc>
      </w:tr>
      <w:tr w:rsidR="004F4FA7" w:rsidRPr="00732EED" w14:paraId="61B9A851"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24FB3064" w14:textId="77777777" w:rsidR="004F4FA7" w:rsidRPr="00732EED" w:rsidRDefault="004F4FA7" w:rsidP="00DC5B3C">
            <w:pPr>
              <w:rPr>
                <w:b w:val="0"/>
                <w:bCs w:val="0"/>
                <w:sz w:val="18"/>
                <w:szCs w:val="18"/>
              </w:rPr>
            </w:pPr>
            <w:r w:rsidRPr="00732EED">
              <w:rPr>
                <w:b w:val="0"/>
                <w:bCs w:val="0"/>
                <w:sz w:val="18"/>
                <w:szCs w:val="18"/>
              </w:rPr>
              <w:t>Limitations &amp; Disability</w:t>
            </w:r>
          </w:p>
        </w:tc>
        <w:tc>
          <w:tcPr>
            <w:tcW w:w="971" w:type="pct"/>
          </w:tcPr>
          <w:p w14:paraId="537C3023"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Functional restriction and inability to perform routine activities.</w:t>
            </w:r>
          </w:p>
        </w:tc>
        <w:tc>
          <w:tcPr>
            <w:tcW w:w="723" w:type="pct"/>
          </w:tcPr>
          <w:p w14:paraId="5E4F975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Restricted functioning, inability to do daily tasks, bodily incapacity, loss of function.</w:t>
            </w:r>
          </w:p>
        </w:tc>
        <w:tc>
          <w:tcPr>
            <w:tcW w:w="1040" w:type="pct"/>
          </w:tcPr>
          <w:p w14:paraId="2E6CC7C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Preserving independence as primary issue, better coded as Autonomy &amp; Independence.</w:t>
            </w:r>
          </w:p>
        </w:tc>
        <w:tc>
          <w:tcPr>
            <w:tcW w:w="642" w:type="pct"/>
          </w:tcPr>
          <w:p w14:paraId="1E3916D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the body cannot do expected tasks, use this code.</w:t>
            </w:r>
          </w:p>
        </w:tc>
        <w:tc>
          <w:tcPr>
            <w:tcW w:w="448" w:type="pct"/>
          </w:tcPr>
          <w:p w14:paraId="0F2D8E5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21, 31, 52</w:t>
            </w:r>
          </w:p>
        </w:tc>
      </w:tr>
      <w:tr w:rsidR="004F4FA7" w:rsidRPr="00732EED" w14:paraId="0CD00D88"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2A7B2509" w14:textId="77777777" w:rsidR="004F4FA7" w:rsidRPr="00732EED" w:rsidRDefault="004F4FA7" w:rsidP="00DC5B3C">
            <w:pPr>
              <w:rPr>
                <w:b w:val="0"/>
                <w:bCs w:val="0"/>
                <w:sz w:val="18"/>
                <w:szCs w:val="18"/>
              </w:rPr>
            </w:pPr>
            <w:r w:rsidRPr="00732EED">
              <w:rPr>
                <w:b w:val="0"/>
                <w:bCs w:val="0"/>
                <w:sz w:val="18"/>
                <w:szCs w:val="18"/>
              </w:rPr>
              <w:t>Fluctuation/Unpredictability</w:t>
            </w:r>
          </w:p>
        </w:tc>
        <w:tc>
          <w:tcPr>
            <w:tcW w:w="971" w:type="pct"/>
          </w:tcPr>
          <w:p w14:paraId="51489C8A"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Instability and inconsistency in symptoms or bodily capacity.</w:t>
            </w:r>
          </w:p>
        </w:tc>
        <w:tc>
          <w:tcPr>
            <w:tcW w:w="723" w:type="pct"/>
          </w:tcPr>
          <w:p w14:paraId="69AA44E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Good days/bad days, flare-ups, unpredictability, unstable functioning.</w:t>
            </w:r>
          </w:p>
        </w:tc>
        <w:tc>
          <w:tcPr>
            <w:tcW w:w="1040" w:type="pct"/>
          </w:tcPr>
          <w:p w14:paraId="44224BE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Conceptual uncertainty about the illness better coded as Illness Representations/Models.</w:t>
            </w:r>
          </w:p>
        </w:tc>
        <w:tc>
          <w:tcPr>
            <w:tcW w:w="642" w:type="pct"/>
          </w:tcPr>
          <w:p w14:paraId="72C6ABAA"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the body is unreliable in lived experience, use this code.</w:t>
            </w:r>
          </w:p>
        </w:tc>
        <w:tc>
          <w:tcPr>
            <w:tcW w:w="448" w:type="pct"/>
          </w:tcPr>
          <w:p w14:paraId="4AB4954A"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1, 39, 69</w:t>
            </w:r>
          </w:p>
        </w:tc>
      </w:tr>
      <w:tr w:rsidR="004F4FA7" w:rsidRPr="00732EED" w14:paraId="2E8BE4E4"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24A3BF20" w14:textId="77777777" w:rsidR="004F4FA7" w:rsidRPr="00732EED" w:rsidRDefault="004F4FA7" w:rsidP="00DC5B3C">
            <w:pPr>
              <w:rPr>
                <w:b w:val="0"/>
                <w:bCs w:val="0"/>
                <w:sz w:val="18"/>
                <w:szCs w:val="18"/>
              </w:rPr>
            </w:pPr>
            <w:r w:rsidRPr="00732EED">
              <w:rPr>
                <w:b w:val="0"/>
                <w:bCs w:val="0"/>
                <w:sz w:val="18"/>
                <w:szCs w:val="18"/>
              </w:rPr>
              <w:t>Autonomy &amp; Independence</w:t>
            </w:r>
          </w:p>
        </w:tc>
        <w:tc>
          <w:tcPr>
            <w:tcW w:w="971" w:type="pct"/>
          </w:tcPr>
          <w:p w14:paraId="38E7E24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Bodily self-sufficiency and freedom from dependence.</w:t>
            </w:r>
          </w:p>
        </w:tc>
        <w:tc>
          <w:tcPr>
            <w:tcW w:w="723" w:type="pct"/>
          </w:tcPr>
          <w:p w14:paraId="32DF90DC"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Threatened independence, fear of dependence, need for self-sufficiency.</w:t>
            </w:r>
          </w:p>
        </w:tc>
        <w:tc>
          <w:tcPr>
            <w:tcW w:w="1040" w:type="pct"/>
          </w:tcPr>
          <w:p w14:paraId="45C5191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 agency without functional independence theme, better coded as Empowerment &amp; Agency.</w:t>
            </w:r>
          </w:p>
        </w:tc>
        <w:tc>
          <w:tcPr>
            <w:tcW w:w="642" w:type="pct"/>
          </w:tcPr>
          <w:p w14:paraId="355F968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dependence is the main threat, use this code.</w:t>
            </w:r>
          </w:p>
        </w:tc>
        <w:tc>
          <w:tcPr>
            <w:tcW w:w="448" w:type="pct"/>
          </w:tcPr>
          <w:p w14:paraId="2F1E0AAA"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8, 48, 77, 93</w:t>
            </w:r>
          </w:p>
        </w:tc>
      </w:tr>
      <w:tr w:rsidR="004F4FA7" w:rsidRPr="00732EED" w14:paraId="470DFF2F"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47D8BD18" w14:textId="77777777" w:rsidR="004F4FA7" w:rsidRPr="00732EED" w:rsidRDefault="004F4FA7" w:rsidP="00DC5B3C">
            <w:pPr>
              <w:rPr>
                <w:b w:val="0"/>
                <w:bCs w:val="0"/>
                <w:sz w:val="18"/>
                <w:szCs w:val="18"/>
              </w:rPr>
            </w:pPr>
            <w:r w:rsidRPr="00732EED">
              <w:rPr>
                <w:b w:val="0"/>
                <w:bCs w:val="0"/>
                <w:sz w:val="18"/>
                <w:szCs w:val="18"/>
              </w:rPr>
              <w:t>Depression &amp; Hopelessness</w:t>
            </w:r>
          </w:p>
        </w:tc>
        <w:tc>
          <w:tcPr>
            <w:tcW w:w="971" w:type="pct"/>
          </w:tcPr>
          <w:p w14:paraId="60DB1962"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Despair, helplessness, sadness, emotional depletion, or hopelessness related to pain.</w:t>
            </w:r>
          </w:p>
        </w:tc>
        <w:tc>
          <w:tcPr>
            <w:tcW w:w="723" w:type="pct"/>
          </w:tcPr>
          <w:p w14:paraId="5069B25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Hopelessness, low mood, despair, trapped feelings, emotional burden with depressive tone.</w:t>
            </w:r>
          </w:p>
        </w:tc>
        <w:tc>
          <w:tcPr>
            <w:tcW w:w="1040" w:type="pct"/>
          </w:tcPr>
          <w:p w14:paraId="01ECC45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Explicit suicidality, better coded separately.</w:t>
            </w:r>
          </w:p>
        </w:tc>
        <w:tc>
          <w:tcPr>
            <w:tcW w:w="642" w:type="pct"/>
          </w:tcPr>
          <w:p w14:paraId="7334678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the dominant emotion is despair, use this code.</w:t>
            </w:r>
          </w:p>
        </w:tc>
        <w:tc>
          <w:tcPr>
            <w:tcW w:w="448" w:type="pct"/>
          </w:tcPr>
          <w:p w14:paraId="3C73F1B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15, 31, 64, 91</w:t>
            </w:r>
          </w:p>
        </w:tc>
      </w:tr>
      <w:tr w:rsidR="004F4FA7" w:rsidRPr="00732EED" w14:paraId="5FE1EEC2"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7F037CE5" w14:textId="77777777" w:rsidR="004F4FA7" w:rsidRPr="00732EED" w:rsidRDefault="004F4FA7" w:rsidP="00DC5B3C">
            <w:pPr>
              <w:rPr>
                <w:b w:val="0"/>
                <w:bCs w:val="0"/>
                <w:sz w:val="18"/>
                <w:szCs w:val="18"/>
              </w:rPr>
            </w:pPr>
            <w:r w:rsidRPr="00732EED">
              <w:rPr>
                <w:b w:val="0"/>
                <w:bCs w:val="0"/>
                <w:sz w:val="18"/>
                <w:szCs w:val="18"/>
              </w:rPr>
              <w:t>Anxiety &amp; Fear</w:t>
            </w:r>
          </w:p>
        </w:tc>
        <w:tc>
          <w:tcPr>
            <w:tcW w:w="971" w:type="pct"/>
          </w:tcPr>
          <w:p w14:paraId="43DB60B1"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Apprehension, uncertainty, anticipatory worry, or fear linked to pain or decline.</w:t>
            </w:r>
          </w:p>
        </w:tc>
        <w:tc>
          <w:tcPr>
            <w:tcW w:w="723" w:type="pct"/>
          </w:tcPr>
          <w:p w14:paraId="521937BF"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worsening, uncertainty, apprehension, fear of future loss.</w:t>
            </w:r>
          </w:p>
        </w:tc>
        <w:tc>
          <w:tcPr>
            <w:tcW w:w="1040" w:type="pct"/>
          </w:tcPr>
          <w:p w14:paraId="2C7C853C"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Repetitive negative thinking better coded as Catastrophizing &amp; Rumination.</w:t>
            </w:r>
          </w:p>
        </w:tc>
        <w:tc>
          <w:tcPr>
            <w:tcW w:w="642" w:type="pct"/>
          </w:tcPr>
          <w:p w14:paraId="40102963"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anticipated threat is central, use this code.</w:t>
            </w:r>
          </w:p>
        </w:tc>
        <w:tc>
          <w:tcPr>
            <w:tcW w:w="448" w:type="pct"/>
          </w:tcPr>
          <w:p w14:paraId="4710859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3, 29, 41, 81</w:t>
            </w:r>
          </w:p>
        </w:tc>
      </w:tr>
      <w:tr w:rsidR="004F4FA7" w:rsidRPr="00732EED" w14:paraId="7F9AC863"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799180CF" w14:textId="77777777" w:rsidR="004F4FA7" w:rsidRPr="00732EED" w:rsidRDefault="004F4FA7" w:rsidP="00DC5B3C">
            <w:pPr>
              <w:rPr>
                <w:b w:val="0"/>
                <w:bCs w:val="0"/>
                <w:sz w:val="18"/>
                <w:szCs w:val="18"/>
              </w:rPr>
            </w:pPr>
            <w:r w:rsidRPr="00732EED">
              <w:rPr>
                <w:b w:val="0"/>
                <w:bCs w:val="0"/>
                <w:sz w:val="18"/>
                <w:szCs w:val="18"/>
              </w:rPr>
              <w:t>Self-esteem &amp; Identity Threat</w:t>
            </w:r>
          </w:p>
        </w:tc>
        <w:tc>
          <w:tcPr>
            <w:tcW w:w="971" w:type="pct"/>
          </w:tcPr>
          <w:p w14:paraId="5E077A76"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Erosion, disruption, or reconstruction of self-worth, identity, and personhood.</w:t>
            </w:r>
          </w:p>
        </w:tc>
        <w:tc>
          <w:tcPr>
            <w:tcW w:w="723" w:type="pct"/>
          </w:tcPr>
          <w:p w14:paraId="5FF1E50B"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Changed self, diminished self-worth, altered personhood, identity disruption.</w:t>
            </w:r>
          </w:p>
        </w:tc>
        <w:tc>
          <w:tcPr>
            <w:tcW w:w="1040" w:type="pct"/>
          </w:tcPr>
          <w:p w14:paraId="5DECD194"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Broader meaning-making without direct identity disruption, better coded as Existential Angst &amp; Meaning.</w:t>
            </w:r>
          </w:p>
        </w:tc>
        <w:tc>
          <w:tcPr>
            <w:tcW w:w="642" w:type="pct"/>
          </w:tcPr>
          <w:p w14:paraId="6130FAE6"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pain alters the self, use this code.</w:t>
            </w:r>
          </w:p>
        </w:tc>
        <w:tc>
          <w:tcPr>
            <w:tcW w:w="448" w:type="pct"/>
          </w:tcPr>
          <w:p w14:paraId="2F16251E"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2, 24, 40, 72, 93</w:t>
            </w:r>
          </w:p>
        </w:tc>
      </w:tr>
      <w:tr w:rsidR="004F4FA7" w:rsidRPr="00732EED" w14:paraId="78ED9B88"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70066BA8" w14:textId="77777777" w:rsidR="004F4FA7" w:rsidRPr="00732EED" w:rsidRDefault="004F4FA7" w:rsidP="00DC5B3C">
            <w:pPr>
              <w:rPr>
                <w:b w:val="0"/>
                <w:bCs w:val="0"/>
                <w:sz w:val="18"/>
                <w:szCs w:val="18"/>
              </w:rPr>
            </w:pPr>
            <w:r w:rsidRPr="00732EED">
              <w:rPr>
                <w:b w:val="0"/>
                <w:bCs w:val="0"/>
                <w:sz w:val="18"/>
                <w:szCs w:val="18"/>
              </w:rPr>
              <w:t>Resilience &amp; Growth</w:t>
            </w:r>
          </w:p>
        </w:tc>
        <w:tc>
          <w:tcPr>
            <w:tcW w:w="971" w:type="pct"/>
          </w:tcPr>
          <w:p w14:paraId="415D093D"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 adaptation, perseverance, strength, reorientation, or growth.</w:t>
            </w:r>
          </w:p>
        </w:tc>
        <w:tc>
          <w:tcPr>
            <w:tcW w:w="723" w:type="pct"/>
          </w:tcPr>
          <w:p w14:paraId="293830B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Inner strength, perseverance, post-adversity growth, positive adaptation.</w:t>
            </w:r>
          </w:p>
        </w:tc>
        <w:tc>
          <w:tcPr>
            <w:tcW w:w="1040" w:type="pct"/>
          </w:tcPr>
          <w:p w14:paraId="6BB1C83A"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Whole-life reorganization better coded as Acceptance Ecosystem.</w:t>
            </w:r>
          </w:p>
        </w:tc>
        <w:tc>
          <w:tcPr>
            <w:tcW w:w="642" w:type="pct"/>
          </w:tcPr>
          <w:p w14:paraId="1E5B3A8E"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adaptation is framed as inner strength or growth, use this code.</w:t>
            </w:r>
          </w:p>
        </w:tc>
        <w:tc>
          <w:tcPr>
            <w:tcW w:w="448" w:type="pct"/>
          </w:tcPr>
          <w:p w14:paraId="2CE2193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9, 33, 65, 76</w:t>
            </w:r>
          </w:p>
        </w:tc>
      </w:tr>
      <w:tr w:rsidR="004F4FA7" w:rsidRPr="00732EED" w14:paraId="1792CA0D"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4E74A0B9" w14:textId="77777777" w:rsidR="004F4FA7" w:rsidRPr="00732EED" w:rsidRDefault="004F4FA7" w:rsidP="00DC5B3C">
            <w:pPr>
              <w:rPr>
                <w:b w:val="0"/>
                <w:bCs w:val="0"/>
                <w:sz w:val="18"/>
                <w:szCs w:val="18"/>
              </w:rPr>
            </w:pPr>
            <w:r w:rsidRPr="00732EED">
              <w:rPr>
                <w:b w:val="0"/>
                <w:bCs w:val="0"/>
                <w:sz w:val="18"/>
                <w:szCs w:val="18"/>
              </w:rPr>
              <w:t>Trauma/PTSD &amp; Abuse</w:t>
            </w:r>
          </w:p>
        </w:tc>
        <w:tc>
          <w:tcPr>
            <w:tcW w:w="971" w:type="pct"/>
          </w:tcPr>
          <w:p w14:paraId="6B46BDD5"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abuse, or PTSD-related processes linked to chronic pain.</w:t>
            </w:r>
          </w:p>
        </w:tc>
        <w:tc>
          <w:tcPr>
            <w:tcW w:w="723" w:type="pct"/>
          </w:tcPr>
          <w:p w14:paraId="13ED926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Prior trauma, abuse, PTSD, intrusive trauma-related experiences linked to pain.</w:t>
            </w:r>
          </w:p>
        </w:tc>
        <w:tc>
          <w:tcPr>
            <w:tcW w:w="1040" w:type="pct"/>
          </w:tcPr>
          <w:p w14:paraId="1C168DB4"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Distress without explicit trauma content.</w:t>
            </w:r>
          </w:p>
        </w:tc>
        <w:tc>
          <w:tcPr>
            <w:tcW w:w="642" w:type="pct"/>
          </w:tcPr>
          <w:p w14:paraId="2846F7C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trauma is explicitly linked to pain, use this code.</w:t>
            </w:r>
          </w:p>
        </w:tc>
        <w:tc>
          <w:tcPr>
            <w:tcW w:w="448" w:type="pct"/>
          </w:tcPr>
          <w:p w14:paraId="459C486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11, 78, 86</w:t>
            </w:r>
          </w:p>
        </w:tc>
      </w:tr>
      <w:tr w:rsidR="004F4FA7" w:rsidRPr="00732EED" w14:paraId="2DBAD662"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755E0965" w14:textId="77777777" w:rsidR="004F4FA7" w:rsidRPr="00732EED" w:rsidRDefault="004F4FA7" w:rsidP="00DC5B3C">
            <w:pPr>
              <w:rPr>
                <w:b w:val="0"/>
                <w:bCs w:val="0"/>
                <w:sz w:val="18"/>
                <w:szCs w:val="18"/>
              </w:rPr>
            </w:pPr>
            <w:r w:rsidRPr="00732EED">
              <w:rPr>
                <w:b w:val="0"/>
                <w:bCs w:val="0"/>
                <w:sz w:val="18"/>
                <w:szCs w:val="18"/>
              </w:rPr>
              <w:t>Suicidality / “Life not worth living”</w:t>
            </w:r>
          </w:p>
        </w:tc>
        <w:tc>
          <w:tcPr>
            <w:tcW w:w="971" w:type="pct"/>
          </w:tcPr>
          <w:p w14:paraId="339B5C2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Explicit or strongly implied sense that life is unbearable or not worth continuing.</w:t>
            </w:r>
          </w:p>
        </w:tc>
        <w:tc>
          <w:tcPr>
            <w:tcW w:w="723" w:type="pct"/>
          </w:tcPr>
          <w:p w14:paraId="6A2A4251"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Death wish, unbearable life, life not worth living.</w:t>
            </w:r>
          </w:p>
        </w:tc>
        <w:tc>
          <w:tcPr>
            <w:tcW w:w="1040" w:type="pct"/>
          </w:tcPr>
          <w:p w14:paraId="723EFF9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Severe hopelessness without death-related meaning.</w:t>
            </w:r>
          </w:p>
        </w:tc>
        <w:tc>
          <w:tcPr>
            <w:tcW w:w="642" w:type="pct"/>
          </w:tcPr>
          <w:p w14:paraId="75DFCF0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Reserve for clear suicidal or near-suicidal meaning.</w:t>
            </w:r>
          </w:p>
        </w:tc>
        <w:tc>
          <w:tcPr>
            <w:tcW w:w="448" w:type="pct"/>
          </w:tcPr>
          <w:p w14:paraId="2615CF3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19, 61, 70</w:t>
            </w:r>
          </w:p>
        </w:tc>
      </w:tr>
      <w:tr w:rsidR="004F4FA7" w:rsidRPr="00732EED" w14:paraId="52DD437F"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73BF34EE" w14:textId="77777777" w:rsidR="004F4FA7" w:rsidRPr="00732EED" w:rsidRDefault="004F4FA7" w:rsidP="00DC5B3C">
            <w:pPr>
              <w:rPr>
                <w:b w:val="0"/>
                <w:bCs w:val="0"/>
                <w:sz w:val="18"/>
                <w:szCs w:val="18"/>
              </w:rPr>
            </w:pPr>
            <w:r w:rsidRPr="00732EED">
              <w:rPr>
                <w:b w:val="0"/>
                <w:bCs w:val="0"/>
                <w:sz w:val="18"/>
                <w:szCs w:val="18"/>
              </w:rPr>
              <w:t>Dominance / “Pain is the master”</w:t>
            </w:r>
          </w:p>
        </w:tc>
        <w:tc>
          <w:tcPr>
            <w:tcW w:w="971" w:type="pct"/>
          </w:tcPr>
          <w:p w14:paraId="095E8BAB"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experienced as the governing force in life.</w:t>
            </w:r>
          </w:p>
        </w:tc>
        <w:tc>
          <w:tcPr>
            <w:tcW w:w="723" w:type="pct"/>
          </w:tcPr>
          <w:p w14:paraId="0B20E6AE"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controls life, decisions, time, identity, or existence.</w:t>
            </w:r>
          </w:p>
        </w:tc>
        <w:tc>
          <w:tcPr>
            <w:tcW w:w="1040" w:type="pct"/>
          </w:tcPr>
          <w:p w14:paraId="083E669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Severe pain without the sense of domination, better coded as Pain &amp; Symptom Burden.</w:t>
            </w:r>
          </w:p>
        </w:tc>
        <w:tc>
          <w:tcPr>
            <w:tcW w:w="642" w:type="pct"/>
          </w:tcPr>
          <w:p w14:paraId="5CF2B6B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pain is portrayed as ruling life, use this code.</w:t>
            </w:r>
          </w:p>
        </w:tc>
        <w:tc>
          <w:tcPr>
            <w:tcW w:w="448" w:type="pct"/>
          </w:tcPr>
          <w:p w14:paraId="6657D6EE"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19, 37, 46, 61, 70</w:t>
            </w:r>
          </w:p>
        </w:tc>
      </w:tr>
      <w:tr w:rsidR="004F4FA7" w:rsidRPr="00732EED" w14:paraId="1A072F7F"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0D735394" w14:textId="77777777" w:rsidR="004F4FA7" w:rsidRPr="00732EED" w:rsidRDefault="004F4FA7" w:rsidP="00DC5B3C">
            <w:pPr>
              <w:rPr>
                <w:b w:val="0"/>
                <w:bCs w:val="0"/>
                <w:sz w:val="18"/>
                <w:szCs w:val="18"/>
              </w:rPr>
            </w:pPr>
            <w:r w:rsidRPr="00732EED">
              <w:rPr>
                <w:b w:val="0"/>
                <w:bCs w:val="0"/>
                <w:sz w:val="18"/>
                <w:szCs w:val="18"/>
              </w:rPr>
              <w:lastRenderedPageBreak/>
              <w:t>Suffering &amp; Distress</w:t>
            </w:r>
          </w:p>
        </w:tc>
        <w:tc>
          <w:tcPr>
            <w:tcW w:w="971" w:type="pct"/>
          </w:tcPr>
          <w:p w14:paraId="1C5A1295"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Whole-person suffering specifically rooted in chronic pain.</w:t>
            </w:r>
          </w:p>
        </w:tc>
        <w:tc>
          <w:tcPr>
            <w:tcW w:w="723" w:type="pct"/>
          </w:tcPr>
          <w:p w14:paraId="4687B259"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Ongoing pain-related suffering, burden of living with pain, generalized pain distress.</w:t>
            </w:r>
          </w:p>
        </w:tc>
        <w:tc>
          <w:tcPr>
            <w:tcW w:w="1040" w:type="pct"/>
          </w:tcPr>
          <w:p w14:paraId="5ED1E077"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Depressive response where mood is primary.</w:t>
            </w:r>
          </w:p>
        </w:tc>
        <w:tc>
          <w:tcPr>
            <w:tcW w:w="642" w:type="pct"/>
          </w:tcPr>
          <w:p w14:paraId="349D10C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pain itself is the center of suffering, use this code.</w:t>
            </w:r>
          </w:p>
        </w:tc>
        <w:tc>
          <w:tcPr>
            <w:tcW w:w="448" w:type="pct"/>
          </w:tcPr>
          <w:p w14:paraId="089A143D"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21, 25, 88, 93</w:t>
            </w:r>
          </w:p>
        </w:tc>
      </w:tr>
      <w:tr w:rsidR="004F4FA7" w:rsidRPr="00732EED" w14:paraId="51130F9A"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20B5CB9E" w14:textId="77777777" w:rsidR="004F4FA7" w:rsidRPr="00732EED" w:rsidRDefault="004F4FA7" w:rsidP="00DC5B3C">
            <w:pPr>
              <w:rPr>
                <w:b w:val="0"/>
                <w:bCs w:val="0"/>
                <w:sz w:val="18"/>
                <w:szCs w:val="18"/>
              </w:rPr>
            </w:pPr>
            <w:r w:rsidRPr="00732EED">
              <w:rPr>
                <w:b w:val="0"/>
                <w:bCs w:val="0"/>
                <w:sz w:val="18"/>
                <w:szCs w:val="18"/>
              </w:rPr>
              <w:t>Variability &amp; Mystery</w:t>
            </w:r>
          </w:p>
        </w:tc>
        <w:tc>
          <w:tcPr>
            <w:tcW w:w="971" w:type="pct"/>
          </w:tcPr>
          <w:p w14:paraId="795133E0"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 as elusive, unstable, mysterious, or difficult to explain.</w:t>
            </w:r>
          </w:p>
        </w:tc>
        <w:tc>
          <w:tcPr>
            <w:tcW w:w="723" w:type="pct"/>
          </w:tcPr>
          <w:p w14:paraId="3B402384"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unknowable, shifting, obscure, difficult to make sense of experientially.</w:t>
            </w:r>
          </w:p>
        </w:tc>
        <w:tc>
          <w:tcPr>
            <w:tcW w:w="1040" w:type="pct"/>
          </w:tcPr>
          <w:p w14:paraId="269F64A2"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Conceptual explanatory work better coded as Illness Representations/Models.</w:t>
            </w:r>
          </w:p>
        </w:tc>
        <w:tc>
          <w:tcPr>
            <w:tcW w:w="642" w:type="pct"/>
          </w:tcPr>
          <w:p w14:paraId="4BE460FC"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pain itself feels unknowable, use this code.</w:t>
            </w:r>
          </w:p>
        </w:tc>
        <w:tc>
          <w:tcPr>
            <w:tcW w:w="448" w:type="pct"/>
          </w:tcPr>
          <w:p w14:paraId="13697DFD"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7, 29, 40, 66</w:t>
            </w:r>
          </w:p>
        </w:tc>
      </w:tr>
      <w:tr w:rsidR="004F4FA7" w:rsidRPr="00732EED" w14:paraId="7C8335F0"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634A65BA" w14:textId="77777777" w:rsidR="004F4FA7" w:rsidRPr="00732EED" w:rsidRDefault="004F4FA7" w:rsidP="00DC5B3C">
            <w:pPr>
              <w:rPr>
                <w:b w:val="0"/>
                <w:bCs w:val="0"/>
                <w:sz w:val="18"/>
                <w:szCs w:val="18"/>
              </w:rPr>
            </w:pPr>
            <w:r w:rsidRPr="00732EED">
              <w:rPr>
                <w:b w:val="0"/>
                <w:bCs w:val="0"/>
                <w:sz w:val="18"/>
                <w:szCs w:val="18"/>
              </w:rPr>
              <w:t>Sensory Qualities &amp; Metaphors</w:t>
            </w:r>
          </w:p>
        </w:tc>
        <w:tc>
          <w:tcPr>
            <w:tcW w:w="971" w:type="pct"/>
          </w:tcPr>
          <w:p w14:paraId="382D882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described through imagery, metaphor, or vivid sensory language.</w:t>
            </w:r>
          </w:p>
        </w:tc>
        <w:tc>
          <w:tcPr>
            <w:tcW w:w="723" w:type="pct"/>
          </w:tcPr>
          <w:p w14:paraId="45CD3C79"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Sensory imagery, metaphorical descriptions, violent or material descriptors of pain.</w:t>
            </w:r>
          </w:p>
        </w:tc>
        <w:tc>
          <w:tcPr>
            <w:tcW w:w="1040" w:type="pct"/>
          </w:tcPr>
          <w:p w14:paraId="6D95D4E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Simple reports of severity without figurative or sensory framing.</w:t>
            </w:r>
          </w:p>
        </w:tc>
        <w:tc>
          <w:tcPr>
            <w:tcW w:w="642" w:type="pct"/>
          </w:tcPr>
          <w:p w14:paraId="2815B827"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expressive representation of pain is central, use this code.</w:t>
            </w:r>
          </w:p>
        </w:tc>
        <w:tc>
          <w:tcPr>
            <w:tcW w:w="448" w:type="pct"/>
          </w:tcPr>
          <w:p w14:paraId="64466AFC"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8, 23, 75</w:t>
            </w:r>
          </w:p>
        </w:tc>
      </w:tr>
      <w:tr w:rsidR="004F4FA7" w:rsidRPr="00732EED" w14:paraId="1DB5E24A"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50B923B5" w14:textId="77777777" w:rsidR="004F4FA7" w:rsidRPr="00732EED" w:rsidRDefault="004F4FA7" w:rsidP="00DC5B3C">
            <w:pPr>
              <w:rPr>
                <w:b w:val="0"/>
                <w:bCs w:val="0"/>
                <w:sz w:val="18"/>
                <w:szCs w:val="18"/>
              </w:rPr>
            </w:pPr>
            <w:r w:rsidRPr="00732EED">
              <w:rPr>
                <w:b w:val="0"/>
                <w:bCs w:val="0"/>
                <w:sz w:val="18"/>
                <w:szCs w:val="18"/>
              </w:rPr>
              <w:t>Stigma &amp; Malingering</w:t>
            </w:r>
          </w:p>
        </w:tc>
        <w:tc>
          <w:tcPr>
            <w:tcW w:w="971" w:type="pct"/>
          </w:tcPr>
          <w:p w14:paraId="699BC9C4"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Moral devaluation, disbelief, </w:t>
            </w:r>
            <w:proofErr w:type="spellStart"/>
            <w:r w:rsidRPr="00732EED">
              <w:rPr>
                <w:sz w:val="18"/>
                <w:szCs w:val="18"/>
              </w:rPr>
              <w:t>illegitimization</w:t>
            </w:r>
            <w:proofErr w:type="spellEnd"/>
            <w:r w:rsidRPr="00732EED">
              <w:rPr>
                <w:sz w:val="18"/>
                <w:szCs w:val="18"/>
              </w:rPr>
              <w:t>, or suspicion that pain is exaggerated or unreal.</w:t>
            </w:r>
          </w:p>
        </w:tc>
        <w:tc>
          <w:tcPr>
            <w:tcW w:w="723" w:type="pct"/>
          </w:tcPr>
          <w:p w14:paraId="18985D71"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judged lazy, exaggerating, malingering, delegitimized, or morally devalued.</w:t>
            </w:r>
          </w:p>
        </w:tc>
        <w:tc>
          <w:tcPr>
            <w:tcW w:w="1040" w:type="pct"/>
          </w:tcPr>
          <w:p w14:paraId="2845677B"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Healthcare-specific legitimacy issues better coded as Validation vs Dismissal if clinical context is primary.</w:t>
            </w:r>
          </w:p>
        </w:tc>
        <w:tc>
          <w:tcPr>
            <w:tcW w:w="642" w:type="pct"/>
          </w:tcPr>
          <w:p w14:paraId="099FB2B4"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pain is socially discredited, use this code.</w:t>
            </w:r>
          </w:p>
        </w:tc>
        <w:tc>
          <w:tcPr>
            <w:tcW w:w="448" w:type="pct"/>
          </w:tcPr>
          <w:p w14:paraId="4E974EC6"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14, 26, 35, 82, 88</w:t>
            </w:r>
          </w:p>
        </w:tc>
      </w:tr>
      <w:tr w:rsidR="004F4FA7" w:rsidRPr="00732EED" w14:paraId="370D97CF"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65B6FAFC" w14:textId="77777777" w:rsidR="004F4FA7" w:rsidRPr="00732EED" w:rsidRDefault="004F4FA7" w:rsidP="00DC5B3C">
            <w:pPr>
              <w:rPr>
                <w:b w:val="0"/>
                <w:bCs w:val="0"/>
                <w:sz w:val="18"/>
                <w:szCs w:val="18"/>
              </w:rPr>
            </w:pPr>
            <w:r w:rsidRPr="00732EED">
              <w:rPr>
                <w:b w:val="0"/>
                <w:bCs w:val="0"/>
                <w:sz w:val="18"/>
                <w:szCs w:val="18"/>
              </w:rPr>
              <w:t>Pain Beliefs &amp; Explanatory Models</w:t>
            </w:r>
          </w:p>
        </w:tc>
        <w:tc>
          <w:tcPr>
            <w:tcW w:w="971" w:type="pct"/>
          </w:tcPr>
          <w:p w14:paraId="37C7880A"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Shared cultural ideas about what pain means, why it happens, and what should be done.</w:t>
            </w:r>
          </w:p>
        </w:tc>
        <w:tc>
          <w:tcPr>
            <w:tcW w:w="723" w:type="pct"/>
          </w:tcPr>
          <w:p w14:paraId="7CBAB016"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Culturally shaped pain beliefs, socially inherited causal models, culturally embedded treatment expectations.</w:t>
            </w:r>
          </w:p>
        </w:tc>
        <w:tc>
          <w:tcPr>
            <w:tcW w:w="1040" w:type="pct"/>
          </w:tcPr>
          <w:p w14:paraId="21022EA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Purely individual appraisals without broader cultural framing.</w:t>
            </w:r>
          </w:p>
        </w:tc>
        <w:tc>
          <w:tcPr>
            <w:tcW w:w="642" w:type="pct"/>
          </w:tcPr>
          <w:p w14:paraId="6BC3D36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collective meaning structures shape pain interpretation, use this code.</w:t>
            </w:r>
          </w:p>
        </w:tc>
        <w:tc>
          <w:tcPr>
            <w:tcW w:w="448" w:type="pct"/>
          </w:tcPr>
          <w:p w14:paraId="52919BAA"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67, 90</w:t>
            </w:r>
          </w:p>
        </w:tc>
      </w:tr>
      <w:tr w:rsidR="004F4FA7" w:rsidRPr="00732EED" w14:paraId="27EA761B"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1F85ABE1" w14:textId="77777777" w:rsidR="004F4FA7" w:rsidRPr="00732EED" w:rsidRDefault="004F4FA7" w:rsidP="00DC5B3C">
            <w:pPr>
              <w:rPr>
                <w:b w:val="0"/>
                <w:bCs w:val="0"/>
                <w:sz w:val="18"/>
                <w:szCs w:val="18"/>
              </w:rPr>
            </w:pPr>
            <w:r w:rsidRPr="00732EED">
              <w:rPr>
                <w:b w:val="0"/>
                <w:bCs w:val="0"/>
                <w:sz w:val="18"/>
                <w:szCs w:val="18"/>
              </w:rPr>
              <w:t>Gender Norms &amp; Roles</w:t>
            </w:r>
          </w:p>
        </w:tc>
        <w:tc>
          <w:tcPr>
            <w:tcW w:w="971" w:type="pct"/>
          </w:tcPr>
          <w:p w14:paraId="661F9BB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Gendered expectations shaping pain expression, care, or self-management.</w:t>
            </w:r>
          </w:p>
        </w:tc>
        <w:tc>
          <w:tcPr>
            <w:tcW w:w="723" w:type="pct"/>
          </w:tcPr>
          <w:p w14:paraId="65A6D36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Masculinity, femininity, motherhood, gendered labor, gender-specific expectations.</w:t>
            </w:r>
          </w:p>
        </w:tc>
        <w:tc>
          <w:tcPr>
            <w:tcW w:w="1040" w:type="pct"/>
          </w:tcPr>
          <w:p w14:paraId="4C08777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Non-gendered role expectations better coded as Expectations &amp; Roles.</w:t>
            </w:r>
          </w:p>
        </w:tc>
        <w:tc>
          <w:tcPr>
            <w:tcW w:w="642" w:type="pct"/>
          </w:tcPr>
          <w:p w14:paraId="7BDC361E"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burden or response is explicitly gendered, use this code.</w:t>
            </w:r>
          </w:p>
        </w:tc>
        <w:tc>
          <w:tcPr>
            <w:tcW w:w="448" w:type="pct"/>
          </w:tcPr>
          <w:p w14:paraId="4A1522F2"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55, 78, 85</w:t>
            </w:r>
          </w:p>
        </w:tc>
      </w:tr>
      <w:tr w:rsidR="004F4FA7" w:rsidRPr="00732EED" w14:paraId="57E61313"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68C1BBA1" w14:textId="77777777" w:rsidR="004F4FA7" w:rsidRPr="00732EED" w:rsidRDefault="004F4FA7" w:rsidP="00DC5B3C">
            <w:pPr>
              <w:rPr>
                <w:b w:val="0"/>
                <w:bCs w:val="0"/>
                <w:sz w:val="18"/>
                <w:szCs w:val="18"/>
              </w:rPr>
            </w:pPr>
            <w:r w:rsidRPr="00732EED">
              <w:rPr>
                <w:b w:val="0"/>
                <w:bCs w:val="0"/>
                <w:sz w:val="18"/>
                <w:szCs w:val="18"/>
              </w:rPr>
              <w:t>Empowerment &amp; Agency</w:t>
            </w:r>
          </w:p>
        </w:tc>
        <w:tc>
          <w:tcPr>
            <w:tcW w:w="971" w:type="pct"/>
          </w:tcPr>
          <w:p w14:paraId="6B47F6D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Regaining voice, control, self-efficacy, and active participation in care or daily life.</w:t>
            </w:r>
          </w:p>
        </w:tc>
        <w:tc>
          <w:tcPr>
            <w:tcW w:w="723" w:type="pct"/>
          </w:tcPr>
          <w:p w14:paraId="42D475E9"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Increased confidence, self-efficacy, taking charge, active role in care or coping.</w:t>
            </w:r>
          </w:p>
        </w:tc>
        <w:tc>
          <w:tcPr>
            <w:tcW w:w="1040" w:type="pct"/>
          </w:tcPr>
          <w:p w14:paraId="6BBC384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Functional independence without agency emphasis, better coded as Autonomy &amp; Independence.</w:t>
            </w:r>
          </w:p>
        </w:tc>
        <w:tc>
          <w:tcPr>
            <w:tcW w:w="642" w:type="pct"/>
          </w:tcPr>
          <w:p w14:paraId="2EC88E7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participants move from passivity to active control, use this code.</w:t>
            </w:r>
          </w:p>
        </w:tc>
        <w:tc>
          <w:tcPr>
            <w:tcW w:w="448" w:type="pct"/>
          </w:tcPr>
          <w:p w14:paraId="5F0EDAA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13, 34, 60, 76</w:t>
            </w:r>
          </w:p>
        </w:tc>
      </w:tr>
      <w:tr w:rsidR="004F4FA7" w:rsidRPr="00732EED" w14:paraId="694F9195"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3076AFC6" w14:textId="77777777" w:rsidR="004F4FA7" w:rsidRPr="00732EED" w:rsidRDefault="004F4FA7" w:rsidP="00DC5B3C">
            <w:pPr>
              <w:rPr>
                <w:b w:val="0"/>
                <w:bCs w:val="0"/>
                <w:sz w:val="18"/>
                <w:szCs w:val="18"/>
              </w:rPr>
            </w:pPr>
            <w:r w:rsidRPr="00732EED">
              <w:rPr>
                <w:b w:val="0"/>
                <w:bCs w:val="0"/>
                <w:sz w:val="18"/>
                <w:szCs w:val="18"/>
              </w:rPr>
              <w:t>Avoidance &amp; Silence</w:t>
            </w:r>
          </w:p>
        </w:tc>
        <w:tc>
          <w:tcPr>
            <w:tcW w:w="971" w:type="pct"/>
          </w:tcPr>
          <w:p w14:paraId="5441F9AC"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Concealing pain or distress, withholding disclosure, or preserving appearance through silence.</w:t>
            </w:r>
          </w:p>
        </w:tc>
        <w:tc>
          <w:tcPr>
            <w:tcW w:w="723" w:type="pct"/>
          </w:tcPr>
          <w:p w14:paraId="021424EA"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Hiding pain, not disclosing distress, silence, non-reporting, concealment.</w:t>
            </w:r>
          </w:p>
        </w:tc>
        <w:tc>
          <w:tcPr>
            <w:tcW w:w="1040" w:type="pct"/>
          </w:tcPr>
          <w:p w14:paraId="59D8C7EC"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disconnection without concealment motive, better coded as Isolation.</w:t>
            </w:r>
          </w:p>
        </w:tc>
        <w:tc>
          <w:tcPr>
            <w:tcW w:w="642" w:type="pct"/>
          </w:tcPr>
          <w:p w14:paraId="6C7A9B4D"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pain is hidden rather than merely isolating, use this code.</w:t>
            </w:r>
          </w:p>
        </w:tc>
        <w:tc>
          <w:tcPr>
            <w:tcW w:w="448" w:type="pct"/>
          </w:tcPr>
          <w:p w14:paraId="36A4BF6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6, 57</w:t>
            </w:r>
          </w:p>
        </w:tc>
      </w:tr>
      <w:tr w:rsidR="004F4FA7" w:rsidRPr="00732EED" w14:paraId="64D53431"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2C90DFB1" w14:textId="77777777" w:rsidR="004F4FA7" w:rsidRPr="00732EED" w:rsidRDefault="004F4FA7" w:rsidP="00DC5B3C">
            <w:pPr>
              <w:rPr>
                <w:b w:val="0"/>
                <w:bCs w:val="0"/>
                <w:sz w:val="18"/>
                <w:szCs w:val="18"/>
              </w:rPr>
            </w:pPr>
            <w:r w:rsidRPr="00732EED">
              <w:rPr>
                <w:b w:val="0"/>
                <w:bCs w:val="0"/>
                <w:sz w:val="18"/>
                <w:szCs w:val="18"/>
              </w:rPr>
              <w:t>Catastrophizing &amp; Rumination</w:t>
            </w:r>
          </w:p>
        </w:tc>
        <w:tc>
          <w:tcPr>
            <w:tcW w:w="971" w:type="pct"/>
          </w:tcPr>
          <w:p w14:paraId="4CE2459E"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Repetitive, difficult-to-control negative thinking about pain.</w:t>
            </w:r>
          </w:p>
        </w:tc>
        <w:tc>
          <w:tcPr>
            <w:tcW w:w="723" w:type="pct"/>
          </w:tcPr>
          <w:p w14:paraId="1F95A0B5"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Rumination, mental looping, catastrophic thinking, cognitive amplification of distress.</w:t>
            </w:r>
          </w:p>
        </w:tc>
        <w:tc>
          <w:tcPr>
            <w:tcW w:w="1040" w:type="pct"/>
          </w:tcPr>
          <w:p w14:paraId="4A42FF3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or uncertainty without repetitive thought pattern.</w:t>
            </w:r>
          </w:p>
        </w:tc>
        <w:tc>
          <w:tcPr>
            <w:tcW w:w="642" w:type="pct"/>
          </w:tcPr>
          <w:p w14:paraId="0745DB6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the thought process itself is the problem, use this code.</w:t>
            </w:r>
          </w:p>
        </w:tc>
        <w:tc>
          <w:tcPr>
            <w:tcW w:w="448" w:type="pct"/>
          </w:tcPr>
          <w:p w14:paraId="1DFF43B5"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36</w:t>
            </w:r>
          </w:p>
        </w:tc>
      </w:tr>
      <w:tr w:rsidR="004F4FA7" w:rsidRPr="00732EED" w14:paraId="7719B004"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624039E7" w14:textId="77777777" w:rsidR="004F4FA7" w:rsidRPr="00732EED" w:rsidRDefault="004F4FA7" w:rsidP="00DC5B3C">
            <w:pPr>
              <w:rPr>
                <w:b w:val="0"/>
                <w:bCs w:val="0"/>
                <w:sz w:val="18"/>
                <w:szCs w:val="18"/>
              </w:rPr>
            </w:pPr>
            <w:r w:rsidRPr="00732EED">
              <w:rPr>
                <w:b w:val="0"/>
                <w:bCs w:val="0"/>
                <w:sz w:val="18"/>
                <w:szCs w:val="18"/>
              </w:rPr>
              <w:t>Disease Intrusiveness</w:t>
            </w:r>
          </w:p>
        </w:tc>
        <w:tc>
          <w:tcPr>
            <w:tcW w:w="971" w:type="pct"/>
          </w:tcPr>
          <w:p w14:paraId="54FA47A8"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Awareness that pain has invaded mental space, time, and everyday life.</w:t>
            </w:r>
          </w:p>
        </w:tc>
        <w:tc>
          <w:tcPr>
            <w:tcW w:w="723" w:type="pct"/>
          </w:tcPr>
          <w:p w14:paraId="209BD1B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taking over attention, daily life, time, mental space, routine awareness.</w:t>
            </w:r>
          </w:p>
        </w:tc>
        <w:tc>
          <w:tcPr>
            <w:tcW w:w="1040" w:type="pct"/>
          </w:tcPr>
          <w:p w14:paraId="14C969F2" w14:textId="1DC61036" w:rsidR="004F4FA7" w:rsidRPr="00732EED" w:rsidRDefault="004F4FA7" w:rsidP="00B8301F">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Global domination of existence better coded as Dominance / &amp;</w:t>
            </w:r>
            <w:r w:rsidR="00B8301F" w:rsidRPr="00732EED">
              <w:rPr>
                <w:sz w:val="18"/>
                <w:szCs w:val="18"/>
              </w:rPr>
              <w:t xml:space="preserve"> </w:t>
            </w:r>
            <w:r w:rsidRPr="00732EED">
              <w:rPr>
                <w:sz w:val="18"/>
                <w:szCs w:val="18"/>
              </w:rPr>
              <w:t>Pain is the master</w:t>
            </w:r>
            <w:r w:rsidR="00B8301F" w:rsidRPr="00732EED">
              <w:rPr>
                <w:sz w:val="18"/>
                <w:szCs w:val="18"/>
              </w:rPr>
              <w:t>.</w:t>
            </w:r>
          </w:p>
        </w:tc>
        <w:tc>
          <w:tcPr>
            <w:tcW w:w="642" w:type="pct"/>
          </w:tcPr>
          <w:p w14:paraId="0DF22430"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intrusion rather than mastery is central, use this code.</w:t>
            </w:r>
          </w:p>
        </w:tc>
        <w:tc>
          <w:tcPr>
            <w:tcW w:w="448" w:type="pct"/>
          </w:tcPr>
          <w:p w14:paraId="1D62EC8D"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16</w:t>
            </w:r>
          </w:p>
        </w:tc>
      </w:tr>
      <w:tr w:rsidR="004F4FA7" w:rsidRPr="00732EED" w14:paraId="16C8A2F3"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2F827EA4" w14:textId="77777777" w:rsidR="004F4FA7" w:rsidRPr="00732EED" w:rsidRDefault="004F4FA7" w:rsidP="00DC5B3C">
            <w:pPr>
              <w:rPr>
                <w:b w:val="0"/>
                <w:bCs w:val="0"/>
                <w:sz w:val="18"/>
                <w:szCs w:val="18"/>
              </w:rPr>
            </w:pPr>
            <w:r w:rsidRPr="00732EED">
              <w:rPr>
                <w:b w:val="0"/>
                <w:bCs w:val="0"/>
                <w:sz w:val="18"/>
                <w:szCs w:val="18"/>
              </w:rPr>
              <w:t>Existential Angst &amp; Meaning</w:t>
            </w:r>
          </w:p>
        </w:tc>
        <w:tc>
          <w:tcPr>
            <w:tcW w:w="971" w:type="pct"/>
          </w:tcPr>
          <w:p w14:paraId="3C4136B7"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Meaning-making, spiritual reflection, future orientation, </w:t>
            </w:r>
            <w:r w:rsidRPr="00732EED">
              <w:rPr>
                <w:sz w:val="18"/>
                <w:szCs w:val="18"/>
              </w:rPr>
              <w:lastRenderedPageBreak/>
              <w:t>values, or existential confrontation through pain.</w:t>
            </w:r>
          </w:p>
        </w:tc>
        <w:tc>
          <w:tcPr>
            <w:tcW w:w="723" w:type="pct"/>
          </w:tcPr>
          <w:p w14:paraId="2CDCDBD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Questions of meaning, purpose, mortality, </w:t>
            </w:r>
            <w:r w:rsidRPr="00732EED">
              <w:rPr>
                <w:sz w:val="18"/>
                <w:szCs w:val="18"/>
              </w:rPr>
              <w:lastRenderedPageBreak/>
              <w:t>spirituality, values, life re-evaluation.</w:t>
            </w:r>
          </w:p>
        </w:tc>
        <w:tc>
          <w:tcPr>
            <w:tcW w:w="1040" w:type="pct"/>
          </w:tcPr>
          <w:p w14:paraId="2FEB1E13"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Direct suicidality or narrowly defined identity threat.</w:t>
            </w:r>
          </w:p>
        </w:tc>
        <w:tc>
          <w:tcPr>
            <w:tcW w:w="642" w:type="pct"/>
          </w:tcPr>
          <w:p w14:paraId="69ED9D9C"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If pain raises questions of </w:t>
            </w:r>
            <w:r w:rsidRPr="00732EED">
              <w:rPr>
                <w:sz w:val="18"/>
                <w:szCs w:val="18"/>
              </w:rPr>
              <w:lastRenderedPageBreak/>
              <w:t>meaning and existence, use this code.</w:t>
            </w:r>
          </w:p>
        </w:tc>
        <w:tc>
          <w:tcPr>
            <w:tcW w:w="448" w:type="pct"/>
          </w:tcPr>
          <w:p w14:paraId="5BC45A4A"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12, 27, 59, 80</w:t>
            </w:r>
          </w:p>
        </w:tc>
      </w:tr>
      <w:tr w:rsidR="004F4FA7" w:rsidRPr="00732EED" w14:paraId="014BA45B"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2A20047E" w14:textId="77777777" w:rsidR="004F4FA7" w:rsidRPr="00732EED" w:rsidRDefault="004F4FA7" w:rsidP="00DC5B3C">
            <w:pPr>
              <w:rPr>
                <w:b w:val="0"/>
                <w:bCs w:val="0"/>
                <w:sz w:val="18"/>
                <w:szCs w:val="18"/>
              </w:rPr>
            </w:pPr>
            <w:r w:rsidRPr="00732EED">
              <w:rPr>
                <w:b w:val="0"/>
                <w:bCs w:val="0"/>
                <w:sz w:val="18"/>
                <w:szCs w:val="18"/>
              </w:rPr>
              <w:t>Illness Representations / Models</w:t>
            </w:r>
          </w:p>
        </w:tc>
        <w:tc>
          <w:tcPr>
            <w:tcW w:w="971" w:type="pct"/>
          </w:tcPr>
          <w:p w14:paraId="295922CD"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Conceptual understandings of pain, diagnosis, causation, and treatment.</w:t>
            </w:r>
          </w:p>
        </w:tc>
        <w:tc>
          <w:tcPr>
            <w:tcW w:w="723" w:type="pct"/>
          </w:tcPr>
          <w:p w14:paraId="5B98E1D2"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Making sense of pain, diagnosis, causal models, conceptual appraisals, illness understanding.</w:t>
            </w:r>
          </w:p>
        </w:tc>
        <w:tc>
          <w:tcPr>
            <w:tcW w:w="1040" w:type="pct"/>
          </w:tcPr>
          <w:p w14:paraId="131C1CD8"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Experiential mystery of pain without conceptual interpretation, better coded as Variability &amp; Mystery.</w:t>
            </w:r>
          </w:p>
        </w:tc>
        <w:tc>
          <w:tcPr>
            <w:tcW w:w="642" w:type="pct"/>
          </w:tcPr>
          <w:p w14:paraId="388B3EF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the participant is forming a model of what pain is, use this code.</w:t>
            </w:r>
          </w:p>
        </w:tc>
        <w:tc>
          <w:tcPr>
            <w:tcW w:w="448" w:type="pct"/>
          </w:tcPr>
          <w:p w14:paraId="50FC7CC6"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7, 50, 62, 81</w:t>
            </w:r>
          </w:p>
        </w:tc>
      </w:tr>
      <w:tr w:rsidR="004F4FA7" w:rsidRPr="00732EED" w14:paraId="63EF29F3"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4DECE42A" w14:textId="77777777" w:rsidR="004F4FA7" w:rsidRPr="00732EED" w:rsidRDefault="004F4FA7" w:rsidP="00DC5B3C">
            <w:pPr>
              <w:rPr>
                <w:b w:val="0"/>
                <w:bCs w:val="0"/>
                <w:sz w:val="18"/>
                <w:szCs w:val="18"/>
              </w:rPr>
            </w:pPr>
            <w:r w:rsidRPr="00732EED">
              <w:rPr>
                <w:b w:val="0"/>
                <w:bCs w:val="0"/>
                <w:sz w:val="18"/>
                <w:szCs w:val="18"/>
              </w:rPr>
              <w:t>Validation vs Dismissal</w:t>
            </w:r>
          </w:p>
        </w:tc>
        <w:tc>
          <w:tcPr>
            <w:tcW w:w="971" w:type="pct"/>
          </w:tcPr>
          <w:p w14:paraId="13FA067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Being believed, heard, recognized, or dismissed in healthcare encounters.</w:t>
            </w:r>
          </w:p>
        </w:tc>
        <w:tc>
          <w:tcPr>
            <w:tcW w:w="723" w:type="pct"/>
          </w:tcPr>
          <w:p w14:paraId="79D5BA3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Clinical legitimacy, being listened to, disbelief by professionals, diagnostic validation.</w:t>
            </w:r>
          </w:p>
        </w:tc>
        <w:tc>
          <w:tcPr>
            <w:tcW w:w="1040" w:type="pct"/>
          </w:tcPr>
          <w:p w14:paraId="1755034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Broader social stigma not centered on healthcare encounters.</w:t>
            </w:r>
          </w:p>
        </w:tc>
        <w:tc>
          <w:tcPr>
            <w:tcW w:w="642" w:type="pct"/>
          </w:tcPr>
          <w:p w14:paraId="336AAE7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healthcare interaction turns on whether pain is recognized as real, use this code.</w:t>
            </w:r>
          </w:p>
        </w:tc>
        <w:tc>
          <w:tcPr>
            <w:tcW w:w="448" w:type="pct"/>
          </w:tcPr>
          <w:p w14:paraId="1EB369D1"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4, 8, 26, 42, 65</w:t>
            </w:r>
          </w:p>
        </w:tc>
      </w:tr>
      <w:tr w:rsidR="004F4FA7" w:rsidRPr="00732EED" w14:paraId="5164C376"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692943DD" w14:textId="77777777" w:rsidR="004F4FA7" w:rsidRPr="00732EED" w:rsidRDefault="004F4FA7" w:rsidP="00DC5B3C">
            <w:pPr>
              <w:rPr>
                <w:b w:val="0"/>
                <w:bCs w:val="0"/>
                <w:sz w:val="18"/>
                <w:szCs w:val="18"/>
              </w:rPr>
            </w:pPr>
            <w:r w:rsidRPr="00732EED">
              <w:rPr>
                <w:b w:val="0"/>
                <w:bCs w:val="0"/>
                <w:sz w:val="18"/>
                <w:szCs w:val="18"/>
              </w:rPr>
              <w:t>Fragmented Care &amp; Mismatch</w:t>
            </w:r>
          </w:p>
        </w:tc>
        <w:tc>
          <w:tcPr>
            <w:tcW w:w="971" w:type="pct"/>
          </w:tcPr>
          <w:p w14:paraId="6F1D6766"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Care pathways are disconnected, unsatisfactory, or misaligned with lived needs.</w:t>
            </w:r>
          </w:p>
        </w:tc>
        <w:tc>
          <w:tcPr>
            <w:tcW w:w="723" w:type="pct"/>
          </w:tcPr>
          <w:p w14:paraId="5614A665"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Poor care fit, fragmented pathways, dissatisfaction, inadequate treatment, quest for suitable care.</w:t>
            </w:r>
          </w:p>
        </w:tc>
        <w:tc>
          <w:tcPr>
            <w:tcW w:w="1040" w:type="pct"/>
          </w:tcPr>
          <w:p w14:paraId="714051B9"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Inability to reach care due to logistics, better coded as Access Barriers &amp; Logistics.</w:t>
            </w:r>
          </w:p>
        </w:tc>
        <w:tc>
          <w:tcPr>
            <w:tcW w:w="642" w:type="pct"/>
          </w:tcPr>
          <w:p w14:paraId="4B8C08AA"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care exists but does not fit, use this code.</w:t>
            </w:r>
          </w:p>
        </w:tc>
        <w:tc>
          <w:tcPr>
            <w:tcW w:w="448" w:type="pct"/>
          </w:tcPr>
          <w:p w14:paraId="56352F4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3, 20, 43, 53, 66</w:t>
            </w:r>
          </w:p>
        </w:tc>
      </w:tr>
      <w:tr w:rsidR="004F4FA7" w:rsidRPr="00732EED" w14:paraId="337C20CE"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21AB76F0" w14:textId="77777777" w:rsidR="004F4FA7" w:rsidRPr="00732EED" w:rsidRDefault="004F4FA7" w:rsidP="00DC5B3C">
            <w:pPr>
              <w:rPr>
                <w:b w:val="0"/>
                <w:bCs w:val="0"/>
                <w:sz w:val="18"/>
                <w:szCs w:val="18"/>
              </w:rPr>
            </w:pPr>
            <w:r w:rsidRPr="00732EED">
              <w:rPr>
                <w:b w:val="0"/>
                <w:bCs w:val="0"/>
                <w:sz w:val="18"/>
                <w:szCs w:val="18"/>
              </w:rPr>
              <w:t>Access Barriers &amp; Logistics</w:t>
            </w:r>
          </w:p>
        </w:tc>
        <w:tc>
          <w:tcPr>
            <w:tcW w:w="971" w:type="pct"/>
          </w:tcPr>
          <w:p w14:paraId="49FE8C56"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Structural obstacles in obtaining healthcare.</w:t>
            </w:r>
          </w:p>
        </w:tc>
        <w:tc>
          <w:tcPr>
            <w:tcW w:w="723" w:type="pct"/>
          </w:tcPr>
          <w:p w14:paraId="455A8D18"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Waiting, travel, cost, referral problems, service shortages, availability barriers.</w:t>
            </w:r>
          </w:p>
        </w:tc>
        <w:tc>
          <w:tcPr>
            <w:tcW w:w="1040" w:type="pct"/>
          </w:tcPr>
          <w:p w14:paraId="3DE3A0FE"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Socially mediated access problems better coded as Access to Healthcare.</w:t>
            </w:r>
          </w:p>
        </w:tc>
        <w:tc>
          <w:tcPr>
            <w:tcW w:w="642" w:type="pct"/>
          </w:tcPr>
          <w:p w14:paraId="60A410D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the system is hard to physically or structurally reach, use this code.</w:t>
            </w:r>
          </w:p>
        </w:tc>
        <w:tc>
          <w:tcPr>
            <w:tcW w:w="448" w:type="pct"/>
          </w:tcPr>
          <w:p w14:paraId="11278092"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49, 67, 79, 94</w:t>
            </w:r>
          </w:p>
        </w:tc>
      </w:tr>
      <w:tr w:rsidR="004F4FA7" w:rsidRPr="00732EED" w14:paraId="47C3C9AA"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3C03486B" w14:textId="77777777" w:rsidR="004F4FA7" w:rsidRPr="00732EED" w:rsidRDefault="004F4FA7" w:rsidP="00DC5B3C">
            <w:pPr>
              <w:rPr>
                <w:b w:val="0"/>
                <w:bCs w:val="0"/>
                <w:sz w:val="18"/>
                <w:szCs w:val="18"/>
              </w:rPr>
            </w:pPr>
            <w:r w:rsidRPr="00732EED">
              <w:rPr>
                <w:b w:val="0"/>
                <w:bCs w:val="0"/>
                <w:sz w:val="18"/>
                <w:szCs w:val="18"/>
              </w:rPr>
              <w:t xml:space="preserve">Positive Programs &amp; </w:t>
            </w:r>
            <w:proofErr w:type="spellStart"/>
            <w:r w:rsidRPr="00732EED">
              <w:rPr>
                <w:b w:val="0"/>
                <w:bCs w:val="0"/>
                <w:sz w:val="18"/>
                <w:szCs w:val="18"/>
              </w:rPr>
              <w:t>Self Management</w:t>
            </w:r>
            <w:proofErr w:type="spellEnd"/>
          </w:p>
        </w:tc>
        <w:tc>
          <w:tcPr>
            <w:tcW w:w="971" w:type="pct"/>
          </w:tcPr>
          <w:p w14:paraId="64FDF295"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Helpful interventions, structured programs, and self-management support.</w:t>
            </w:r>
          </w:p>
        </w:tc>
        <w:tc>
          <w:tcPr>
            <w:tcW w:w="723" w:type="pct"/>
          </w:tcPr>
          <w:p w14:paraId="7D50236E"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Positive intervention experiences, rehabilitation, organized education, supportive self-management programs.</w:t>
            </w:r>
          </w:p>
        </w:tc>
        <w:tc>
          <w:tcPr>
            <w:tcW w:w="1040" w:type="pct"/>
          </w:tcPr>
          <w:p w14:paraId="066C22FC"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Personal empowerment without programmatic emphasis.</w:t>
            </w:r>
          </w:p>
        </w:tc>
        <w:tc>
          <w:tcPr>
            <w:tcW w:w="642" w:type="pct"/>
          </w:tcPr>
          <w:p w14:paraId="7D86BFE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the intervention structure itself is useful, use this code.</w:t>
            </w:r>
          </w:p>
        </w:tc>
        <w:tc>
          <w:tcPr>
            <w:tcW w:w="448" w:type="pct"/>
          </w:tcPr>
          <w:p w14:paraId="357E425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12, 17, 34, 69, 83</w:t>
            </w:r>
          </w:p>
        </w:tc>
      </w:tr>
      <w:tr w:rsidR="004F4FA7" w:rsidRPr="00732EED" w14:paraId="7F9E2E7D"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3D1C523A" w14:textId="77777777" w:rsidR="004F4FA7" w:rsidRPr="00732EED" w:rsidRDefault="004F4FA7" w:rsidP="00DC5B3C">
            <w:pPr>
              <w:rPr>
                <w:b w:val="0"/>
                <w:bCs w:val="0"/>
                <w:sz w:val="18"/>
                <w:szCs w:val="18"/>
              </w:rPr>
            </w:pPr>
            <w:r w:rsidRPr="00732EED">
              <w:rPr>
                <w:b w:val="0"/>
                <w:bCs w:val="0"/>
                <w:sz w:val="18"/>
                <w:szCs w:val="18"/>
              </w:rPr>
              <w:t>System Reform &amp; Professional Views</w:t>
            </w:r>
          </w:p>
        </w:tc>
        <w:tc>
          <w:tcPr>
            <w:tcW w:w="971" w:type="pct"/>
          </w:tcPr>
          <w:p w14:paraId="028B624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Provider- or system-level reflection on improving care structures or professional responses.</w:t>
            </w:r>
          </w:p>
        </w:tc>
        <w:tc>
          <w:tcPr>
            <w:tcW w:w="723" w:type="pct"/>
          </w:tcPr>
          <w:p w14:paraId="3844E94C"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Training needs, service redesign, system reform, professional culture change.</w:t>
            </w:r>
          </w:p>
        </w:tc>
        <w:tc>
          <w:tcPr>
            <w:tcW w:w="1040" w:type="pct"/>
          </w:tcPr>
          <w:p w14:paraId="46B6DD5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Individual dissatisfaction without broader reform implications.</w:t>
            </w:r>
          </w:p>
        </w:tc>
        <w:tc>
          <w:tcPr>
            <w:tcW w:w="642" w:type="pct"/>
          </w:tcPr>
          <w:p w14:paraId="7056C73E"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the unit of meaning is the care system rather than only the patient, use this code.</w:t>
            </w:r>
          </w:p>
        </w:tc>
        <w:tc>
          <w:tcPr>
            <w:tcW w:w="448" w:type="pct"/>
          </w:tcPr>
          <w:p w14:paraId="4C2697E6"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76, 92</w:t>
            </w:r>
          </w:p>
        </w:tc>
      </w:tr>
      <w:tr w:rsidR="004F4FA7" w:rsidRPr="00732EED" w14:paraId="518D93EC"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726A6CBD" w14:textId="77777777" w:rsidR="004F4FA7" w:rsidRPr="00732EED" w:rsidRDefault="004F4FA7" w:rsidP="00DC5B3C">
            <w:pPr>
              <w:rPr>
                <w:b w:val="0"/>
                <w:bCs w:val="0"/>
                <w:sz w:val="18"/>
                <w:szCs w:val="18"/>
              </w:rPr>
            </w:pPr>
            <w:r w:rsidRPr="00732EED">
              <w:rPr>
                <w:b w:val="0"/>
                <w:bCs w:val="0"/>
                <w:sz w:val="18"/>
                <w:szCs w:val="18"/>
              </w:rPr>
              <w:t>Rurality &amp; Geography</w:t>
            </w:r>
          </w:p>
        </w:tc>
        <w:tc>
          <w:tcPr>
            <w:tcW w:w="971" w:type="pct"/>
          </w:tcPr>
          <w:p w14:paraId="77DA8E4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Remoteness, place, distance, or geography shaping pain experience and care.</w:t>
            </w:r>
          </w:p>
        </w:tc>
        <w:tc>
          <w:tcPr>
            <w:tcW w:w="723" w:type="pct"/>
          </w:tcPr>
          <w:p w14:paraId="16908712"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 living, remoteness, distance, place-based hardship, geographic barriers.</w:t>
            </w:r>
          </w:p>
        </w:tc>
        <w:tc>
          <w:tcPr>
            <w:tcW w:w="1040" w:type="pct"/>
          </w:tcPr>
          <w:p w14:paraId="419A7237"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Generic transport or service barriers without place-based meaning.</w:t>
            </w:r>
          </w:p>
        </w:tc>
        <w:tc>
          <w:tcPr>
            <w:tcW w:w="642" w:type="pct"/>
          </w:tcPr>
          <w:p w14:paraId="5D1C760E"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where one lives fundamentally shapes the experience, use this code.</w:t>
            </w:r>
          </w:p>
        </w:tc>
        <w:tc>
          <w:tcPr>
            <w:tcW w:w="448" w:type="pct"/>
          </w:tcPr>
          <w:p w14:paraId="27E9DB44"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6, 49, 71, 87, 89</w:t>
            </w:r>
          </w:p>
        </w:tc>
      </w:tr>
      <w:tr w:rsidR="004F4FA7" w:rsidRPr="00732EED" w14:paraId="47D80193"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3F70A4DE" w14:textId="77777777" w:rsidR="004F4FA7" w:rsidRPr="00732EED" w:rsidRDefault="004F4FA7" w:rsidP="00DC5B3C">
            <w:pPr>
              <w:rPr>
                <w:b w:val="0"/>
                <w:bCs w:val="0"/>
                <w:sz w:val="18"/>
                <w:szCs w:val="18"/>
              </w:rPr>
            </w:pPr>
            <w:r w:rsidRPr="00732EED">
              <w:rPr>
                <w:b w:val="0"/>
                <w:bCs w:val="0"/>
                <w:sz w:val="18"/>
                <w:szCs w:val="18"/>
              </w:rPr>
              <w:t>Home/Work Environment Adaptations</w:t>
            </w:r>
          </w:p>
        </w:tc>
        <w:tc>
          <w:tcPr>
            <w:tcW w:w="971" w:type="pct"/>
          </w:tcPr>
          <w:p w14:paraId="5F71B436"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Practical adjustment of home or workplace environment to accommodate pain.</w:t>
            </w:r>
          </w:p>
        </w:tc>
        <w:tc>
          <w:tcPr>
            <w:tcW w:w="723" w:type="pct"/>
          </w:tcPr>
          <w:p w14:paraId="281B541C"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Ergonomic changes, home modifications, adapted workspaces, altered physical surroundings.</w:t>
            </w:r>
          </w:p>
        </w:tc>
        <w:tc>
          <w:tcPr>
            <w:tcW w:w="1040" w:type="pct"/>
          </w:tcPr>
          <w:p w14:paraId="3B767D81"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Work identity or participation as primary issue, better coded as Work &amp; Return to Work.</w:t>
            </w:r>
          </w:p>
        </w:tc>
        <w:tc>
          <w:tcPr>
            <w:tcW w:w="642" w:type="pct"/>
          </w:tcPr>
          <w:p w14:paraId="4BB994B4"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physical surroundings are being adapted, use this code.</w:t>
            </w:r>
          </w:p>
        </w:tc>
        <w:tc>
          <w:tcPr>
            <w:tcW w:w="448" w:type="pct"/>
          </w:tcPr>
          <w:p w14:paraId="298AAB3D"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47, 84</w:t>
            </w:r>
          </w:p>
        </w:tc>
      </w:tr>
      <w:tr w:rsidR="004F4FA7" w:rsidRPr="00732EED" w14:paraId="1F34548D"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44C14A01" w14:textId="77777777" w:rsidR="004F4FA7" w:rsidRPr="00732EED" w:rsidRDefault="004F4FA7" w:rsidP="00DC5B3C">
            <w:pPr>
              <w:rPr>
                <w:b w:val="0"/>
                <w:bCs w:val="0"/>
                <w:sz w:val="18"/>
                <w:szCs w:val="18"/>
              </w:rPr>
            </w:pPr>
            <w:r w:rsidRPr="00732EED">
              <w:rPr>
                <w:b w:val="0"/>
                <w:bCs w:val="0"/>
                <w:sz w:val="18"/>
                <w:szCs w:val="18"/>
              </w:rPr>
              <w:t>Acceptance Ecosystem</w:t>
            </w:r>
          </w:p>
        </w:tc>
        <w:tc>
          <w:tcPr>
            <w:tcW w:w="971" w:type="pct"/>
          </w:tcPr>
          <w:p w14:paraId="4640EDE4"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as a dynamic, relational, whole-life reorganization around chronic pain.</w:t>
            </w:r>
          </w:p>
        </w:tc>
        <w:tc>
          <w:tcPr>
            <w:tcW w:w="723" w:type="pct"/>
          </w:tcPr>
          <w:p w14:paraId="43F3226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Learning to live with pain, rebuilding routines, reframing life, </w:t>
            </w:r>
            <w:r w:rsidRPr="00732EED">
              <w:rPr>
                <w:sz w:val="18"/>
                <w:szCs w:val="18"/>
              </w:rPr>
              <w:lastRenderedPageBreak/>
              <w:t>adaptation across domains.</w:t>
            </w:r>
          </w:p>
        </w:tc>
        <w:tc>
          <w:tcPr>
            <w:tcW w:w="1040" w:type="pct"/>
          </w:tcPr>
          <w:p w14:paraId="617B12A5"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Simple positive coping without broader life restructuring.</w:t>
            </w:r>
          </w:p>
        </w:tc>
        <w:tc>
          <w:tcPr>
            <w:tcW w:w="642" w:type="pct"/>
          </w:tcPr>
          <w:p w14:paraId="4987263F"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the study is about building a livable life with pain, use this code.</w:t>
            </w:r>
          </w:p>
        </w:tc>
        <w:tc>
          <w:tcPr>
            <w:tcW w:w="448" w:type="pct"/>
          </w:tcPr>
          <w:p w14:paraId="60D324B6"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5, 27, 32, 44, 80</w:t>
            </w:r>
          </w:p>
        </w:tc>
      </w:tr>
      <w:tr w:rsidR="004F4FA7" w:rsidRPr="00732EED" w14:paraId="4863E10E"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177" w:type="pct"/>
          </w:tcPr>
          <w:p w14:paraId="359C776C" w14:textId="77777777" w:rsidR="004F4FA7" w:rsidRPr="00732EED" w:rsidRDefault="004F4FA7" w:rsidP="00DC5B3C">
            <w:pPr>
              <w:rPr>
                <w:b w:val="0"/>
                <w:bCs w:val="0"/>
                <w:sz w:val="18"/>
                <w:szCs w:val="18"/>
              </w:rPr>
            </w:pPr>
            <w:r w:rsidRPr="00732EED">
              <w:rPr>
                <w:b w:val="0"/>
                <w:bCs w:val="0"/>
                <w:sz w:val="18"/>
                <w:szCs w:val="18"/>
              </w:rPr>
              <w:t>Social–Structural Determinants</w:t>
            </w:r>
          </w:p>
        </w:tc>
        <w:tc>
          <w:tcPr>
            <w:tcW w:w="971" w:type="pct"/>
          </w:tcPr>
          <w:p w14:paraId="4E9E27AD"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shaped by interacting social, institutional, and structural conditions across levels.</w:t>
            </w:r>
          </w:p>
        </w:tc>
        <w:tc>
          <w:tcPr>
            <w:tcW w:w="723" w:type="pct"/>
          </w:tcPr>
          <w:p w14:paraId="2464EF97"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Multilevel barriers, structural inequities, societal organization of pain and care.</w:t>
            </w:r>
          </w:p>
        </w:tc>
        <w:tc>
          <w:tcPr>
            <w:tcW w:w="1040" w:type="pct"/>
          </w:tcPr>
          <w:p w14:paraId="4F48423B"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Single-level barriers without broader ecological framing.</w:t>
            </w:r>
          </w:p>
        </w:tc>
        <w:tc>
          <w:tcPr>
            <w:tcW w:w="642" w:type="pct"/>
          </w:tcPr>
          <w:p w14:paraId="2221AB20"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If the analysis spans interpersonal, service, and societal levels, use this code.</w:t>
            </w:r>
          </w:p>
        </w:tc>
        <w:tc>
          <w:tcPr>
            <w:tcW w:w="448" w:type="pct"/>
          </w:tcPr>
          <w:p w14:paraId="00AEAE5D" w14:textId="77777777" w:rsidR="004F4FA7" w:rsidRPr="00732EED" w:rsidRDefault="004F4FA7"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88, 92</w:t>
            </w:r>
          </w:p>
        </w:tc>
      </w:tr>
      <w:tr w:rsidR="004F4FA7" w:rsidRPr="00732EED" w14:paraId="3A28E997"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Pr>
          <w:p w14:paraId="3ABDA390" w14:textId="77777777" w:rsidR="004F4FA7" w:rsidRPr="00732EED" w:rsidRDefault="004F4FA7" w:rsidP="00DC5B3C">
            <w:pPr>
              <w:rPr>
                <w:b w:val="0"/>
                <w:bCs w:val="0"/>
                <w:sz w:val="18"/>
                <w:szCs w:val="18"/>
              </w:rPr>
            </w:pPr>
            <w:r w:rsidRPr="00732EED">
              <w:rPr>
                <w:b w:val="0"/>
                <w:bCs w:val="0"/>
                <w:sz w:val="18"/>
                <w:szCs w:val="18"/>
              </w:rPr>
              <w:t>Digital &amp; Participatory Ecologies</w:t>
            </w:r>
          </w:p>
        </w:tc>
        <w:tc>
          <w:tcPr>
            <w:tcW w:w="971" w:type="pct"/>
          </w:tcPr>
          <w:p w14:paraId="1838A99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Digital, participatory, or co-produced contexts organizing support, adaptation, or care.</w:t>
            </w:r>
          </w:p>
        </w:tc>
        <w:tc>
          <w:tcPr>
            <w:tcW w:w="723" w:type="pct"/>
          </w:tcPr>
          <w:p w14:paraId="50CE3335"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Participatory interventions, digital care ecosystems, co-produced support environments.</w:t>
            </w:r>
          </w:p>
        </w:tc>
        <w:tc>
          <w:tcPr>
            <w:tcW w:w="1040" w:type="pct"/>
          </w:tcPr>
          <w:p w14:paraId="118F6B0C"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General online peer support better coded as Peer &amp; Online Communities.</w:t>
            </w:r>
          </w:p>
        </w:tc>
        <w:tc>
          <w:tcPr>
            <w:tcW w:w="642" w:type="pct"/>
          </w:tcPr>
          <w:p w14:paraId="460A6953"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If the digital or participatory setting functions as an ecosystem, use this code.</w:t>
            </w:r>
          </w:p>
        </w:tc>
        <w:tc>
          <w:tcPr>
            <w:tcW w:w="448" w:type="pct"/>
          </w:tcPr>
          <w:p w14:paraId="18777750" w14:textId="77777777" w:rsidR="004F4FA7" w:rsidRPr="00732EED" w:rsidRDefault="004F4FA7"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34</w:t>
            </w:r>
          </w:p>
        </w:tc>
      </w:tr>
    </w:tbl>
    <w:p w14:paraId="4956BB1C" w14:textId="491CDEE2" w:rsidR="0084416C" w:rsidRPr="00732EED" w:rsidRDefault="0084416C" w:rsidP="0084416C">
      <w:pPr>
        <w:rPr>
          <w:sz w:val="18"/>
          <w:szCs w:val="18"/>
        </w:rPr>
      </w:pPr>
      <w:r w:rsidRPr="00732EED">
        <w:rPr>
          <w:sz w:val="18"/>
          <w:szCs w:val="18"/>
        </w:rPr>
        <w:t xml:space="preserve">*Column definitions — Code/Theme: label for coding; Definition: brief descriptor; Include: exemplar content to code here; Exclude: content to code elsewhere; Heuristics: short decision rule for primary code assignment; Example studies: study ID(s) (see Supp. Table S4). Study IDs — Numbers correspond to full citations in Supplementary Table S4; multiple IDs separated by commas; exemplar rows are illustrative, not exhaustive. Primary vs secondary coding: Assigned the code whose Heuristics best match the excerpt’s primary emphasis; recorded any secondary codes in a separate "Secondary codes" field or notes column. Overlap/clinical–social distinction: Used “Validation vs Dismissal” when legitimacy issues arise in clinical encounters and “Stigma &amp; Malingering” for broader social delegitimization (used the Heuristics column to decide). Inclusion/exclusion precedence: If a passage meets both a content-based and a setting-based criterion (e.g., family support delivered via a formal program), coded to the content domain unless the organizational/healthcare structure is the analytic focus (then coded under Healthcare/System). </w:t>
      </w:r>
      <w:proofErr w:type="spellStart"/>
      <w:r w:rsidRPr="00732EED">
        <w:rPr>
          <w:sz w:val="18"/>
          <w:szCs w:val="18"/>
        </w:rPr>
        <w:t>CERQual</w:t>
      </w:r>
      <w:proofErr w:type="spellEnd"/>
      <w:r w:rsidRPr="00732EED">
        <w:rPr>
          <w:sz w:val="18"/>
          <w:szCs w:val="18"/>
        </w:rPr>
        <w:t xml:space="preserve"> and quality linkage: </w:t>
      </w:r>
      <w:proofErr w:type="spellStart"/>
      <w:r w:rsidRPr="00732EED">
        <w:rPr>
          <w:sz w:val="18"/>
          <w:szCs w:val="18"/>
        </w:rPr>
        <w:t>CERQual</w:t>
      </w:r>
      <w:proofErr w:type="spellEnd"/>
      <w:r w:rsidRPr="00732EED">
        <w:rPr>
          <w:sz w:val="18"/>
          <w:szCs w:val="18"/>
        </w:rPr>
        <w:t xml:space="preserve"> confidence and study quality informed interpretation but did not change Phase 1 code assignments; see Supplementary Tables S3–S5 for full appraisals and </w:t>
      </w:r>
      <w:proofErr w:type="spellStart"/>
      <w:r w:rsidRPr="00732EED">
        <w:rPr>
          <w:sz w:val="18"/>
          <w:szCs w:val="18"/>
        </w:rPr>
        <w:t>CERQual</w:t>
      </w:r>
      <w:proofErr w:type="spellEnd"/>
      <w:r w:rsidRPr="00732EED">
        <w:rPr>
          <w:sz w:val="18"/>
          <w:szCs w:val="18"/>
        </w:rPr>
        <w:t xml:space="preserve"> justifications. Counting semantics. Rows reflect instances/themes (may be multiple per study); counts in aggregate tables are not mutually exclusive and do not equal unique participants. Provenance, reproducibility &amp; transparency — Full coding rules, worked examples, raw extraction notes, verbatim quotes, search history, and appraisal checklists are archived in Supplementary Files S2–S7. Inter-rater reliability — All themes were independently double-coded by two coders; inter-rater reliability was calculated using Cohen’s κ across the full code set (κ=0.70). For reference, κ interpretation: 0.61–0.80 = substantial agreement; 0.81–1.00 = almost perfect agreement.</w:t>
      </w:r>
    </w:p>
    <w:p w14:paraId="4217FE18" w14:textId="1F54EE5A" w:rsidR="00004370" w:rsidRPr="00732EED" w:rsidRDefault="00004370" w:rsidP="00004370">
      <w:pPr>
        <w:rPr>
          <w:sz w:val="18"/>
          <w:szCs w:val="18"/>
        </w:rPr>
      </w:pPr>
    </w:p>
    <w:p w14:paraId="6DDA6A3B" w14:textId="77777777" w:rsidR="001F2CA8" w:rsidRPr="00732EED" w:rsidRDefault="001F2CA8" w:rsidP="00E9589B">
      <w:pPr>
        <w:rPr>
          <w:b/>
          <w:bCs/>
          <w:color w:val="000000"/>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04FAC785" w14:textId="595A0764" w:rsidR="00E9589B" w:rsidRPr="00732EED" w:rsidRDefault="00E9589B" w:rsidP="00E9589B">
      <w:pPr>
        <w:rPr>
          <w:b/>
          <w:bCs/>
          <w:color w:val="000000"/>
          <w:sz w:val="18"/>
          <w:szCs w:val="18"/>
        </w:rPr>
      </w:pPr>
      <w:r w:rsidRPr="00732EED">
        <w:rPr>
          <w:b/>
          <w:bCs/>
          <w:color w:val="000000"/>
          <w:sz w:val="18"/>
          <w:szCs w:val="18"/>
        </w:rPr>
        <w:lastRenderedPageBreak/>
        <w:t>Table S</w:t>
      </w:r>
      <w:r w:rsidR="000F2A82" w:rsidRPr="00732EED">
        <w:rPr>
          <w:b/>
          <w:bCs/>
          <w:color w:val="000000"/>
          <w:sz w:val="18"/>
          <w:szCs w:val="18"/>
        </w:rPr>
        <w:t>9</w:t>
      </w:r>
      <w:r w:rsidRPr="00732EED">
        <w:rPr>
          <w:b/>
          <w:bCs/>
          <w:color w:val="000000"/>
          <w:sz w:val="18"/>
          <w:szCs w:val="18"/>
        </w:rPr>
        <w:t xml:space="preserve">. Code development and heuristic domain development, alternate </w:t>
      </w:r>
      <w:proofErr w:type="gramStart"/>
      <w:r w:rsidRPr="00732EED">
        <w:rPr>
          <w:b/>
          <w:bCs/>
          <w:color w:val="000000"/>
          <w:sz w:val="18"/>
          <w:szCs w:val="18"/>
        </w:rPr>
        <w:t>weighing  (</w:t>
      </w:r>
      <w:proofErr w:type="gramEnd"/>
      <w:r w:rsidRPr="00732EED">
        <w:rPr>
          <w:b/>
          <w:bCs/>
          <w:color w:val="000000"/>
          <w:sz w:val="18"/>
          <w:szCs w:val="18"/>
        </w:rPr>
        <w:t>Phase 1)*</w:t>
      </w:r>
    </w:p>
    <w:tbl>
      <w:tblPr>
        <w:tblStyle w:val="PlainTable1"/>
        <w:tblW w:w="5000" w:type="pct"/>
        <w:tblLook w:val="0420" w:firstRow="1" w:lastRow="0" w:firstColumn="0" w:lastColumn="0" w:noHBand="0" w:noVBand="1"/>
      </w:tblPr>
      <w:tblGrid>
        <w:gridCol w:w="1344"/>
        <w:gridCol w:w="1343"/>
        <w:gridCol w:w="2814"/>
        <w:gridCol w:w="2855"/>
        <w:gridCol w:w="1155"/>
        <w:gridCol w:w="2119"/>
        <w:gridCol w:w="1932"/>
      </w:tblGrid>
      <w:tr w:rsidR="00E9589B" w:rsidRPr="00732EED" w14:paraId="0CB50687" w14:textId="77777777" w:rsidTr="001F2CA8">
        <w:trPr>
          <w:cnfStyle w:val="100000000000" w:firstRow="1" w:lastRow="0" w:firstColumn="0" w:lastColumn="0" w:oddVBand="0" w:evenVBand="0" w:oddHBand="0" w:evenHBand="0" w:firstRowFirstColumn="0" w:firstRowLastColumn="0" w:lastRowFirstColumn="0" w:lastRowLastColumn="0"/>
        </w:trPr>
        <w:tc>
          <w:tcPr>
            <w:tcW w:w="497" w:type="pct"/>
          </w:tcPr>
          <w:p w14:paraId="23C4F915" w14:textId="77777777" w:rsidR="00E9589B" w:rsidRPr="00732EED" w:rsidRDefault="00E9589B" w:rsidP="00DC5B3C">
            <w:pPr>
              <w:rPr>
                <w:sz w:val="18"/>
                <w:szCs w:val="18"/>
              </w:rPr>
            </w:pPr>
            <w:r w:rsidRPr="00732EED">
              <w:rPr>
                <w:sz w:val="18"/>
                <w:szCs w:val="18"/>
              </w:rPr>
              <w:t>Main Theme/ Codes</w:t>
            </w:r>
          </w:p>
        </w:tc>
        <w:tc>
          <w:tcPr>
            <w:tcW w:w="497" w:type="pct"/>
          </w:tcPr>
          <w:p w14:paraId="56946435" w14:textId="77777777" w:rsidR="00E9589B" w:rsidRPr="00732EED" w:rsidRDefault="00E9589B" w:rsidP="00DC5B3C">
            <w:pPr>
              <w:rPr>
                <w:sz w:val="18"/>
                <w:szCs w:val="18"/>
              </w:rPr>
            </w:pPr>
            <w:r w:rsidRPr="00732EED">
              <w:rPr>
                <w:sz w:val="18"/>
                <w:szCs w:val="18"/>
              </w:rPr>
              <w:t>Weight Main Theme</w:t>
            </w:r>
          </w:p>
        </w:tc>
        <w:tc>
          <w:tcPr>
            <w:tcW w:w="1019" w:type="pct"/>
          </w:tcPr>
          <w:p w14:paraId="15D52D55" w14:textId="77777777" w:rsidR="00E9589B" w:rsidRPr="00732EED" w:rsidRDefault="00E9589B" w:rsidP="00DC5B3C">
            <w:pPr>
              <w:rPr>
                <w:sz w:val="18"/>
                <w:szCs w:val="18"/>
              </w:rPr>
            </w:pPr>
            <w:r w:rsidRPr="00732EED">
              <w:rPr>
                <w:sz w:val="18"/>
                <w:szCs w:val="18"/>
              </w:rPr>
              <w:t>Subthemes / Coding themes</w:t>
            </w:r>
          </w:p>
        </w:tc>
        <w:tc>
          <w:tcPr>
            <w:tcW w:w="1034" w:type="pct"/>
          </w:tcPr>
          <w:p w14:paraId="2E38D4D2" w14:textId="77777777" w:rsidR="00E9589B" w:rsidRPr="00732EED" w:rsidRDefault="00E9589B" w:rsidP="00DC5B3C">
            <w:pPr>
              <w:rPr>
                <w:sz w:val="18"/>
                <w:szCs w:val="18"/>
              </w:rPr>
            </w:pPr>
            <w:r w:rsidRPr="00732EED">
              <w:rPr>
                <w:sz w:val="18"/>
                <w:szCs w:val="18"/>
              </w:rPr>
              <w:t>Weight Subtheme</w:t>
            </w:r>
          </w:p>
        </w:tc>
        <w:tc>
          <w:tcPr>
            <w:tcW w:w="423" w:type="pct"/>
          </w:tcPr>
          <w:p w14:paraId="554945F1" w14:textId="77777777" w:rsidR="00E9589B" w:rsidRPr="00732EED" w:rsidRDefault="00E9589B" w:rsidP="00DC5B3C">
            <w:pPr>
              <w:rPr>
                <w:sz w:val="18"/>
                <w:szCs w:val="18"/>
              </w:rPr>
            </w:pPr>
            <w:r w:rsidRPr="00732EED">
              <w:rPr>
                <w:sz w:val="18"/>
                <w:szCs w:val="18"/>
              </w:rPr>
              <w:t>Representative study numbers</w:t>
            </w:r>
          </w:p>
        </w:tc>
        <w:tc>
          <w:tcPr>
            <w:tcW w:w="803" w:type="pct"/>
          </w:tcPr>
          <w:p w14:paraId="770D1D97" w14:textId="77777777" w:rsidR="00E9589B" w:rsidRPr="00732EED" w:rsidRDefault="00E9589B" w:rsidP="00DC5B3C">
            <w:pPr>
              <w:rPr>
                <w:sz w:val="18"/>
                <w:szCs w:val="18"/>
              </w:rPr>
            </w:pPr>
            <w:r w:rsidRPr="00732EED">
              <w:rPr>
                <w:sz w:val="18"/>
                <w:szCs w:val="18"/>
              </w:rPr>
              <w:t>Heuristic Domains</w:t>
            </w:r>
          </w:p>
        </w:tc>
        <w:tc>
          <w:tcPr>
            <w:tcW w:w="729" w:type="pct"/>
          </w:tcPr>
          <w:p w14:paraId="4D353166" w14:textId="77777777" w:rsidR="00E9589B" w:rsidRPr="00732EED" w:rsidRDefault="00E9589B" w:rsidP="00DC5B3C">
            <w:pPr>
              <w:rPr>
                <w:sz w:val="18"/>
                <w:szCs w:val="18"/>
              </w:rPr>
            </w:pPr>
            <w:r w:rsidRPr="00732EED">
              <w:rPr>
                <w:sz w:val="18"/>
                <w:szCs w:val="18"/>
              </w:rPr>
              <w:t>Alternative Weighing</w:t>
            </w:r>
          </w:p>
        </w:tc>
      </w:tr>
      <w:tr w:rsidR="00E9589B" w:rsidRPr="00732EED" w14:paraId="3D2EE06E" w14:textId="77777777" w:rsidTr="001F2CA8">
        <w:trPr>
          <w:cnfStyle w:val="000000100000" w:firstRow="0" w:lastRow="0" w:firstColumn="0" w:lastColumn="0" w:oddVBand="0" w:evenVBand="0" w:oddHBand="1" w:evenHBand="0" w:firstRowFirstColumn="0" w:firstRowLastColumn="0" w:lastRowFirstColumn="0" w:lastRowLastColumn="0"/>
        </w:trPr>
        <w:tc>
          <w:tcPr>
            <w:tcW w:w="497" w:type="pct"/>
          </w:tcPr>
          <w:p w14:paraId="17C80ECF" w14:textId="77777777" w:rsidR="00E9589B" w:rsidRPr="00732EED" w:rsidRDefault="00E9589B" w:rsidP="00DC5B3C">
            <w:pPr>
              <w:rPr>
                <w:sz w:val="18"/>
                <w:szCs w:val="18"/>
              </w:rPr>
            </w:pPr>
            <w:r w:rsidRPr="00732EED">
              <w:rPr>
                <w:sz w:val="18"/>
                <w:szCs w:val="18"/>
              </w:rPr>
              <w:t>Lived bodily experience of pain</w:t>
            </w:r>
          </w:p>
        </w:tc>
        <w:tc>
          <w:tcPr>
            <w:tcW w:w="497" w:type="pct"/>
          </w:tcPr>
          <w:p w14:paraId="70ECE3A7" w14:textId="77777777" w:rsidR="00E9589B" w:rsidRPr="00732EED" w:rsidRDefault="00E9589B" w:rsidP="00DC5B3C">
            <w:pPr>
              <w:rPr>
                <w:sz w:val="18"/>
                <w:szCs w:val="18"/>
              </w:rPr>
            </w:pPr>
            <w:r w:rsidRPr="00732EED">
              <w:rPr>
                <w:sz w:val="18"/>
                <w:szCs w:val="18"/>
              </w:rPr>
              <w:t>Lived bodily experience of pain- Raw count: 13/94; Weight: 0.1383 (13.83%).</w:t>
            </w:r>
          </w:p>
        </w:tc>
        <w:tc>
          <w:tcPr>
            <w:tcW w:w="1019" w:type="pct"/>
          </w:tcPr>
          <w:p w14:paraId="4AE6704F" w14:textId="77777777" w:rsidR="00E9589B" w:rsidRPr="00732EED" w:rsidRDefault="00E9589B">
            <w:pPr>
              <w:pStyle w:val="ListParagraph"/>
              <w:numPr>
                <w:ilvl w:val="0"/>
                <w:numId w:val="8"/>
              </w:numPr>
              <w:rPr>
                <w:sz w:val="18"/>
                <w:szCs w:val="18"/>
              </w:rPr>
            </w:pPr>
            <w:r w:rsidRPr="00732EED">
              <w:rPr>
                <w:sz w:val="18"/>
                <w:szCs w:val="18"/>
              </w:rPr>
              <w:t>Pain intrusiveness</w:t>
            </w:r>
          </w:p>
          <w:p w14:paraId="056F5D3F" w14:textId="77777777" w:rsidR="00E9589B" w:rsidRPr="00732EED" w:rsidRDefault="00E9589B">
            <w:pPr>
              <w:pStyle w:val="ListParagraph"/>
              <w:numPr>
                <w:ilvl w:val="0"/>
                <w:numId w:val="8"/>
              </w:numPr>
              <w:rPr>
                <w:sz w:val="18"/>
                <w:szCs w:val="18"/>
              </w:rPr>
            </w:pPr>
            <w:r w:rsidRPr="00732EED">
              <w:rPr>
                <w:sz w:val="18"/>
                <w:szCs w:val="18"/>
              </w:rPr>
              <w:t xml:space="preserve">Persistent/constant pain Count: </w:t>
            </w:r>
          </w:p>
          <w:p w14:paraId="1C58E57F" w14:textId="77777777" w:rsidR="00E9589B" w:rsidRPr="00732EED" w:rsidRDefault="00E9589B">
            <w:pPr>
              <w:pStyle w:val="ListParagraph"/>
              <w:numPr>
                <w:ilvl w:val="0"/>
                <w:numId w:val="8"/>
              </w:numPr>
              <w:rPr>
                <w:sz w:val="18"/>
                <w:szCs w:val="18"/>
              </w:rPr>
            </w:pPr>
            <w:r w:rsidRPr="00732EED">
              <w:rPr>
                <w:sz w:val="18"/>
                <w:szCs w:val="18"/>
              </w:rPr>
              <w:t xml:space="preserve">Fluctuating/variable symptoms </w:t>
            </w:r>
          </w:p>
          <w:p w14:paraId="1969080A" w14:textId="77777777" w:rsidR="00E9589B" w:rsidRPr="00732EED" w:rsidRDefault="00E9589B">
            <w:pPr>
              <w:pStyle w:val="ListParagraph"/>
              <w:numPr>
                <w:ilvl w:val="0"/>
                <w:numId w:val="8"/>
              </w:numPr>
              <w:rPr>
                <w:sz w:val="18"/>
                <w:szCs w:val="18"/>
              </w:rPr>
            </w:pPr>
            <w:r w:rsidRPr="00732EED">
              <w:rPr>
                <w:sz w:val="18"/>
                <w:szCs w:val="18"/>
              </w:rPr>
              <w:t xml:space="preserve">Overwhelming/dominant pain </w:t>
            </w:r>
          </w:p>
          <w:p w14:paraId="6D66255F" w14:textId="77777777" w:rsidR="00E9589B" w:rsidRPr="00732EED" w:rsidRDefault="00E9589B">
            <w:pPr>
              <w:pStyle w:val="ListParagraph"/>
              <w:numPr>
                <w:ilvl w:val="0"/>
                <w:numId w:val="8"/>
              </w:numPr>
              <w:rPr>
                <w:sz w:val="18"/>
                <w:szCs w:val="18"/>
              </w:rPr>
            </w:pPr>
            <w:r w:rsidRPr="00732EED">
              <w:rPr>
                <w:sz w:val="18"/>
                <w:szCs w:val="18"/>
              </w:rPr>
              <w:t xml:space="preserve">Pain as “master” </w:t>
            </w:r>
          </w:p>
          <w:p w14:paraId="02B4A121" w14:textId="77777777" w:rsidR="00E9589B" w:rsidRPr="00732EED" w:rsidRDefault="00E9589B">
            <w:pPr>
              <w:pStyle w:val="ListParagraph"/>
              <w:numPr>
                <w:ilvl w:val="0"/>
                <w:numId w:val="8"/>
              </w:numPr>
              <w:rPr>
                <w:sz w:val="18"/>
                <w:szCs w:val="18"/>
              </w:rPr>
            </w:pPr>
            <w:r w:rsidRPr="00732EED">
              <w:rPr>
                <w:sz w:val="18"/>
                <w:szCs w:val="18"/>
              </w:rPr>
              <w:t xml:space="preserve">Breakthrough pain </w:t>
            </w:r>
          </w:p>
          <w:p w14:paraId="66962CF4" w14:textId="77777777" w:rsidR="00E9589B" w:rsidRPr="00732EED" w:rsidRDefault="00E9589B">
            <w:pPr>
              <w:pStyle w:val="ListParagraph"/>
              <w:numPr>
                <w:ilvl w:val="0"/>
                <w:numId w:val="8"/>
              </w:numPr>
              <w:rPr>
                <w:sz w:val="18"/>
                <w:szCs w:val="18"/>
              </w:rPr>
            </w:pPr>
            <w:r w:rsidRPr="00732EED">
              <w:rPr>
                <w:sz w:val="18"/>
                <w:szCs w:val="18"/>
              </w:rPr>
              <w:t xml:space="preserve">Pain as physical violence/suffering </w:t>
            </w:r>
          </w:p>
          <w:p w14:paraId="2A476ECD" w14:textId="77777777" w:rsidR="00E9589B" w:rsidRPr="00732EED" w:rsidRDefault="00E9589B">
            <w:pPr>
              <w:pStyle w:val="ListParagraph"/>
              <w:numPr>
                <w:ilvl w:val="0"/>
                <w:numId w:val="8"/>
              </w:numPr>
              <w:rPr>
                <w:sz w:val="18"/>
                <w:szCs w:val="18"/>
              </w:rPr>
            </w:pPr>
            <w:r w:rsidRPr="00732EED">
              <w:rPr>
                <w:sz w:val="18"/>
                <w:szCs w:val="18"/>
              </w:rPr>
              <w:t xml:space="preserve">Fatigue and bodily limitation </w:t>
            </w:r>
          </w:p>
          <w:p w14:paraId="11727702" w14:textId="77777777" w:rsidR="00E9589B" w:rsidRPr="00732EED" w:rsidRDefault="00E9589B">
            <w:pPr>
              <w:pStyle w:val="ListParagraph"/>
              <w:numPr>
                <w:ilvl w:val="0"/>
                <w:numId w:val="8"/>
              </w:numPr>
              <w:rPr>
                <w:sz w:val="18"/>
                <w:szCs w:val="18"/>
              </w:rPr>
            </w:pPr>
            <w:r w:rsidRPr="00732EED">
              <w:rPr>
                <w:sz w:val="18"/>
                <w:szCs w:val="18"/>
              </w:rPr>
              <w:t xml:space="preserve">Unpleasant/unbearable sensations </w:t>
            </w:r>
          </w:p>
          <w:p w14:paraId="6F4C349B" w14:textId="77777777" w:rsidR="00E9589B" w:rsidRPr="00732EED" w:rsidRDefault="00E9589B">
            <w:pPr>
              <w:pStyle w:val="ListParagraph"/>
              <w:numPr>
                <w:ilvl w:val="0"/>
                <w:numId w:val="8"/>
              </w:numPr>
              <w:rPr>
                <w:sz w:val="18"/>
                <w:szCs w:val="18"/>
              </w:rPr>
            </w:pPr>
            <w:r w:rsidRPr="00732EED">
              <w:rPr>
                <w:sz w:val="18"/>
                <w:szCs w:val="18"/>
              </w:rPr>
              <w:t xml:space="preserve">Pain difficult to describe/personified/objectified </w:t>
            </w:r>
          </w:p>
          <w:p w14:paraId="598B16F1" w14:textId="77777777" w:rsidR="00E9589B" w:rsidRPr="00732EED" w:rsidRDefault="00E9589B" w:rsidP="00DC5B3C">
            <w:pPr>
              <w:rPr>
                <w:sz w:val="18"/>
                <w:szCs w:val="18"/>
              </w:rPr>
            </w:pPr>
          </w:p>
        </w:tc>
        <w:tc>
          <w:tcPr>
            <w:tcW w:w="1034" w:type="pct"/>
          </w:tcPr>
          <w:p w14:paraId="47FC0679" w14:textId="77777777" w:rsidR="00E9589B" w:rsidRPr="00732EED" w:rsidRDefault="00E9589B">
            <w:pPr>
              <w:pStyle w:val="ListParagraph"/>
              <w:numPr>
                <w:ilvl w:val="0"/>
                <w:numId w:val="4"/>
              </w:numPr>
              <w:rPr>
                <w:sz w:val="18"/>
                <w:szCs w:val="18"/>
              </w:rPr>
            </w:pPr>
            <w:r w:rsidRPr="00732EED">
              <w:rPr>
                <w:sz w:val="18"/>
                <w:szCs w:val="18"/>
              </w:rPr>
              <w:t>Pain intrusiveness: Count 35, Weight: 0.1373 (13.73%) </w:t>
            </w:r>
          </w:p>
          <w:p w14:paraId="2A913184" w14:textId="77777777" w:rsidR="00E9589B" w:rsidRPr="00732EED" w:rsidRDefault="00E9589B">
            <w:pPr>
              <w:pStyle w:val="ListParagraph"/>
              <w:numPr>
                <w:ilvl w:val="0"/>
                <w:numId w:val="4"/>
              </w:numPr>
              <w:rPr>
                <w:sz w:val="18"/>
                <w:szCs w:val="18"/>
              </w:rPr>
            </w:pPr>
            <w:r w:rsidRPr="00732EED">
              <w:rPr>
                <w:sz w:val="18"/>
                <w:szCs w:val="18"/>
              </w:rPr>
              <w:t>Persistent/constant pain: Count 40, Weight: 0.1569 (15.69%) </w:t>
            </w:r>
          </w:p>
          <w:p w14:paraId="1F255B77" w14:textId="77777777" w:rsidR="00E9589B" w:rsidRPr="00732EED" w:rsidRDefault="00E9589B">
            <w:pPr>
              <w:pStyle w:val="ListParagraph"/>
              <w:numPr>
                <w:ilvl w:val="0"/>
                <w:numId w:val="4"/>
              </w:numPr>
              <w:rPr>
                <w:sz w:val="18"/>
                <w:szCs w:val="18"/>
              </w:rPr>
            </w:pPr>
            <w:r w:rsidRPr="00732EED">
              <w:rPr>
                <w:sz w:val="18"/>
                <w:szCs w:val="18"/>
              </w:rPr>
              <w:t>Fluctuating/variable symptoms: Count 23, Weight: 0.0902 (9.02%) </w:t>
            </w:r>
          </w:p>
          <w:p w14:paraId="773294C8" w14:textId="77777777" w:rsidR="00E9589B" w:rsidRPr="00732EED" w:rsidRDefault="00E9589B">
            <w:pPr>
              <w:pStyle w:val="ListParagraph"/>
              <w:numPr>
                <w:ilvl w:val="0"/>
                <w:numId w:val="4"/>
              </w:numPr>
              <w:rPr>
                <w:sz w:val="18"/>
                <w:szCs w:val="18"/>
              </w:rPr>
            </w:pPr>
            <w:r w:rsidRPr="00732EED">
              <w:rPr>
                <w:sz w:val="18"/>
                <w:szCs w:val="18"/>
              </w:rPr>
              <w:t>Overwhelming/dominant pain: Count 32, Weight: 0.1255 (12.55%) </w:t>
            </w:r>
          </w:p>
          <w:p w14:paraId="6A82B178" w14:textId="77777777" w:rsidR="00E9589B" w:rsidRPr="00732EED" w:rsidRDefault="00E9589B">
            <w:pPr>
              <w:pStyle w:val="ListParagraph"/>
              <w:numPr>
                <w:ilvl w:val="0"/>
                <w:numId w:val="4"/>
              </w:numPr>
              <w:rPr>
                <w:sz w:val="18"/>
                <w:szCs w:val="18"/>
              </w:rPr>
            </w:pPr>
            <w:r w:rsidRPr="00732EED">
              <w:rPr>
                <w:sz w:val="18"/>
                <w:szCs w:val="18"/>
              </w:rPr>
              <w:t>Pain as “master”: Count 35, Weight: 0.1373 (13.73%) </w:t>
            </w:r>
          </w:p>
          <w:p w14:paraId="32DF2954" w14:textId="77777777" w:rsidR="00E9589B" w:rsidRPr="00732EED" w:rsidRDefault="00E9589B">
            <w:pPr>
              <w:pStyle w:val="ListParagraph"/>
              <w:numPr>
                <w:ilvl w:val="0"/>
                <w:numId w:val="4"/>
              </w:numPr>
              <w:rPr>
                <w:sz w:val="18"/>
                <w:szCs w:val="18"/>
              </w:rPr>
            </w:pPr>
            <w:r w:rsidRPr="00732EED">
              <w:rPr>
                <w:sz w:val="18"/>
                <w:szCs w:val="18"/>
              </w:rPr>
              <w:t>Breakthrough pain: Count 10, Weight: 0.0392 (3.92%) </w:t>
            </w:r>
          </w:p>
          <w:p w14:paraId="36414219" w14:textId="77777777" w:rsidR="00E9589B" w:rsidRPr="00732EED" w:rsidRDefault="00E9589B">
            <w:pPr>
              <w:pStyle w:val="ListParagraph"/>
              <w:numPr>
                <w:ilvl w:val="0"/>
                <w:numId w:val="4"/>
              </w:numPr>
              <w:rPr>
                <w:sz w:val="18"/>
                <w:szCs w:val="18"/>
              </w:rPr>
            </w:pPr>
            <w:r w:rsidRPr="00732EED">
              <w:rPr>
                <w:sz w:val="18"/>
                <w:szCs w:val="18"/>
              </w:rPr>
              <w:t>Pain as physical violence/suffering: Count 32, Weight: 0.1255 (12.55%) </w:t>
            </w:r>
          </w:p>
          <w:p w14:paraId="009196F9" w14:textId="77777777" w:rsidR="00E9589B" w:rsidRPr="00732EED" w:rsidRDefault="00E9589B">
            <w:pPr>
              <w:pStyle w:val="ListParagraph"/>
              <w:numPr>
                <w:ilvl w:val="0"/>
                <w:numId w:val="4"/>
              </w:numPr>
              <w:rPr>
                <w:sz w:val="18"/>
                <w:szCs w:val="18"/>
              </w:rPr>
            </w:pPr>
            <w:r w:rsidRPr="00732EED">
              <w:rPr>
                <w:sz w:val="18"/>
                <w:szCs w:val="18"/>
              </w:rPr>
              <w:t>Fatigue and bodily limitation: Count 28, Weight: 0.1098 (10.98%) </w:t>
            </w:r>
          </w:p>
          <w:p w14:paraId="6C59726C" w14:textId="77777777" w:rsidR="00E9589B" w:rsidRPr="00732EED" w:rsidRDefault="00E9589B">
            <w:pPr>
              <w:pStyle w:val="ListParagraph"/>
              <w:numPr>
                <w:ilvl w:val="0"/>
                <w:numId w:val="4"/>
              </w:numPr>
              <w:rPr>
                <w:sz w:val="18"/>
                <w:szCs w:val="18"/>
              </w:rPr>
            </w:pPr>
            <w:r w:rsidRPr="00732EED">
              <w:rPr>
                <w:sz w:val="18"/>
                <w:szCs w:val="18"/>
              </w:rPr>
              <w:t>Unpleasant/unbearable sensations: Count 10, Weight: 0.0392 (3.92%) </w:t>
            </w:r>
          </w:p>
          <w:p w14:paraId="3E877A45" w14:textId="77777777" w:rsidR="00E9589B" w:rsidRPr="00732EED" w:rsidRDefault="00E9589B">
            <w:pPr>
              <w:pStyle w:val="ListParagraph"/>
              <w:numPr>
                <w:ilvl w:val="0"/>
                <w:numId w:val="4"/>
              </w:numPr>
              <w:rPr>
                <w:sz w:val="18"/>
                <w:szCs w:val="18"/>
              </w:rPr>
            </w:pPr>
            <w:r w:rsidRPr="00732EED">
              <w:rPr>
                <w:sz w:val="18"/>
                <w:szCs w:val="18"/>
              </w:rPr>
              <w:t>Pain difficult to describe/personified/objectified: Count 10, Weight: 0.0392 (3.92%)</w:t>
            </w:r>
          </w:p>
          <w:p w14:paraId="6E6A70C5" w14:textId="77777777" w:rsidR="00E9589B" w:rsidRPr="00732EED" w:rsidRDefault="00E9589B" w:rsidP="00DC5B3C">
            <w:pPr>
              <w:rPr>
                <w:sz w:val="18"/>
                <w:szCs w:val="18"/>
              </w:rPr>
            </w:pPr>
          </w:p>
        </w:tc>
        <w:tc>
          <w:tcPr>
            <w:tcW w:w="423" w:type="pct"/>
          </w:tcPr>
          <w:p w14:paraId="04752F41" w14:textId="77777777" w:rsidR="00E9589B" w:rsidRPr="00732EED" w:rsidRDefault="00E9589B" w:rsidP="00DC5B3C">
            <w:pPr>
              <w:rPr>
                <w:sz w:val="18"/>
                <w:szCs w:val="18"/>
              </w:rPr>
            </w:pPr>
            <w:r w:rsidRPr="00732EED">
              <w:rPr>
                <w:sz w:val="18"/>
                <w:szCs w:val="18"/>
              </w:rPr>
              <w:t>1, 8, 10, 19, 29, 30, 35, 47, 61, 70, 75, 81, 94</w:t>
            </w:r>
          </w:p>
        </w:tc>
        <w:tc>
          <w:tcPr>
            <w:tcW w:w="803" w:type="pct"/>
          </w:tcPr>
          <w:p w14:paraId="1EA2837E" w14:textId="77777777" w:rsidR="00E9589B" w:rsidRPr="00732EED" w:rsidRDefault="00E9589B" w:rsidP="00DC5B3C">
            <w:pPr>
              <w:rPr>
                <w:sz w:val="18"/>
                <w:szCs w:val="18"/>
              </w:rPr>
            </w:pPr>
            <w:r w:rsidRPr="00732EED">
              <w:rPr>
                <w:sz w:val="18"/>
                <w:szCs w:val="18"/>
              </w:rPr>
              <w:t>Pain intrusiveness: Physical (Pain &amp; Symptom Burden, Disease Intrusiveness), Psychological (Depression/Anxiety, Identity threat), Cognitive (Disease Intrusiveness). </w:t>
            </w:r>
          </w:p>
          <w:p w14:paraId="5B9B3910" w14:textId="77777777" w:rsidR="00E9589B" w:rsidRPr="00732EED" w:rsidRDefault="00E9589B" w:rsidP="00DC5B3C">
            <w:pPr>
              <w:rPr>
                <w:sz w:val="18"/>
                <w:szCs w:val="18"/>
              </w:rPr>
            </w:pPr>
            <w:r w:rsidRPr="00732EED">
              <w:rPr>
                <w:sz w:val="18"/>
                <w:szCs w:val="18"/>
              </w:rPr>
              <w:t>Persistent/constant pain: Physical (Pain &amp; Symptom Burden, Limitations), Chronic Pain (Dominance/Suffering), Psychological (Hopelessness, Fatigue impact). </w:t>
            </w:r>
          </w:p>
          <w:p w14:paraId="6CE8EECE" w14:textId="77777777" w:rsidR="00E9589B" w:rsidRPr="00732EED" w:rsidRDefault="00E9589B" w:rsidP="00DC5B3C">
            <w:pPr>
              <w:rPr>
                <w:sz w:val="18"/>
                <w:szCs w:val="18"/>
              </w:rPr>
            </w:pPr>
            <w:r w:rsidRPr="00732EED">
              <w:rPr>
                <w:sz w:val="18"/>
                <w:szCs w:val="18"/>
              </w:rPr>
              <w:t>Fluctuating/variable symptoms: Physical (Fluctuation/Unpredictability), Chronic Pain (Variability &amp; Mystery), Psychological (Uncertainty/Anxiety), Cognitive (Illness Representations). </w:t>
            </w:r>
          </w:p>
          <w:p w14:paraId="3F1E466D" w14:textId="77777777" w:rsidR="00E9589B" w:rsidRPr="00732EED" w:rsidRDefault="00E9589B" w:rsidP="00DC5B3C">
            <w:pPr>
              <w:rPr>
                <w:sz w:val="18"/>
                <w:szCs w:val="18"/>
              </w:rPr>
            </w:pPr>
            <w:r w:rsidRPr="00732EED">
              <w:rPr>
                <w:sz w:val="18"/>
                <w:szCs w:val="18"/>
              </w:rPr>
              <w:t>Overwhelming/dominant pain: Chronic Pain (Dominance / “Pain is the master”), Psychological (Depression/Helplessness), Social (role loss/withdrawal). </w:t>
            </w:r>
          </w:p>
          <w:p w14:paraId="0780AB87" w14:textId="77777777" w:rsidR="00E9589B" w:rsidRPr="00732EED" w:rsidRDefault="00E9589B" w:rsidP="00DC5B3C">
            <w:pPr>
              <w:rPr>
                <w:sz w:val="18"/>
                <w:szCs w:val="18"/>
              </w:rPr>
            </w:pPr>
            <w:r w:rsidRPr="00732EED">
              <w:rPr>
                <w:sz w:val="18"/>
                <w:szCs w:val="18"/>
              </w:rPr>
              <w:t>Pain as “master”: Chronic Pain (Dominance/personification), Psychological (Identity erosion), Cultural (metaphor/meaning). </w:t>
            </w:r>
          </w:p>
          <w:p w14:paraId="6E410B0B" w14:textId="77777777" w:rsidR="00E9589B" w:rsidRPr="00732EED" w:rsidRDefault="00E9589B" w:rsidP="00DC5B3C">
            <w:pPr>
              <w:rPr>
                <w:sz w:val="18"/>
                <w:szCs w:val="18"/>
              </w:rPr>
            </w:pPr>
            <w:r w:rsidRPr="00732EED">
              <w:rPr>
                <w:sz w:val="18"/>
                <w:szCs w:val="18"/>
              </w:rPr>
              <w:t xml:space="preserve">Breakthrough pain: Physical (Acute exacerbation within chronic pain), </w:t>
            </w:r>
            <w:r w:rsidRPr="00732EED">
              <w:rPr>
                <w:sz w:val="18"/>
                <w:szCs w:val="18"/>
              </w:rPr>
              <w:lastRenderedPageBreak/>
              <w:t>Healthcare/System (management/medication strategies), Psychological (fear/anxiety about flares). </w:t>
            </w:r>
          </w:p>
          <w:p w14:paraId="50519D41" w14:textId="77777777" w:rsidR="00E9589B" w:rsidRPr="00732EED" w:rsidRDefault="00E9589B" w:rsidP="00DC5B3C">
            <w:pPr>
              <w:rPr>
                <w:sz w:val="18"/>
                <w:szCs w:val="18"/>
              </w:rPr>
            </w:pPr>
            <w:r w:rsidRPr="00732EED">
              <w:rPr>
                <w:sz w:val="18"/>
                <w:szCs w:val="18"/>
              </w:rPr>
              <w:t>Pain as physical violence/suffering: Chronic Pain (Sensory Qualities &amp; Metaphors), Psychological (Suffering &amp; Distress), Cultural (metaphor, moral narratives). </w:t>
            </w:r>
          </w:p>
          <w:p w14:paraId="660AB4FB" w14:textId="77777777" w:rsidR="00E9589B" w:rsidRPr="00732EED" w:rsidRDefault="00E9589B" w:rsidP="00DC5B3C">
            <w:pPr>
              <w:rPr>
                <w:sz w:val="18"/>
                <w:szCs w:val="18"/>
              </w:rPr>
            </w:pPr>
            <w:r w:rsidRPr="00732EED">
              <w:rPr>
                <w:sz w:val="18"/>
                <w:szCs w:val="18"/>
              </w:rPr>
              <w:t>Fatigue and bodily limitation: Physical (Symptom burden, Limitations &amp; Disability), Psychological (reduced motivation/depression), Social (activity/role restriction). </w:t>
            </w:r>
          </w:p>
          <w:p w14:paraId="43CDF061" w14:textId="77777777" w:rsidR="00E9589B" w:rsidRPr="00732EED" w:rsidRDefault="00E9589B" w:rsidP="00DC5B3C">
            <w:pPr>
              <w:rPr>
                <w:sz w:val="18"/>
                <w:szCs w:val="18"/>
              </w:rPr>
            </w:pPr>
            <w:r w:rsidRPr="00732EED">
              <w:rPr>
                <w:sz w:val="18"/>
                <w:szCs w:val="18"/>
              </w:rPr>
              <w:t>Unpleasant/unbearable sensations: Physical (Severe symptom burden, Sensory Qualities), Psychological (distress/hopelessness), Healthcare/System (need for effective management). </w:t>
            </w:r>
          </w:p>
          <w:p w14:paraId="4E8B81FE" w14:textId="77777777" w:rsidR="00E9589B" w:rsidRPr="00732EED" w:rsidRDefault="00E9589B" w:rsidP="00DC5B3C">
            <w:pPr>
              <w:rPr>
                <w:sz w:val="18"/>
                <w:szCs w:val="18"/>
              </w:rPr>
            </w:pPr>
            <w:r w:rsidRPr="00732EED">
              <w:rPr>
                <w:sz w:val="18"/>
                <w:szCs w:val="18"/>
              </w:rPr>
              <w:t>Pain difficult to describe/personified/objectified: Cognitive (Illness Representations, Existential Meaning), Psychological (Narratological distress, Identity), Chronic Pain (Sensory Qualities &amp; Metaphors), Social (communication/validation).</w:t>
            </w:r>
          </w:p>
          <w:p w14:paraId="5906D56C" w14:textId="77777777" w:rsidR="00E9589B" w:rsidRPr="00732EED" w:rsidRDefault="00E9589B" w:rsidP="00DC5B3C">
            <w:pPr>
              <w:rPr>
                <w:sz w:val="18"/>
                <w:szCs w:val="18"/>
              </w:rPr>
            </w:pPr>
          </w:p>
        </w:tc>
        <w:tc>
          <w:tcPr>
            <w:tcW w:w="729" w:type="pct"/>
          </w:tcPr>
          <w:p w14:paraId="76367C81" w14:textId="77777777" w:rsidR="00E9589B" w:rsidRPr="00732EED" w:rsidRDefault="00E9589B" w:rsidP="00DC5B3C">
            <w:pPr>
              <w:rPr>
                <w:sz w:val="18"/>
                <w:szCs w:val="18"/>
              </w:rPr>
            </w:pPr>
            <w:r w:rsidRPr="00732EED">
              <w:rPr>
                <w:sz w:val="18"/>
                <w:szCs w:val="18"/>
              </w:rPr>
              <w:lastRenderedPageBreak/>
              <w:t>Physical: Count: 135, Weight: 135/94: 1.4362 (143.62%);</w:t>
            </w:r>
          </w:p>
          <w:p w14:paraId="23534CC3" w14:textId="77777777" w:rsidR="00E9589B" w:rsidRPr="00732EED" w:rsidRDefault="00E9589B" w:rsidP="00DC5B3C">
            <w:pPr>
              <w:rPr>
                <w:sz w:val="18"/>
                <w:szCs w:val="18"/>
              </w:rPr>
            </w:pPr>
            <w:r w:rsidRPr="00732EED">
              <w:rPr>
                <w:sz w:val="18"/>
                <w:szCs w:val="18"/>
              </w:rPr>
              <w:t>Pain &amp; symptom burden: Count 40, Weight: 40/94: 0.4255 (42.55%) </w:t>
            </w:r>
          </w:p>
          <w:p w14:paraId="4DB49DE5" w14:textId="77777777" w:rsidR="00E9589B" w:rsidRPr="00732EED" w:rsidRDefault="00E9589B" w:rsidP="00DC5B3C">
            <w:pPr>
              <w:rPr>
                <w:sz w:val="18"/>
                <w:szCs w:val="18"/>
              </w:rPr>
            </w:pPr>
            <w:r w:rsidRPr="00732EED">
              <w:rPr>
                <w:sz w:val="18"/>
                <w:szCs w:val="18"/>
              </w:rPr>
              <w:t>Activity &amp; pacing: Count 32, Weight: 32/94: 0.3404 (34.04%); </w:t>
            </w:r>
          </w:p>
          <w:p w14:paraId="251A37DB" w14:textId="77777777" w:rsidR="00E9589B" w:rsidRPr="00732EED" w:rsidRDefault="00E9589B" w:rsidP="00DC5B3C">
            <w:pPr>
              <w:rPr>
                <w:sz w:val="18"/>
                <w:szCs w:val="18"/>
              </w:rPr>
            </w:pPr>
            <w:r w:rsidRPr="00732EED">
              <w:rPr>
                <w:sz w:val="18"/>
                <w:szCs w:val="18"/>
              </w:rPr>
              <w:t>Limitations &amp; disability: Count 28, Weight: 28/94: 0.2979 (29.79%) </w:t>
            </w:r>
          </w:p>
          <w:p w14:paraId="79DD81FB" w14:textId="77777777" w:rsidR="00E9589B" w:rsidRPr="00732EED" w:rsidRDefault="00E9589B" w:rsidP="00DC5B3C">
            <w:pPr>
              <w:rPr>
                <w:sz w:val="18"/>
                <w:szCs w:val="18"/>
              </w:rPr>
            </w:pPr>
            <w:r w:rsidRPr="00732EED">
              <w:rPr>
                <w:sz w:val="18"/>
                <w:szCs w:val="18"/>
              </w:rPr>
              <w:t>Fluctuation / unpredictability: Count 18, Weight: 18/94: 0.1915 (19.15%);</w:t>
            </w:r>
          </w:p>
          <w:p w14:paraId="41D06794" w14:textId="77777777" w:rsidR="00E9589B" w:rsidRPr="00732EED" w:rsidRDefault="00E9589B" w:rsidP="00DC5B3C">
            <w:pPr>
              <w:rPr>
                <w:sz w:val="18"/>
                <w:szCs w:val="18"/>
              </w:rPr>
            </w:pPr>
            <w:r w:rsidRPr="00732EED">
              <w:rPr>
                <w:sz w:val="18"/>
                <w:szCs w:val="18"/>
              </w:rPr>
              <w:t>Autonomy &amp; independence: Count 10, Weight: 10/94: 0.1064 (10.64%) </w:t>
            </w:r>
          </w:p>
          <w:p w14:paraId="73227A18" w14:textId="77777777" w:rsidR="00E9589B" w:rsidRPr="00732EED" w:rsidRDefault="00E9589B" w:rsidP="00DC5B3C">
            <w:pPr>
              <w:rPr>
                <w:sz w:val="18"/>
                <w:szCs w:val="18"/>
              </w:rPr>
            </w:pPr>
            <w:r w:rsidRPr="00732EED">
              <w:rPr>
                <w:sz w:val="18"/>
                <w:szCs w:val="18"/>
              </w:rPr>
              <w:t>Transportation &amp; environment: Count 7, Weight: 7/94: 0.0745 (7.45%)</w:t>
            </w:r>
          </w:p>
          <w:p w14:paraId="0CB2E90D" w14:textId="77777777" w:rsidR="00E9589B" w:rsidRPr="00732EED" w:rsidRDefault="00E9589B" w:rsidP="00DC5B3C">
            <w:pPr>
              <w:rPr>
                <w:sz w:val="18"/>
                <w:szCs w:val="18"/>
              </w:rPr>
            </w:pPr>
            <w:r w:rsidRPr="00732EED">
              <w:rPr>
                <w:sz w:val="18"/>
                <w:szCs w:val="18"/>
              </w:rPr>
              <w:t>Chronic Pain: Count: 120, Weight: 120/94: 1.2766 (127.66%);</w:t>
            </w:r>
          </w:p>
          <w:p w14:paraId="46A354CA" w14:textId="77777777" w:rsidR="00E9589B" w:rsidRPr="00732EED" w:rsidRDefault="00E9589B" w:rsidP="00DC5B3C">
            <w:pPr>
              <w:rPr>
                <w:sz w:val="18"/>
                <w:szCs w:val="18"/>
              </w:rPr>
            </w:pPr>
            <w:r w:rsidRPr="00732EED">
              <w:rPr>
                <w:sz w:val="18"/>
                <w:szCs w:val="18"/>
              </w:rPr>
              <w:t>Dominance / “pain is the master”: Count 35, Weight: 35/94: 0.3723 (37.23%) </w:t>
            </w:r>
          </w:p>
          <w:p w14:paraId="02F8A4A6" w14:textId="77777777" w:rsidR="00E9589B" w:rsidRPr="00732EED" w:rsidRDefault="00E9589B" w:rsidP="00DC5B3C">
            <w:pPr>
              <w:rPr>
                <w:sz w:val="18"/>
                <w:szCs w:val="18"/>
              </w:rPr>
            </w:pPr>
            <w:r w:rsidRPr="00732EED">
              <w:rPr>
                <w:sz w:val="18"/>
                <w:szCs w:val="18"/>
              </w:rPr>
              <w:t>Suffering &amp; distress: Count 32, Weight: 32/94: 0.3404 (34.04%);</w:t>
            </w:r>
          </w:p>
          <w:p w14:paraId="17D130ED" w14:textId="77777777" w:rsidR="00E9589B" w:rsidRPr="00732EED" w:rsidRDefault="00E9589B" w:rsidP="00DC5B3C">
            <w:pPr>
              <w:rPr>
                <w:sz w:val="18"/>
                <w:szCs w:val="18"/>
              </w:rPr>
            </w:pPr>
            <w:r w:rsidRPr="00732EED">
              <w:rPr>
                <w:sz w:val="18"/>
                <w:szCs w:val="18"/>
              </w:rPr>
              <w:t>Variability &amp; mystery: Count 23, Weight: 23/94: 0.2447 (24.47%) </w:t>
            </w:r>
          </w:p>
          <w:p w14:paraId="4F4EA58D" w14:textId="77777777" w:rsidR="00E9589B" w:rsidRPr="00732EED" w:rsidRDefault="00E9589B" w:rsidP="00DC5B3C">
            <w:pPr>
              <w:rPr>
                <w:sz w:val="18"/>
                <w:szCs w:val="18"/>
              </w:rPr>
            </w:pPr>
            <w:r w:rsidRPr="00732EED">
              <w:rPr>
                <w:sz w:val="18"/>
                <w:szCs w:val="18"/>
              </w:rPr>
              <w:t xml:space="preserve">Mobility &amp; function: Count 20, Weight: </w:t>
            </w:r>
            <w:r w:rsidRPr="00732EED">
              <w:rPr>
                <w:sz w:val="18"/>
                <w:szCs w:val="18"/>
              </w:rPr>
              <w:lastRenderedPageBreak/>
              <w:t>20/94: 0.2128 (21.28%);</w:t>
            </w:r>
          </w:p>
          <w:p w14:paraId="1731FE92" w14:textId="77777777" w:rsidR="00E9589B" w:rsidRPr="00732EED" w:rsidRDefault="00E9589B" w:rsidP="00DC5B3C">
            <w:pPr>
              <w:rPr>
                <w:sz w:val="18"/>
                <w:szCs w:val="18"/>
              </w:rPr>
            </w:pPr>
            <w:r w:rsidRPr="00732EED">
              <w:rPr>
                <w:sz w:val="18"/>
                <w:szCs w:val="18"/>
              </w:rPr>
              <w:t>Sensory qualities &amp; metaphors: Count 10, Weight: 10/94: 0.1064 (10.64%).</w:t>
            </w:r>
          </w:p>
          <w:p w14:paraId="73FFF38A" w14:textId="77777777" w:rsidR="00E9589B" w:rsidRPr="00732EED" w:rsidRDefault="00E9589B" w:rsidP="00DC5B3C">
            <w:pPr>
              <w:rPr>
                <w:sz w:val="18"/>
                <w:szCs w:val="18"/>
              </w:rPr>
            </w:pPr>
          </w:p>
        </w:tc>
      </w:tr>
      <w:tr w:rsidR="00E9589B" w:rsidRPr="00732EED" w14:paraId="214338CE" w14:textId="77777777" w:rsidTr="001F2CA8">
        <w:tc>
          <w:tcPr>
            <w:tcW w:w="497" w:type="pct"/>
          </w:tcPr>
          <w:p w14:paraId="4A64B9FF" w14:textId="77777777" w:rsidR="00E9589B" w:rsidRPr="00732EED" w:rsidRDefault="00E9589B" w:rsidP="00DC5B3C">
            <w:pPr>
              <w:rPr>
                <w:sz w:val="18"/>
                <w:szCs w:val="18"/>
              </w:rPr>
            </w:pPr>
            <w:r w:rsidRPr="00732EED">
              <w:rPr>
                <w:sz w:val="18"/>
                <w:szCs w:val="18"/>
              </w:rPr>
              <w:lastRenderedPageBreak/>
              <w:t>Functional impact and activity restriction</w:t>
            </w:r>
          </w:p>
        </w:tc>
        <w:tc>
          <w:tcPr>
            <w:tcW w:w="497" w:type="pct"/>
          </w:tcPr>
          <w:p w14:paraId="154043E8" w14:textId="77777777" w:rsidR="00E9589B" w:rsidRPr="00732EED" w:rsidRDefault="00E9589B" w:rsidP="00DC5B3C">
            <w:pPr>
              <w:rPr>
                <w:sz w:val="18"/>
                <w:szCs w:val="18"/>
              </w:rPr>
            </w:pPr>
            <w:r w:rsidRPr="00732EED">
              <w:rPr>
                <w:sz w:val="18"/>
                <w:szCs w:val="18"/>
              </w:rPr>
              <w:t xml:space="preserve">Functional impact and activity restriction - Raw count: </w:t>
            </w:r>
            <w:r w:rsidRPr="00732EED">
              <w:rPr>
                <w:sz w:val="18"/>
                <w:szCs w:val="18"/>
              </w:rPr>
              <w:lastRenderedPageBreak/>
              <w:t>80/94; Weight: 0.8511 (85.11%).</w:t>
            </w:r>
          </w:p>
        </w:tc>
        <w:tc>
          <w:tcPr>
            <w:tcW w:w="1019" w:type="pct"/>
          </w:tcPr>
          <w:p w14:paraId="5D79CDB5" w14:textId="77777777" w:rsidR="00E9589B" w:rsidRPr="00732EED" w:rsidRDefault="00E9589B">
            <w:pPr>
              <w:pStyle w:val="ListParagraph"/>
              <w:numPr>
                <w:ilvl w:val="0"/>
                <w:numId w:val="9"/>
              </w:numPr>
              <w:rPr>
                <w:sz w:val="18"/>
                <w:szCs w:val="18"/>
              </w:rPr>
            </w:pPr>
            <w:r w:rsidRPr="00732EED">
              <w:rPr>
                <w:sz w:val="18"/>
                <w:szCs w:val="18"/>
              </w:rPr>
              <w:lastRenderedPageBreak/>
              <w:t>Inability to function</w:t>
            </w:r>
          </w:p>
          <w:p w14:paraId="24D57BF6" w14:textId="77777777" w:rsidR="00E9589B" w:rsidRPr="00732EED" w:rsidRDefault="00E9589B">
            <w:pPr>
              <w:pStyle w:val="ListParagraph"/>
              <w:numPr>
                <w:ilvl w:val="0"/>
                <w:numId w:val="9"/>
              </w:numPr>
              <w:rPr>
                <w:sz w:val="18"/>
                <w:szCs w:val="18"/>
              </w:rPr>
            </w:pPr>
            <w:r w:rsidRPr="00732EED">
              <w:rPr>
                <w:sz w:val="18"/>
                <w:szCs w:val="18"/>
              </w:rPr>
              <w:t>Impaired physical activity</w:t>
            </w:r>
          </w:p>
          <w:p w14:paraId="2D0152BA" w14:textId="77777777" w:rsidR="00E9589B" w:rsidRPr="00732EED" w:rsidRDefault="00E9589B">
            <w:pPr>
              <w:pStyle w:val="ListParagraph"/>
              <w:numPr>
                <w:ilvl w:val="0"/>
                <w:numId w:val="9"/>
              </w:numPr>
              <w:rPr>
                <w:sz w:val="18"/>
                <w:szCs w:val="18"/>
              </w:rPr>
            </w:pPr>
            <w:r w:rsidRPr="00732EED">
              <w:rPr>
                <w:sz w:val="18"/>
                <w:szCs w:val="18"/>
              </w:rPr>
              <w:t>Difficulty with daily tasks</w:t>
            </w:r>
          </w:p>
          <w:p w14:paraId="26CF728D" w14:textId="77777777" w:rsidR="00E9589B" w:rsidRPr="00732EED" w:rsidRDefault="00E9589B">
            <w:pPr>
              <w:pStyle w:val="ListParagraph"/>
              <w:numPr>
                <w:ilvl w:val="0"/>
                <w:numId w:val="9"/>
              </w:numPr>
              <w:rPr>
                <w:sz w:val="18"/>
                <w:szCs w:val="18"/>
              </w:rPr>
            </w:pPr>
            <w:r w:rsidRPr="00732EED">
              <w:rPr>
                <w:sz w:val="18"/>
                <w:szCs w:val="18"/>
              </w:rPr>
              <w:lastRenderedPageBreak/>
              <w:t>Reduced mobility</w:t>
            </w:r>
          </w:p>
          <w:p w14:paraId="7F6A61E9" w14:textId="77777777" w:rsidR="00E9589B" w:rsidRPr="00732EED" w:rsidRDefault="00E9589B">
            <w:pPr>
              <w:pStyle w:val="ListParagraph"/>
              <w:numPr>
                <w:ilvl w:val="0"/>
                <w:numId w:val="9"/>
              </w:numPr>
              <w:rPr>
                <w:sz w:val="18"/>
                <w:szCs w:val="18"/>
              </w:rPr>
            </w:pPr>
            <w:r w:rsidRPr="00732EED">
              <w:rPr>
                <w:sz w:val="18"/>
                <w:szCs w:val="18"/>
              </w:rPr>
              <w:t>Dependence in activities</w:t>
            </w:r>
          </w:p>
          <w:p w14:paraId="2F3B2DEB" w14:textId="77777777" w:rsidR="00E9589B" w:rsidRPr="00732EED" w:rsidRDefault="00E9589B">
            <w:pPr>
              <w:pStyle w:val="ListParagraph"/>
              <w:numPr>
                <w:ilvl w:val="0"/>
                <w:numId w:val="9"/>
              </w:numPr>
              <w:rPr>
                <w:sz w:val="18"/>
                <w:szCs w:val="18"/>
              </w:rPr>
            </w:pPr>
            <w:r w:rsidRPr="00732EED">
              <w:rPr>
                <w:sz w:val="18"/>
                <w:szCs w:val="18"/>
              </w:rPr>
              <w:t>Doing less</w:t>
            </w:r>
          </w:p>
          <w:p w14:paraId="0C5D5708" w14:textId="77777777" w:rsidR="00E9589B" w:rsidRPr="00732EED" w:rsidRDefault="00E9589B">
            <w:pPr>
              <w:pStyle w:val="ListParagraph"/>
              <w:numPr>
                <w:ilvl w:val="0"/>
                <w:numId w:val="9"/>
              </w:numPr>
              <w:rPr>
                <w:sz w:val="18"/>
                <w:szCs w:val="18"/>
              </w:rPr>
            </w:pPr>
            <w:r w:rsidRPr="00732EED">
              <w:rPr>
                <w:sz w:val="18"/>
                <w:szCs w:val="18"/>
              </w:rPr>
              <w:t>Activity as both motivator and barrier</w:t>
            </w:r>
          </w:p>
          <w:p w14:paraId="73E08C65" w14:textId="77777777" w:rsidR="00E9589B" w:rsidRPr="00732EED" w:rsidRDefault="00E9589B">
            <w:pPr>
              <w:pStyle w:val="ListParagraph"/>
              <w:numPr>
                <w:ilvl w:val="0"/>
                <w:numId w:val="9"/>
              </w:numPr>
              <w:rPr>
                <w:sz w:val="18"/>
                <w:szCs w:val="18"/>
              </w:rPr>
            </w:pPr>
            <w:r w:rsidRPr="00732EED">
              <w:rPr>
                <w:sz w:val="18"/>
                <w:szCs w:val="18"/>
              </w:rPr>
              <w:t>Self-care impairment</w:t>
            </w:r>
          </w:p>
          <w:p w14:paraId="0876EB44" w14:textId="77777777" w:rsidR="00E9589B" w:rsidRPr="00732EED" w:rsidRDefault="00E9589B">
            <w:pPr>
              <w:pStyle w:val="ListParagraph"/>
              <w:numPr>
                <w:ilvl w:val="0"/>
                <w:numId w:val="9"/>
              </w:numPr>
              <w:rPr>
                <w:sz w:val="18"/>
                <w:szCs w:val="18"/>
              </w:rPr>
            </w:pPr>
            <w:r w:rsidRPr="00732EED">
              <w:rPr>
                <w:sz w:val="18"/>
                <w:szCs w:val="18"/>
              </w:rPr>
              <w:t>Limited participation in work/home life</w:t>
            </w:r>
          </w:p>
        </w:tc>
        <w:tc>
          <w:tcPr>
            <w:tcW w:w="1034" w:type="pct"/>
          </w:tcPr>
          <w:p w14:paraId="552C4AD2" w14:textId="77777777" w:rsidR="00E9589B" w:rsidRPr="00732EED" w:rsidRDefault="00E9589B">
            <w:pPr>
              <w:pStyle w:val="ListParagraph"/>
              <w:numPr>
                <w:ilvl w:val="0"/>
                <w:numId w:val="5"/>
              </w:numPr>
              <w:rPr>
                <w:sz w:val="18"/>
                <w:szCs w:val="18"/>
              </w:rPr>
            </w:pPr>
            <w:r w:rsidRPr="00732EED">
              <w:rPr>
                <w:sz w:val="18"/>
                <w:szCs w:val="18"/>
              </w:rPr>
              <w:lastRenderedPageBreak/>
              <w:t>Inability to function: Count 28, Weight: 0.1217 (12.17%) </w:t>
            </w:r>
          </w:p>
          <w:p w14:paraId="1F3F4032" w14:textId="77777777" w:rsidR="00E9589B" w:rsidRPr="00732EED" w:rsidRDefault="00E9589B">
            <w:pPr>
              <w:pStyle w:val="ListParagraph"/>
              <w:numPr>
                <w:ilvl w:val="0"/>
                <w:numId w:val="5"/>
              </w:numPr>
              <w:rPr>
                <w:sz w:val="18"/>
                <w:szCs w:val="18"/>
              </w:rPr>
            </w:pPr>
            <w:r w:rsidRPr="00732EED">
              <w:rPr>
                <w:sz w:val="18"/>
                <w:szCs w:val="18"/>
              </w:rPr>
              <w:lastRenderedPageBreak/>
              <w:t>Impaired physical activity: Count 32, Weight: 0.1391 (13.91%) </w:t>
            </w:r>
          </w:p>
          <w:p w14:paraId="588E72D6" w14:textId="77777777" w:rsidR="00E9589B" w:rsidRPr="00732EED" w:rsidRDefault="00E9589B">
            <w:pPr>
              <w:pStyle w:val="ListParagraph"/>
              <w:numPr>
                <w:ilvl w:val="0"/>
                <w:numId w:val="5"/>
              </w:numPr>
              <w:rPr>
                <w:sz w:val="18"/>
                <w:szCs w:val="18"/>
              </w:rPr>
            </w:pPr>
            <w:r w:rsidRPr="00732EED">
              <w:rPr>
                <w:sz w:val="18"/>
                <w:szCs w:val="18"/>
              </w:rPr>
              <w:t>Difficulty with daily tasks: Count 28, Weight: 0.1217 (12.17%) </w:t>
            </w:r>
          </w:p>
          <w:p w14:paraId="6BD8702E" w14:textId="77777777" w:rsidR="00E9589B" w:rsidRPr="00732EED" w:rsidRDefault="00E9589B">
            <w:pPr>
              <w:pStyle w:val="ListParagraph"/>
              <w:numPr>
                <w:ilvl w:val="0"/>
                <w:numId w:val="5"/>
              </w:numPr>
              <w:rPr>
                <w:sz w:val="18"/>
                <w:szCs w:val="18"/>
              </w:rPr>
            </w:pPr>
            <w:r w:rsidRPr="00732EED">
              <w:rPr>
                <w:sz w:val="18"/>
                <w:szCs w:val="18"/>
              </w:rPr>
              <w:t>Reduced mobility: Count 20, Weight: 0.0870 (8.70%) </w:t>
            </w:r>
          </w:p>
          <w:p w14:paraId="695478E3" w14:textId="77777777" w:rsidR="00E9589B" w:rsidRPr="00732EED" w:rsidRDefault="00E9589B">
            <w:pPr>
              <w:pStyle w:val="ListParagraph"/>
              <w:numPr>
                <w:ilvl w:val="0"/>
                <w:numId w:val="5"/>
              </w:numPr>
              <w:rPr>
                <w:sz w:val="18"/>
                <w:szCs w:val="18"/>
              </w:rPr>
            </w:pPr>
            <w:r w:rsidRPr="00732EED">
              <w:rPr>
                <w:sz w:val="18"/>
                <w:szCs w:val="18"/>
              </w:rPr>
              <w:t>Dependence in activities: Count 10, Weight: 0.0435 (4.35%) </w:t>
            </w:r>
          </w:p>
          <w:p w14:paraId="68AE971F" w14:textId="77777777" w:rsidR="00E9589B" w:rsidRPr="00732EED" w:rsidRDefault="00E9589B">
            <w:pPr>
              <w:pStyle w:val="ListParagraph"/>
              <w:numPr>
                <w:ilvl w:val="0"/>
                <w:numId w:val="5"/>
              </w:numPr>
              <w:rPr>
                <w:sz w:val="18"/>
                <w:szCs w:val="18"/>
              </w:rPr>
            </w:pPr>
            <w:r w:rsidRPr="00732EED">
              <w:rPr>
                <w:sz w:val="18"/>
                <w:szCs w:val="18"/>
              </w:rPr>
              <w:t>Doing less: Count 32, Weight: 0.1391 (13.91%) </w:t>
            </w:r>
          </w:p>
          <w:p w14:paraId="0CE8675E" w14:textId="77777777" w:rsidR="00E9589B" w:rsidRPr="00732EED" w:rsidRDefault="00E9589B">
            <w:pPr>
              <w:pStyle w:val="ListParagraph"/>
              <w:numPr>
                <w:ilvl w:val="0"/>
                <w:numId w:val="5"/>
              </w:numPr>
              <w:rPr>
                <w:sz w:val="18"/>
                <w:szCs w:val="18"/>
              </w:rPr>
            </w:pPr>
            <w:r w:rsidRPr="00732EED">
              <w:rPr>
                <w:sz w:val="18"/>
                <w:szCs w:val="18"/>
              </w:rPr>
              <w:t>Activity as both motivator and barrier: Count 32, Weight: 0.1391 (13.91%) </w:t>
            </w:r>
          </w:p>
          <w:p w14:paraId="4AD2323A" w14:textId="77777777" w:rsidR="00E9589B" w:rsidRPr="00732EED" w:rsidRDefault="00E9589B">
            <w:pPr>
              <w:pStyle w:val="ListParagraph"/>
              <w:numPr>
                <w:ilvl w:val="0"/>
                <w:numId w:val="5"/>
              </w:numPr>
              <w:rPr>
                <w:sz w:val="18"/>
                <w:szCs w:val="18"/>
              </w:rPr>
            </w:pPr>
            <w:r w:rsidRPr="00732EED">
              <w:rPr>
                <w:sz w:val="18"/>
                <w:szCs w:val="18"/>
              </w:rPr>
              <w:t>Self-care impairment: Count 28, Weight: 0.1217 (12.17%) </w:t>
            </w:r>
          </w:p>
          <w:p w14:paraId="7CDDB3EF" w14:textId="77777777" w:rsidR="00E9589B" w:rsidRPr="00732EED" w:rsidRDefault="00E9589B">
            <w:pPr>
              <w:pStyle w:val="ListParagraph"/>
              <w:numPr>
                <w:ilvl w:val="0"/>
                <w:numId w:val="5"/>
              </w:numPr>
              <w:rPr>
                <w:sz w:val="18"/>
                <w:szCs w:val="18"/>
              </w:rPr>
            </w:pPr>
            <w:r w:rsidRPr="00732EED">
              <w:rPr>
                <w:sz w:val="18"/>
                <w:szCs w:val="18"/>
              </w:rPr>
              <w:t>Limited participation in work/home life: Count 20, Weight: 0.0870 (8.70%)</w:t>
            </w:r>
          </w:p>
          <w:p w14:paraId="604CC1FF" w14:textId="77777777" w:rsidR="00E9589B" w:rsidRPr="00732EED" w:rsidRDefault="00E9589B" w:rsidP="00DC5B3C">
            <w:pPr>
              <w:rPr>
                <w:sz w:val="18"/>
                <w:szCs w:val="18"/>
              </w:rPr>
            </w:pPr>
          </w:p>
        </w:tc>
        <w:tc>
          <w:tcPr>
            <w:tcW w:w="423" w:type="pct"/>
          </w:tcPr>
          <w:p w14:paraId="7BBB3C4F" w14:textId="77777777" w:rsidR="00E9589B" w:rsidRPr="00732EED" w:rsidRDefault="00E9589B" w:rsidP="00DC5B3C">
            <w:pPr>
              <w:rPr>
                <w:sz w:val="18"/>
                <w:szCs w:val="18"/>
              </w:rPr>
            </w:pPr>
            <w:r w:rsidRPr="00732EED">
              <w:rPr>
                <w:sz w:val="18"/>
                <w:szCs w:val="18"/>
              </w:rPr>
              <w:lastRenderedPageBreak/>
              <w:t>1, 3, 10, 21, 24, 31, 39, 46, 49, 52, 55, 81, 88, 94</w:t>
            </w:r>
          </w:p>
        </w:tc>
        <w:tc>
          <w:tcPr>
            <w:tcW w:w="803" w:type="pct"/>
          </w:tcPr>
          <w:p w14:paraId="59059962" w14:textId="77777777" w:rsidR="00E9589B" w:rsidRPr="00732EED" w:rsidRDefault="00E9589B" w:rsidP="00DC5B3C">
            <w:pPr>
              <w:rPr>
                <w:sz w:val="18"/>
                <w:szCs w:val="18"/>
              </w:rPr>
            </w:pPr>
            <w:r w:rsidRPr="00732EED">
              <w:rPr>
                <w:sz w:val="18"/>
                <w:szCs w:val="18"/>
              </w:rPr>
              <w:t xml:space="preserve">Inability to function: Physical (Limitations &amp; Disability), Psychological (Depression/Hopelessness, Identity threat), Social </w:t>
            </w:r>
            <w:r w:rsidRPr="00732EED">
              <w:rPr>
                <w:sz w:val="18"/>
                <w:szCs w:val="18"/>
              </w:rPr>
              <w:lastRenderedPageBreak/>
              <w:t>(Role loss, Family impact), Healthcare/System (access to support). </w:t>
            </w:r>
          </w:p>
          <w:p w14:paraId="46DA3A04" w14:textId="77777777" w:rsidR="00E9589B" w:rsidRPr="00732EED" w:rsidRDefault="00E9589B" w:rsidP="00DC5B3C">
            <w:pPr>
              <w:rPr>
                <w:sz w:val="18"/>
                <w:szCs w:val="18"/>
              </w:rPr>
            </w:pPr>
            <w:r w:rsidRPr="00732EED">
              <w:rPr>
                <w:sz w:val="18"/>
                <w:szCs w:val="18"/>
              </w:rPr>
              <w:t>Impaired physical activity: Physical (Pain &amp; Symptom Burden, Mobility), Healthcare/System (rehab/programs), Psychological (reduced motivation/anxiety), Environmental (home/work adaptations). </w:t>
            </w:r>
          </w:p>
          <w:p w14:paraId="3CF07722" w14:textId="77777777" w:rsidR="00E9589B" w:rsidRPr="00732EED" w:rsidRDefault="00E9589B" w:rsidP="00DC5B3C">
            <w:pPr>
              <w:rPr>
                <w:sz w:val="18"/>
                <w:szCs w:val="18"/>
              </w:rPr>
            </w:pPr>
            <w:r w:rsidRPr="00732EED">
              <w:rPr>
                <w:sz w:val="18"/>
                <w:szCs w:val="18"/>
              </w:rPr>
              <w:t>Difficulty with daily tasks: Physical (Limitations &amp; Disability), Psychological (self</w:t>
            </w:r>
            <w:r w:rsidRPr="00732EED">
              <w:rPr>
                <w:sz w:val="18"/>
                <w:szCs w:val="18"/>
              </w:rPr>
              <w:noBreakHyphen/>
              <w:t>esteem/identity threat), Social (dependence/reciprocity), Environmental (home adaptations). </w:t>
            </w:r>
          </w:p>
          <w:p w14:paraId="7017185C" w14:textId="77777777" w:rsidR="00E9589B" w:rsidRPr="00732EED" w:rsidRDefault="00E9589B" w:rsidP="00DC5B3C">
            <w:pPr>
              <w:rPr>
                <w:sz w:val="18"/>
                <w:szCs w:val="18"/>
              </w:rPr>
            </w:pPr>
            <w:r w:rsidRPr="00732EED">
              <w:rPr>
                <w:sz w:val="18"/>
                <w:szCs w:val="18"/>
              </w:rPr>
              <w:t>Reduced mobility: Physical (Mobility &amp; Function), Chronic Pain (impact on function), Environmental (transport/access), Healthcare/System (assistive services). </w:t>
            </w:r>
          </w:p>
          <w:p w14:paraId="410E666D" w14:textId="77777777" w:rsidR="00E9589B" w:rsidRPr="00732EED" w:rsidRDefault="00E9589B" w:rsidP="00DC5B3C">
            <w:pPr>
              <w:rPr>
                <w:sz w:val="18"/>
                <w:szCs w:val="18"/>
              </w:rPr>
            </w:pPr>
            <w:r w:rsidRPr="00732EED">
              <w:rPr>
                <w:sz w:val="18"/>
                <w:szCs w:val="18"/>
              </w:rPr>
              <w:t>Dependence in activities: Social (caregiving/family dynamics), Physical (loss of autonomy), Psychological (identity/agency threat), Healthcare/System (formal support services). </w:t>
            </w:r>
          </w:p>
          <w:p w14:paraId="607C37BE" w14:textId="77777777" w:rsidR="00E9589B" w:rsidRPr="00732EED" w:rsidRDefault="00E9589B" w:rsidP="00DC5B3C">
            <w:pPr>
              <w:rPr>
                <w:sz w:val="18"/>
                <w:szCs w:val="18"/>
              </w:rPr>
            </w:pPr>
            <w:r w:rsidRPr="00732EED">
              <w:rPr>
                <w:sz w:val="18"/>
                <w:szCs w:val="18"/>
              </w:rPr>
              <w:t>Doing less: Physical (activity reduction), Psychological (adaptation/resignation, resilience vs retreat), Social (reduced participation), Chronic Pain (management strategies). </w:t>
            </w:r>
          </w:p>
          <w:p w14:paraId="18734D31" w14:textId="77777777" w:rsidR="00E9589B" w:rsidRPr="00732EED" w:rsidRDefault="00E9589B" w:rsidP="00DC5B3C">
            <w:pPr>
              <w:rPr>
                <w:sz w:val="18"/>
                <w:szCs w:val="18"/>
              </w:rPr>
            </w:pPr>
            <w:r w:rsidRPr="00732EED">
              <w:rPr>
                <w:sz w:val="18"/>
                <w:szCs w:val="18"/>
              </w:rPr>
              <w:lastRenderedPageBreak/>
              <w:t>Activity as both motivator and barrier: Psychological (ambivalence, motivation), Physical (activity/pacing), Healthcare/System (rehab support), Social (role/expectations). </w:t>
            </w:r>
          </w:p>
          <w:p w14:paraId="1A650A20" w14:textId="77777777" w:rsidR="00E9589B" w:rsidRPr="00732EED" w:rsidRDefault="00E9589B" w:rsidP="00DC5B3C">
            <w:pPr>
              <w:rPr>
                <w:sz w:val="18"/>
                <w:szCs w:val="18"/>
              </w:rPr>
            </w:pPr>
            <w:r w:rsidRPr="00732EED">
              <w:rPr>
                <w:sz w:val="18"/>
                <w:szCs w:val="18"/>
              </w:rPr>
              <w:t>Self</w:t>
            </w:r>
            <w:r w:rsidRPr="00732EED">
              <w:rPr>
                <w:sz w:val="18"/>
                <w:szCs w:val="18"/>
              </w:rPr>
              <w:noBreakHyphen/>
              <w:t>care impairment: Physical (self</w:t>
            </w:r>
            <w:r w:rsidRPr="00732EED">
              <w:rPr>
                <w:sz w:val="18"/>
                <w:szCs w:val="18"/>
              </w:rPr>
              <w:noBreakHyphen/>
              <w:t>care limitations), Healthcare/System (home/community care), Psychological (self</w:t>
            </w:r>
            <w:r w:rsidRPr="00732EED">
              <w:rPr>
                <w:sz w:val="18"/>
                <w:szCs w:val="18"/>
              </w:rPr>
              <w:noBreakHyphen/>
              <w:t>esteem/identity), Social (family support). </w:t>
            </w:r>
          </w:p>
          <w:p w14:paraId="31421F61" w14:textId="77777777" w:rsidR="00E9589B" w:rsidRPr="00732EED" w:rsidRDefault="00E9589B" w:rsidP="00DC5B3C">
            <w:pPr>
              <w:rPr>
                <w:sz w:val="18"/>
                <w:szCs w:val="18"/>
              </w:rPr>
            </w:pPr>
            <w:r w:rsidRPr="00732EED">
              <w:rPr>
                <w:sz w:val="18"/>
                <w:szCs w:val="18"/>
              </w:rPr>
              <w:t>Limited participation in work/home life: Social (work &amp; role disruption, participation), Economic/Structural (socio</w:t>
            </w:r>
            <w:r w:rsidRPr="00732EED">
              <w:rPr>
                <w:sz w:val="18"/>
                <w:szCs w:val="18"/>
              </w:rPr>
              <w:noBreakHyphen/>
              <w:t>economic impact), Physical (functional limitation), Healthcare/System (vocational/rehab support).</w:t>
            </w:r>
          </w:p>
        </w:tc>
        <w:tc>
          <w:tcPr>
            <w:tcW w:w="729" w:type="pct"/>
          </w:tcPr>
          <w:p w14:paraId="50BA9717" w14:textId="77777777" w:rsidR="00E9589B" w:rsidRPr="00732EED" w:rsidRDefault="00E9589B" w:rsidP="00DC5B3C">
            <w:pPr>
              <w:rPr>
                <w:sz w:val="18"/>
                <w:szCs w:val="18"/>
              </w:rPr>
            </w:pPr>
            <w:r w:rsidRPr="00732EED">
              <w:rPr>
                <w:sz w:val="18"/>
                <w:szCs w:val="18"/>
              </w:rPr>
              <w:lastRenderedPageBreak/>
              <w:t xml:space="preserve">Inability to function: Count 28; Weight: 0.1217 (12.17%); Physical: 0.0609 (6.09%); Chronic Pain: </w:t>
            </w:r>
            <w:r w:rsidRPr="00732EED">
              <w:rPr>
                <w:sz w:val="18"/>
                <w:szCs w:val="18"/>
              </w:rPr>
              <w:lastRenderedPageBreak/>
              <w:t>0.0426 (4.26%); Social: 0.0183 (1.83%);</w:t>
            </w:r>
            <w:r w:rsidRPr="00732EED">
              <w:rPr>
                <w:sz w:val="18"/>
                <w:szCs w:val="18"/>
              </w:rPr>
              <w:br/>
              <w:t>Impaired physical activity: Count 32; Weight: 0.1391 (13.91%); Physical: 0.0835 (8.35%); Chronic Pain: 0.0417 (4.17%); Social: 0.0139 (1.39%);</w:t>
            </w:r>
            <w:r w:rsidRPr="00732EED">
              <w:rPr>
                <w:sz w:val="18"/>
                <w:szCs w:val="18"/>
              </w:rPr>
              <w:br/>
              <w:t>Difficulty with daily tasks: Count 28; Weight: 0.1217 (12.17%); Physical: 0.0670 (6.70%); Chronic Pain: 0.0365 (3.65%); Social: 0.0183 (1.83%);</w:t>
            </w:r>
            <w:r w:rsidRPr="00732EED">
              <w:rPr>
                <w:sz w:val="18"/>
                <w:szCs w:val="18"/>
              </w:rPr>
              <w:br/>
              <w:t>Reduced mobility: Count 20; Weight: 0.0870 (8.70%); Physical: 0.0609 (6.09%); Chronic Pain: 0.0174 (1.74%); Social: 0.0087 (0.87%);</w:t>
            </w:r>
            <w:r w:rsidRPr="00732EED">
              <w:rPr>
                <w:sz w:val="18"/>
                <w:szCs w:val="18"/>
              </w:rPr>
              <w:br/>
              <w:t>Dependence in activities: Count 10; Weight: 0.0435 (4.35%); Physical: 0.0174 (1.74%); Chronic Pain: 0.0087 (0.87%); Social: 0.0174 (1.74%);</w:t>
            </w:r>
            <w:r w:rsidRPr="00732EED">
              <w:rPr>
                <w:sz w:val="18"/>
                <w:szCs w:val="18"/>
              </w:rPr>
              <w:br/>
              <w:t>Doing less: Count 32; Weight: 0.1391 (13.91%); Physical: 0.0556 (5.56%); Chronic Pain: 0.0417 (4.17%); Social: 0.0417 (4.17%);</w:t>
            </w:r>
            <w:r w:rsidRPr="00732EED">
              <w:rPr>
                <w:sz w:val="18"/>
                <w:szCs w:val="18"/>
              </w:rPr>
              <w:br/>
              <w:t xml:space="preserve">Activity as both motivator and barrier: Count 32; Weight: 0.1391 (13.91%); Physical: 0.0417 (4.17%); Chronic Pain: </w:t>
            </w:r>
            <w:r w:rsidRPr="00732EED">
              <w:rPr>
                <w:sz w:val="18"/>
                <w:szCs w:val="18"/>
              </w:rPr>
              <w:lastRenderedPageBreak/>
              <w:t>0.0417 (4.17%); Social: 0.0556 (5.56%);</w:t>
            </w:r>
            <w:r w:rsidRPr="00732EED">
              <w:rPr>
                <w:sz w:val="18"/>
                <w:szCs w:val="18"/>
              </w:rPr>
              <w:br/>
              <w:t>Self-care impairment: Count 28; Weight: 0.1217 (12.17%); Physical: 0.0609 (6.09%); Chronic Pain: 0.0365 (3.65%); Social: 0.0243 (2.43%);</w:t>
            </w:r>
            <w:r w:rsidRPr="00732EED">
              <w:rPr>
                <w:sz w:val="18"/>
                <w:szCs w:val="18"/>
              </w:rPr>
              <w:br/>
              <w:t>Limited participation in work/home life: Count 20; Weight: 0.0870 (8.70%); Physical: 0.0261 (2.61%); Chronic Pain: 0.0174 (1.74%); Social: 0.0435 (4.35%).</w:t>
            </w:r>
          </w:p>
        </w:tc>
      </w:tr>
      <w:tr w:rsidR="00E9589B" w:rsidRPr="00732EED" w14:paraId="21CEBA57" w14:textId="77777777" w:rsidTr="001F2CA8">
        <w:trPr>
          <w:cnfStyle w:val="000000100000" w:firstRow="0" w:lastRow="0" w:firstColumn="0" w:lastColumn="0" w:oddVBand="0" w:evenVBand="0" w:oddHBand="1" w:evenHBand="0" w:firstRowFirstColumn="0" w:firstRowLastColumn="0" w:lastRowFirstColumn="0" w:lastRowLastColumn="0"/>
        </w:trPr>
        <w:tc>
          <w:tcPr>
            <w:tcW w:w="497" w:type="pct"/>
          </w:tcPr>
          <w:p w14:paraId="2AE6FC72" w14:textId="77777777" w:rsidR="00E9589B" w:rsidRPr="00732EED" w:rsidRDefault="00E9589B" w:rsidP="00DC5B3C">
            <w:pPr>
              <w:rPr>
                <w:sz w:val="18"/>
                <w:szCs w:val="18"/>
              </w:rPr>
            </w:pPr>
            <w:r w:rsidRPr="00732EED">
              <w:rPr>
                <w:sz w:val="18"/>
                <w:szCs w:val="18"/>
              </w:rPr>
              <w:lastRenderedPageBreak/>
              <w:t>Rest, pacing, and self-management</w:t>
            </w:r>
          </w:p>
        </w:tc>
        <w:tc>
          <w:tcPr>
            <w:tcW w:w="497" w:type="pct"/>
          </w:tcPr>
          <w:p w14:paraId="7A6F716F" w14:textId="77777777" w:rsidR="00E9589B" w:rsidRPr="00732EED" w:rsidRDefault="00E9589B" w:rsidP="00DC5B3C">
            <w:pPr>
              <w:rPr>
                <w:sz w:val="18"/>
                <w:szCs w:val="18"/>
              </w:rPr>
            </w:pPr>
            <w:r w:rsidRPr="00732EED">
              <w:rPr>
                <w:sz w:val="18"/>
                <w:szCs w:val="18"/>
              </w:rPr>
              <w:t>Rest, pacing, and self-management - Raw count: 88/94; Weight: 0.9362 (93.62%).</w:t>
            </w:r>
          </w:p>
        </w:tc>
        <w:tc>
          <w:tcPr>
            <w:tcW w:w="1019" w:type="pct"/>
          </w:tcPr>
          <w:p w14:paraId="205FAF3B" w14:textId="77777777" w:rsidR="00E9589B" w:rsidRPr="00732EED" w:rsidRDefault="00E9589B">
            <w:pPr>
              <w:pStyle w:val="ListParagraph"/>
              <w:numPr>
                <w:ilvl w:val="0"/>
                <w:numId w:val="10"/>
              </w:numPr>
              <w:rPr>
                <w:sz w:val="18"/>
                <w:szCs w:val="18"/>
              </w:rPr>
            </w:pPr>
            <w:r w:rsidRPr="00732EED">
              <w:rPr>
                <w:sz w:val="18"/>
                <w:szCs w:val="18"/>
              </w:rPr>
              <w:t xml:space="preserve">Balancing activity and rest </w:t>
            </w:r>
          </w:p>
          <w:p w14:paraId="11D2204F" w14:textId="77777777" w:rsidR="00E9589B" w:rsidRPr="00732EED" w:rsidRDefault="00E9589B">
            <w:pPr>
              <w:pStyle w:val="ListParagraph"/>
              <w:numPr>
                <w:ilvl w:val="0"/>
                <w:numId w:val="10"/>
              </w:numPr>
              <w:rPr>
                <w:sz w:val="18"/>
                <w:szCs w:val="18"/>
              </w:rPr>
            </w:pPr>
            <w:r w:rsidRPr="00732EED">
              <w:rPr>
                <w:sz w:val="18"/>
                <w:szCs w:val="18"/>
              </w:rPr>
              <w:t xml:space="preserve">Pacing </w:t>
            </w:r>
          </w:p>
          <w:p w14:paraId="452E412E" w14:textId="77777777" w:rsidR="00E9589B" w:rsidRPr="00732EED" w:rsidRDefault="00E9589B">
            <w:pPr>
              <w:pStyle w:val="ListParagraph"/>
              <w:numPr>
                <w:ilvl w:val="0"/>
                <w:numId w:val="10"/>
              </w:numPr>
              <w:rPr>
                <w:sz w:val="18"/>
                <w:szCs w:val="18"/>
              </w:rPr>
            </w:pPr>
            <w:r w:rsidRPr="00732EED">
              <w:rPr>
                <w:sz w:val="18"/>
                <w:szCs w:val="18"/>
              </w:rPr>
              <w:t xml:space="preserve">Managing the painful body </w:t>
            </w:r>
          </w:p>
          <w:p w14:paraId="1A874A52" w14:textId="77777777" w:rsidR="00E9589B" w:rsidRPr="00732EED" w:rsidRDefault="00E9589B">
            <w:pPr>
              <w:pStyle w:val="ListParagraph"/>
              <w:numPr>
                <w:ilvl w:val="0"/>
                <w:numId w:val="10"/>
              </w:numPr>
              <w:rPr>
                <w:sz w:val="18"/>
                <w:szCs w:val="18"/>
              </w:rPr>
            </w:pPr>
            <w:r w:rsidRPr="00732EED">
              <w:rPr>
                <w:sz w:val="18"/>
                <w:szCs w:val="18"/>
              </w:rPr>
              <w:t xml:space="preserve">Coping strategies </w:t>
            </w:r>
          </w:p>
          <w:p w14:paraId="533ADFA3" w14:textId="77777777" w:rsidR="00E9589B" w:rsidRPr="00732EED" w:rsidRDefault="00E9589B">
            <w:pPr>
              <w:pStyle w:val="ListParagraph"/>
              <w:numPr>
                <w:ilvl w:val="0"/>
                <w:numId w:val="10"/>
              </w:numPr>
              <w:rPr>
                <w:sz w:val="18"/>
                <w:szCs w:val="18"/>
              </w:rPr>
            </w:pPr>
            <w:r w:rsidRPr="00732EED">
              <w:rPr>
                <w:sz w:val="18"/>
                <w:szCs w:val="18"/>
              </w:rPr>
              <w:t xml:space="preserve">Self-management routines </w:t>
            </w:r>
          </w:p>
          <w:p w14:paraId="14A264BB" w14:textId="77777777" w:rsidR="00E9589B" w:rsidRPr="00732EED" w:rsidRDefault="00E9589B">
            <w:pPr>
              <w:pStyle w:val="ListParagraph"/>
              <w:numPr>
                <w:ilvl w:val="0"/>
                <w:numId w:val="10"/>
              </w:numPr>
              <w:rPr>
                <w:sz w:val="18"/>
                <w:szCs w:val="18"/>
              </w:rPr>
            </w:pPr>
            <w:r w:rsidRPr="00732EED">
              <w:rPr>
                <w:sz w:val="18"/>
                <w:szCs w:val="18"/>
              </w:rPr>
              <w:t>Exercise as facilitator</w:t>
            </w:r>
          </w:p>
          <w:p w14:paraId="34FF1EB8" w14:textId="77777777" w:rsidR="00E9589B" w:rsidRPr="00732EED" w:rsidRDefault="00E9589B">
            <w:pPr>
              <w:pStyle w:val="ListParagraph"/>
              <w:numPr>
                <w:ilvl w:val="0"/>
                <w:numId w:val="10"/>
              </w:numPr>
              <w:rPr>
                <w:sz w:val="18"/>
                <w:szCs w:val="18"/>
              </w:rPr>
            </w:pPr>
            <w:r w:rsidRPr="00732EED">
              <w:rPr>
                <w:sz w:val="18"/>
                <w:szCs w:val="18"/>
              </w:rPr>
              <w:t>Nonpharmacological self-care</w:t>
            </w:r>
          </w:p>
          <w:p w14:paraId="3A4A48F1" w14:textId="77777777" w:rsidR="00E9589B" w:rsidRPr="00732EED" w:rsidRDefault="00E9589B">
            <w:pPr>
              <w:pStyle w:val="ListParagraph"/>
              <w:numPr>
                <w:ilvl w:val="0"/>
                <w:numId w:val="10"/>
              </w:numPr>
              <w:rPr>
                <w:sz w:val="18"/>
                <w:szCs w:val="18"/>
              </w:rPr>
            </w:pPr>
            <w:r w:rsidRPr="00732EED">
              <w:rPr>
                <w:sz w:val="18"/>
                <w:szCs w:val="18"/>
              </w:rPr>
              <w:t xml:space="preserve">“Making things work” </w:t>
            </w:r>
          </w:p>
        </w:tc>
        <w:tc>
          <w:tcPr>
            <w:tcW w:w="1034" w:type="pct"/>
          </w:tcPr>
          <w:p w14:paraId="4EDD260F" w14:textId="77777777" w:rsidR="00E9589B" w:rsidRPr="00732EED" w:rsidRDefault="00E9589B">
            <w:pPr>
              <w:pStyle w:val="ListParagraph"/>
              <w:numPr>
                <w:ilvl w:val="0"/>
                <w:numId w:val="6"/>
              </w:numPr>
              <w:rPr>
                <w:sz w:val="18"/>
                <w:szCs w:val="18"/>
              </w:rPr>
            </w:pPr>
            <w:r w:rsidRPr="00732EED">
              <w:rPr>
                <w:sz w:val="18"/>
                <w:szCs w:val="18"/>
              </w:rPr>
              <w:t>Balancing activity and rest: Count 11, Weight: 0.1170 (11.70%) </w:t>
            </w:r>
          </w:p>
          <w:p w14:paraId="1509E57E" w14:textId="77777777" w:rsidR="00E9589B" w:rsidRPr="00732EED" w:rsidRDefault="00E9589B">
            <w:pPr>
              <w:pStyle w:val="ListParagraph"/>
              <w:numPr>
                <w:ilvl w:val="0"/>
                <w:numId w:val="6"/>
              </w:numPr>
              <w:rPr>
                <w:sz w:val="18"/>
                <w:szCs w:val="18"/>
              </w:rPr>
            </w:pPr>
            <w:r w:rsidRPr="00732EED">
              <w:rPr>
                <w:sz w:val="18"/>
                <w:szCs w:val="18"/>
              </w:rPr>
              <w:t>Pacing: Count 11, Weight: 0.1170 (11.70%) </w:t>
            </w:r>
          </w:p>
          <w:p w14:paraId="37B5D6A9" w14:textId="77777777" w:rsidR="00E9589B" w:rsidRPr="00732EED" w:rsidRDefault="00E9589B">
            <w:pPr>
              <w:pStyle w:val="ListParagraph"/>
              <w:numPr>
                <w:ilvl w:val="0"/>
                <w:numId w:val="6"/>
              </w:numPr>
              <w:rPr>
                <w:sz w:val="18"/>
                <w:szCs w:val="18"/>
              </w:rPr>
            </w:pPr>
            <w:r w:rsidRPr="00732EED">
              <w:rPr>
                <w:sz w:val="18"/>
                <w:szCs w:val="18"/>
              </w:rPr>
              <w:t>Managing the painful body: Count 11, Weight: 0.1170 (11.70%) </w:t>
            </w:r>
          </w:p>
          <w:p w14:paraId="55F8DA99" w14:textId="77777777" w:rsidR="00E9589B" w:rsidRPr="00732EED" w:rsidRDefault="00E9589B">
            <w:pPr>
              <w:pStyle w:val="ListParagraph"/>
              <w:numPr>
                <w:ilvl w:val="0"/>
                <w:numId w:val="6"/>
              </w:numPr>
              <w:rPr>
                <w:sz w:val="18"/>
                <w:szCs w:val="18"/>
              </w:rPr>
            </w:pPr>
            <w:r w:rsidRPr="00732EED">
              <w:rPr>
                <w:sz w:val="18"/>
                <w:szCs w:val="18"/>
              </w:rPr>
              <w:t>Coping strategies: Count 11, Weight: 0.1170 (11.70%) </w:t>
            </w:r>
          </w:p>
          <w:p w14:paraId="46E70B2E" w14:textId="77777777" w:rsidR="00E9589B" w:rsidRPr="00732EED" w:rsidRDefault="00E9589B">
            <w:pPr>
              <w:pStyle w:val="ListParagraph"/>
              <w:numPr>
                <w:ilvl w:val="0"/>
                <w:numId w:val="6"/>
              </w:numPr>
              <w:rPr>
                <w:sz w:val="18"/>
                <w:szCs w:val="18"/>
              </w:rPr>
            </w:pPr>
            <w:r w:rsidRPr="00732EED">
              <w:rPr>
                <w:sz w:val="18"/>
                <w:szCs w:val="18"/>
              </w:rPr>
              <w:t>Self-management routines: Count 11, Weight: 0.1170 (11.70%) </w:t>
            </w:r>
          </w:p>
          <w:p w14:paraId="28A4B742" w14:textId="77777777" w:rsidR="00E9589B" w:rsidRPr="00732EED" w:rsidRDefault="00E9589B">
            <w:pPr>
              <w:pStyle w:val="ListParagraph"/>
              <w:numPr>
                <w:ilvl w:val="0"/>
                <w:numId w:val="6"/>
              </w:numPr>
              <w:rPr>
                <w:sz w:val="18"/>
                <w:szCs w:val="18"/>
              </w:rPr>
            </w:pPr>
            <w:r w:rsidRPr="00732EED">
              <w:rPr>
                <w:sz w:val="18"/>
                <w:szCs w:val="18"/>
              </w:rPr>
              <w:t>Exercise as facilitator: Count 11, Weight: 0.1170 (11.70%) </w:t>
            </w:r>
          </w:p>
          <w:p w14:paraId="521726C2" w14:textId="77777777" w:rsidR="00E9589B" w:rsidRPr="00732EED" w:rsidRDefault="00E9589B">
            <w:pPr>
              <w:pStyle w:val="ListParagraph"/>
              <w:numPr>
                <w:ilvl w:val="0"/>
                <w:numId w:val="6"/>
              </w:numPr>
              <w:rPr>
                <w:sz w:val="18"/>
                <w:szCs w:val="18"/>
              </w:rPr>
            </w:pPr>
            <w:r w:rsidRPr="00732EED">
              <w:rPr>
                <w:sz w:val="18"/>
                <w:szCs w:val="18"/>
              </w:rPr>
              <w:t>Nonpharmacological self-care: Count 11, Weight: 0.1170 (11.70%) </w:t>
            </w:r>
          </w:p>
          <w:p w14:paraId="5D36BAC4" w14:textId="77777777" w:rsidR="00E9589B" w:rsidRPr="00732EED" w:rsidRDefault="00E9589B">
            <w:pPr>
              <w:pStyle w:val="ListParagraph"/>
              <w:numPr>
                <w:ilvl w:val="0"/>
                <w:numId w:val="6"/>
              </w:numPr>
              <w:rPr>
                <w:sz w:val="18"/>
                <w:szCs w:val="18"/>
              </w:rPr>
            </w:pPr>
            <w:r w:rsidRPr="00732EED">
              <w:rPr>
                <w:sz w:val="18"/>
                <w:szCs w:val="18"/>
              </w:rPr>
              <w:lastRenderedPageBreak/>
              <w:t>“Making things work” / adaptation of daily life: Count 11, Weight: 0.1170 (11.70%)</w:t>
            </w:r>
          </w:p>
          <w:p w14:paraId="17A7C653" w14:textId="77777777" w:rsidR="00E9589B" w:rsidRPr="00732EED" w:rsidRDefault="00E9589B" w:rsidP="00DC5B3C">
            <w:pPr>
              <w:rPr>
                <w:sz w:val="18"/>
                <w:szCs w:val="18"/>
              </w:rPr>
            </w:pPr>
          </w:p>
        </w:tc>
        <w:tc>
          <w:tcPr>
            <w:tcW w:w="423" w:type="pct"/>
          </w:tcPr>
          <w:p w14:paraId="1A701ED1" w14:textId="77777777" w:rsidR="00E9589B" w:rsidRPr="00732EED" w:rsidRDefault="00E9589B" w:rsidP="00DC5B3C">
            <w:pPr>
              <w:rPr>
                <w:sz w:val="18"/>
                <w:szCs w:val="18"/>
              </w:rPr>
            </w:pPr>
            <w:r w:rsidRPr="00732EED">
              <w:rPr>
                <w:sz w:val="18"/>
                <w:szCs w:val="18"/>
              </w:rPr>
              <w:lastRenderedPageBreak/>
              <w:t>1, 2, 10, 16, 24, 32, 39, 49, 57, 63, 66, 69, 70, 73, 81</w:t>
            </w:r>
          </w:p>
        </w:tc>
        <w:tc>
          <w:tcPr>
            <w:tcW w:w="803" w:type="pct"/>
          </w:tcPr>
          <w:p w14:paraId="5A5B0866" w14:textId="77777777" w:rsidR="00E9589B" w:rsidRPr="00732EED" w:rsidRDefault="00E9589B" w:rsidP="00DC5B3C">
            <w:pPr>
              <w:rPr>
                <w:sz w:val="18"/>
                <w:szCs w:val="18"/>
              </w:rPr>
            </w:pPr>
            <w:r w:rsidRPr="00732EED">
              <w:rPr>
                <w:sz w:val="18"/>
                <w:szCs w:val="18"/>
              </w:rPr>
              <w:t>Balancing activity and rest: Physical (Activity &amp; Pacing), Psychological (Resilience/Coping), Healthcare/System (Positive Programs &amp; Self</w:t>
            </w:r>
            <w:r w:rsidRPr="00732EED">
              <w:rPr>
                <w:sz w:val="18"/>
                <w:szCs w:val="18"/>
              </w:rPr>
              <w:noBreakHyphen/>
              <w:t>Management), Social (Role/participation). </w:t>
            </w:r>
          </w:p>
          <w:p w14:paraId="715E0E0A" w14:textId="77777777" w:rsidR="00E9589B" w:rsidRPr="00732EED" w:rsidRDefault="00E9589B" w:rsidP="00DC5B3C">
            <w:pPr>
              <w:rPr>
                <w:sz w:val="18"/>
                <w:szCs w:val="18"/>
              </w:rPr>
            </w:pPr>
            <w:r w:rsidRPr="00732EED">
              <w:rPr>
                <w:sz w:val="18"/>
                <w:szCs w:val="18"/>
              </w:rPr>
              <w:t>Pacing: Physical (Activity &amp; Pacing), Psychological (Coping/Anxiety reduction), Healthcare/System (Self</w:t>
            </w:r>
            <w:r w:rsidRPr="00732EED">
              <w:rPr>
                <w:sz w:val="18"/>
                <w:szCs w:val="18"/>
              </w:rPr>
              <w:noBreakHyphen/>
              <w:t>management support), Chronic Pain (Variability &amp; Mystery). </w:t>
            </w:r>
          </w:p>
          <w:p w14:paraId="404D7F6F" w14:textId="77777777" w:rsidR="00E9589B" w:rsidRPr="00732EED" w:rsidRDefault="00E9589B" w:rsidP="00DC5B3C">
            <w:pPr>
              <w:rPr>
                <w:sz w:val="18"/>
                <w:szCs w:val="18"/>
              </w:rPr>
            </w:pPr>
            <w:r w:rsidRPr="00732EED">
              <w:rPr>
                <w:sz w:val="18"/>
                <w:szCs w:val="18"/>
              </w:rPr>
              <w:t xml:space="preserve">Managing the painful body: Physical (Pain &amp; Symptom Burden, Mobility), Healthcare/System </w:t>
            </w:r>
            <w:r w:rsidRPr="00732EED">
              <w:rPr>
                <w:sz w:val="18"/>
                <w:szCs w:val="18"/>
              </w:rPr>
              <w:lastRenderedPageBreak/>
              <w:t>(Positive Programs &amp; Self</w:t>
            </w:r>
            <w:r w:rsidRPr="00732EED">
              <w:rPr>
                <w:sz w:val="18"/>
                <w:szCs w:val="18"/>
              </w:rPr>
              <w:noBreakHyphen/>
              <w:t>Management), Psychological (Resilience/Body–self disruption), Environmental (Home/Work adaptations). </w:t>
            </w:r>
          </w:p>
          <w:p w14:paraId="781E8B14" w14:textId="77777777" w:rsidR="00E9589B" w:rsidRPr="00732EED" w:rsidRDefault="00E9589B" w:rsidP="00DC5B3C">
            <w:pPr>
              <w:rPr>
                <w:sz w:val="18"/>
                <w:szCs w:val="18"/>
              </w:rPr>
            </w:pPr>
            <w:r w:rsidRPr="00732EED">
              <w:rPr>
                <w:sz w:val="18"/>
                <w:szCs w:val="18"/>
              </w:rPr>
              <w:t>Coping strategies: Psychological (Resilience &amp; Growth, Anxiety/Fear regulation), Cognitive (Catastrophizing &amp; Rumination vs reappraisal), Social (Peer/support), Healthcare/System (programmatic support). </w:t>
            </w:r>
          </w:p>
          <w:p w14:paraId="46CA8297" w14:textId="77777777" w:rsidR="00E9589B" w:rsidRPr="00732EED" w:rsidRDefault="00E9589B" w:rsidP="00DC5B3C">
            <w:pPr>
              <w:rPr>
                <w:sz w:val="18"/>
                <w:szCs w:val="18"/>
              </w:rPr>
            </w:pPr>
            <w:r w:rsidRPr="00732EED">
              <w:rPr>
                <w:sz w:val="18"/>
                <w:szCs w:val="18"/>
              </w:rPr>
              <w:t>Self</w:t>
            </w:r>
            <w:r w:rsidRPr="00732EED">
              <w:rPr>
                <w:sz w:val="18"/>
                <w:szCs w:val="18"/>
              </w:rPr>
              <w:noBreakHyphen/>
              <w:t>management routines: Healthcare/System (Positive Programs &amp; Self</w:t>
            </w:r>
            <w:r w:rsidRPr="00732EED">
              <w:rPr>
                <w:sz w:val="18"/>
                <w:szCs w:val="18"/>
              </w:rPr>
              <w:noBreakHyphen/>
              <w:t>Management), Physical (Activity &amp; Pacing), Psychological (Resilience/behavioral activation), Cultural (Empowerment &amp; Agency). </w:t>
            </w:r>
          </w:p>
          <w:p w14:paraId="6200AC4D" w14:textId="77777777" w:rsidR="00E9589B" w:rsidRPr="00732EED" w:rsidRDefault="00E9589B" w:rsidP="00DC5B3C">
            <w:pPr>
              <w:rPr>
                <w:sz w:val="18"/>
                <w:szCs w:val="18"/>
              </w:rPr>
            </w:pPr>
            <w:r w:rsidRPr="00732EED">
              <w:rPr>
                <w:sz w:val="18"/>
                <w:szCs w:val="18"/>
              </w:rPr>
              <w:t>Exercise as facilitator: Physical (Activity/exercise, Mobility &amp; Function), Healthcare/System (rehabilitation/programs), Psychological (resilience/mood improvement), Environmental (access/space for exercise). </w:t>
            </w:r>
          </w:p>
          <w:p w14:paraId="4EDEF0D2" w14:textId="77777777" w:rsidR="00E9589B" w:rsidRPr="00732EED" w:rsidRDefault="00E9589B" w:rsidP="00DC5B3C">
            <w:pPr>
              <w:rPr>
                <w:sz w:val="18"/>
                <w:szCs w:val="18"/>
              </w:rPr>
            </w:pPr>
            <w:r w:rsidRPr="00732EED">
              <w:rPr>
                <w:sz w:val="18"/>
                <w:szCs w:val="18"/>
              </w:rPr>
              <w:t>Nonpharmacological self</w:t>
            </w:r>
            <w:r w:rsidRPr="00732EED">
              <w:rPr>
                <w:sz w:val="18"/>
                <w:szCs w:val="18"/>
              </w:rPr>
              <w:noBreakHyphen/>
              <w:t>care: Healthcare/System (Positive Programs &amp; Self</w:t>
            </w:r>
            <w:r w:rsidRPr="00732EED">
              <w:rPr>
                <w:sz w:val="18"/>
                <w:szCs w:val="18"/>
              </w:rPr>
              <w:noBreakHyphen/>
              <w:t xml:space="preserve">Management), Psychological (Acceptance/Resilience), </w:t>
            </w:r>
            <w:r w:rsidRPr="00732EED">
              <w:rPr>
                <w:sz w:val="18"/>
                <w:szCs w:val="18"/>
              </w:rPr>
              <w:lastRenderedPageBreak/>
              <w:t>Physical (symptom management), Cultural (beliefs about treatment). </w:t>
            </w:r>
          </w:p>
          <w:p w14:paraId="59C982E0" w14:textId="77777777" w:rsidR="00E9589B" w:rsidRPr="00732EED" w:rsidRDefault="00E9589B" w:rsidP="00DC5B3C">
            <w:pPr>
              <w:rPr>
                <w:sz w:val="18"/>
                <w:szCs w:val="18"/>
              </w:rPr>
            </w:pPr>
            <w:r w:rsidRPr="00732EED">
              <w:rPr>
                <w:sz w:val="18"/>
                <w:szCs w:val="18"/>
              </w:rPr>
              <w:t>“Making things work” (adaptation): Ecological/Structural (Acceptance Ecosystem), Social (support/role negotiation), Environmental (practical adaptations), Psychological (resilience/identity reconstruction).</w:t>
            </w:r>
          </w:p>
        </w:tc>
        <w:tc>
          <w:tcPr>
            <w:tcW w:w="729" w:type="pct"/>
          </w:tcPr>
          <w:p w14:paraId="22AEBC5E" w14:textId="77777777" w:rsidR="00E9589B" w:rsidRPr="00732EED" w:rsidRDefault="00E9589B" w:rsidP="00DC5B3C">
            <w:pPr>
              <w:rPr>
                <w:sz w:val="18"/>
                <w:szCs w:val="18"/>
              </w:rPr>
            </w:pPr>
            <w:r w:rsidRPr="00732EED">
              <w:rPr>
                <w:sz w:val="18"/>
                <w:szCs w:val="18"/>
              </w:rPr>
              <w:lastRenderedPageBreak/>
              <w:t>Balancing activity and rest: Total weight: 0.1400 (14.00%);</w:t>
            </w:r>
            <w:r w:rsidRPr="00732EED">
              <w:rPr>
                <w:sz w:val="18"/>
                <w:szCs w:val="18"/>
              </w:rPr>
              <w:br/>
              <w:t>Physical: 0.0840 (8.40%)</w:t>
            </w:r>
            <w:r w:rsidRPr="00732EED">
              <w:rPr>
                <w:sz w:val="18"/>
                <w:szCs w:val="18"/>
              </w:rPr>
              <w:br/>
              <w:t>Chronic Pain: 0.0350 (3.50%)</w:t>
            </w:r>
            <w:r w:rsidRPr="00732EED">
              <w:rPr>
                <w:sz w:val="18"/>
                <w:szCs w:val="18"/>
              </w:rPr>
              <w:br/>
              <w:t>Psychological: 0.0210 (2.10%);</w:t>
            </w:r>
          </w:p>
          <w:p w14:paraId="247D38B1" w14:textId="77777777" w:rsidR="00E9589B" w:rsidRPr="00732EED" w:rsidRDefault="00E9589B" w:rsidP="00DC5B3C">
            <w:pPr>
              <w:rPr>
                <w:sz w:val="18"/>
                <w:szCs w:val="18"/>
              </w:rPr>
            </w:pPr>
            <w:r w:rsidRPr="00732EED">
              <w:rPr>
                <w:sz w:val="18"/>
                <w:szCs w:val="18"/>
              </w:rPr>
              <w:t>Pacing: Total weight: 0.1400 (14.00%);</w:t>
            </w:r>
            <w:r w:rsidRPr="00732EED">
              <w:rPr>
                <w:sz w:val="18"/>
                <w:szCs w:val="18"/>
              </w:rPr>
              <w:br/>
              <w:t>Physical: 0.0840 (8.40%)</w:t>
            </w:r>
            <w:r w:rsidRPr="00732EED">
              <w:rPr>
                <w:sz w:val="18"/>
                <w:szCs w:val="18"/>
              </w:rPr>
              <w:br/>
              <w:t>Chronic Pain: 0.0350 (3.50%)</w:t>
            </w:r>
            <w:r w:rsidRPr="00732EED">
              <w:rPr>
                <w:sz w:val="18"/>
                <w:szCs w:val="18"/>
              </w:rPr>
              <w:br/>
              <w:t>Psychological: 0.0210 (2.10%);</w:t>
            </w:r>
          </w:p>
          <w:p w14:paraId="72F4B045" w14:textId="77777777" w:rsidR="00E9589B" w:rsidRPr="00732EED" w:rsidRDefault="00E9589B" w:rsidP="00DC5B3C">
            <w:pPr>
              <w:rPr>
                <w:sz w:val="18"/>
                <w:szCs w:val="18"/>
              </w:rPr>
            </w:pPr>
            <w:r w:rsidRPr="00732EED">
              <w:rPr>
                <w:sz w:val="18"/>
                <w:szCs w:val="18"/>
              </w:rPr>
              <w:t>Managing the painful body: Total weight: 0.1750 (17.50%);</w:t>
            </w:r>
            <w:r w:rsidRPr="00732EED">
              <w:rPr>
                <w:sz w:val="18"/>
                <w:szCs w:val="18"/>
              </w:rPr>
              <w:br/>
              <w:t xml:space="preserve">Physical: 0.1050 </w:t>
            </w:r>
            <w:r w:rsidRPr="00732EED">
              <w:rPr>
                <w:sz w:val="18"/>
                <w:szCs w:val="18"/>
              </w:rPr>
              <w:lastRenderedPageBreak/>
              <w:t>(10.50%)</w:t>
            </w:r>
            <w:r w:rsidRPr="00732EED">
              <w:rPr>
                <w:sz w:val="18"/>
                <w:szCs w:val="18"/>
              </w:rPr>
              <w:br/>
              <w:t>Chronic Pain: 0.0438 (4.38%);</w:t>
            </w:r>
            <w:r w:rsidRPr="00732EED">
              <w:rPr>
                <w:sz w:val="18"/>
                <w:szCs w:val="18"/>
              </w:rPr>
              <w:br/>
              <w:t>Healthcare/System: 0.0263 (2.63%);</w:t>
            </w:r>
          </w:p>
          <w:p w14:paraId="301B3C55" w14:textId="77777777" w:rsidR="00E9589B" w:rsidRPr="00732EED" w:rsidRDefault="00E9589B" w:rsidP="00DC5B3C">
            <w:pPr>
              <w:rPr>
                <w:sz w:val="18"/>
                <w:szCs w:val="18"/>
              </w:rPr>
            </w:pPr>
            <w:r w:rsidRPr="00732EED">
              <w:rPr>
                <w:sz w:val="18"/>
                <w:szCs w:val="18"/>
              </w:rPr>
              <w:t>Coping strategies: Total weight: 0.1006 (10.06%)</w:t>
            </w:r>
            <w:r w:rsidRPr="00732EED">
              <w:rPr>
                <w:sz w:val="18"/>
                <w:szCs w:val="18"/>
              </w:rPr>
              <w:br/>
              <w:t>Psychological: 0.0604 (6.04%);</w:t>
            </w:r>
            <w:r w:rsidRPr="00732EED">
              <w:rPr>
                <w:sz w:val="18"/>
                <w:szCs w:val="18"/>
              </w:rPr>
              <w:br/>
              <w:t>Social: 0.0252 (2.52%)</w:t>
            </w:r>
            <w:r w:rsidRPr="00732EED">
              <w:rPr>
                <w:sz w:val="18"/>
                <w:szCs w:val="18"/>
              </w:rPr>
              <w:br/>
              <w:t>Healthcare/System: 0.0151 (1.51%);</w:t>
            </w:r>
          </w:p>
          <w:p w14:paraId="1FE646B2" w14:textId="77777777" w:rsidR="00E9589B" w:rsidRPr="00732EED" w:rsidRDefault="00E9589B" w:rsidP="00DC5B3C">
            <w:pPr>
              <w:rPr>
                <w:sz w:val="18"/>
                <w:szCs w:val="18"/>
              </w:rPr>
            </w:pPr>
            <w:r w:rsidRPr="00732EED">
              <w:rPr>
                <w:sz w:val="18"/>
                <w:szCs w:val="18"/>
              </w:rPr>
              <w:t>Self-management routines: Total weight: 0.1050 (10.50%)</w:t>
            </w:r>
            <w:r w:rsidRPr="00732EED">
              <w:rPr>
                <w:sz w:val="18"/>
                <w:szCs w:val="18"/>
              </w:rPr>
              <w:br/>
              <w:t>Healthcare/System: 0.0525 (5.25%);</w:t>
            </w:r>
            <w:r w:rsidRPr="00732EED">
              <w:rPr>
                <w:sz w:val="18"/>
                <w:szCs w:val="18"/>
              </w:rPr>
              <w:br/>
              <w:t>Psychological: 0.0315 (3.15%);</w:t>
            </w:r>
            <w:r w:rsidRPr="00732EED">
              <w:rPr>
                <w:sz w:val="18"/>
                <w:szCs w:val="18"/>
              </w:rPr>
              <w:br/>
              <w:t>Physical: 0.0210 (2.10%)</w:t>
            </w:r>
          </w:p>
          <w:p w14:paraId="6032EEE2" w14:textId="77777777" w:rsidR="00E9589B" w:rsidRPr="00732EED" w:rsidRDefault="00E9589B" w:rsidP="00DC5B3C">
            <w:pPr>
              <w:rPr>
                <w:sz w:val="18"/>
                <w:szCs w:val="18"/>
              </w:rPr>
            </w:pPr>
            <w:r w:rsidRPr="00732EED">
              <w:rPr>
                <w:sz w:val="18"/>
                <w:szCs w:val="18"/>
              </w:rPr>
              <w:t>Exercise as facilitator: Total weight: 0.1400 (14.00%)</w:t>
            </w:r>
            <w:r w:rsidRPr="00732EED">
              <w:rPr>
                <w:sz w:val="18"/>
                <w:szCs w:val="18"/>
              </w:rPr>
              <w:br/>
              <w:t>Physical: 0.0980 (9.80%)</w:t>
            </w:r>
            <w:r w:rsidRPr="00732EED">
              <w:rPr>
                <w:sz w:val="18"/>
                <w:szCs w:val="18"/>
              </w:rPr>
              <w:br/>
              <w:t>Chronic Pain: 0.0280 (2.80%);</w:t>
            </w:r>
            <w:r w:rsidRPr="00732EED">
              <w:rPr>
                <w:sz w:val="18"/>
                <w:szCs w:val="18"/>
              </w:rPr>
              <w:br/>
              <w:t>Environmental: 0.0140 (1.40%);</w:t>
            </w:r>
          </w:p>
          <w:p w14:paraId="1D03343D" w14:textId="77777777" w:rsidR="00E9589B" w:rsidRPr="00732EED" w:rsidRDefault="00E9589B" w:rsidP="00DC5B3C">
            <w:pPr>
              <w:rPr>
                <w:sz w:val="18"/>
                <w:szCs w:val="18"/>
              </w:rPr>
            </w:pPr>
            <w:r w:rsidRPr="00732EED">
              <w:rPr>
                <w:sz w:val="18"/>
                <w:szCs w:val="18"/>
              </w:rPr>
              <w:t>Nonpharmacological self-care: Total weight: 0.1050 (10.50%);</w:t>
            </w:r>
            <w:r w:rsidRPr="00732EED">
              <w:rPr>
                <w:sz w:val="18"/>
                <w:szCs w:val="18"/>
              </w:rPr>
              <w:br/>
              <w:t>Healthcare/System: 0.0525 (5.25%);</w:t>
            </w:r>
            <w:r w:rsidRPr="00732EED">
              <w:rPr>
                <w:sz w:val="18"/>
                <w:szCs w:val="18"/>
              </w:rPr>
              <w:br/>
              <w:t>Physical: 0.0315 (3.15%)</w:t>
            </w:r>
            <w:r w:rsidRPr="00732EED">
              <w:rPr>
                <w:sz w:val="18"/>
                <w:szCs w:val="18"/>
              </w:rPr>
              <w:br/>
              <w:t>Psychological: 0.0210 (2.10%);</w:t>
            </w:r>
          </w:p>
          <w:p w14:paraId="1EF7BD5D" w14:textId="77777777" w:rsidR="00E9589B" w:rsidRPr="00732EED" w:rsidRDefault="00E9589B" w:rsidP="00DC5B3C">
            <w:pPr>
              <w:rPr>
                <w:sz w:val="18"/>
                <w:szCs w:val="18"/>
              </w:rPr>
            </w:pPr>
            <w:r w:rsidRPr="00732EED">
              <w:rPr>
                <w:sz w:val="18"/>
                <w:szCs w:val="18"/>
              </w:rPr>
              <w:t>“Making things work” / adaptation of daily life: Total weight: 0.0306 (3.06%);</w:t>
            </w:r>
            <w:r w:rsidRPr="00732EED">
              <w:rPr>
                <w:sz w:val="18"/>
                <w:szCs w:val="18"/>
              </w:rPr>
              <w:br/>
              <w:t>Social: 0.0153 (1.53%)</w:t>
            </w:r>
            <w:r w:rsidRPr="00732EED">
              <w:rPr>
                <w:sz w:val="18"/>
                <w:szCs w:val="18"/>
              </w:rPr>
              <w:br/>
              <w:t>Environmental: 0.0092 (0.92%);</w:t>
            </w:r>
            <w:r w:rsidRPr="00732EED">
              <w:rPr>
                <w:sz w:val="18"/>
                <w:szCs w:val="18"/>
              </w:rPr>
              <w:br/>
            </w:r>
            <w:r w:rsidRPr="00732EED">
              <w:rPr>
                <w:sz w:val="18"/>
                <w:szCs w:val="18"/>
              </w:rPr>
              <w:lastRenderedPageBreak/>
              <w:t>Physical: 0.0061 (0.61%).</w:t>
            </w:r>
          </w:p>
          <w:p w14:paraId="21284AEA" w14:textId="77777777" w:rsidR="00E9589B" w:rsidRPr="00732EED" w:rsidRDefault="00E9589B" w:rsidP="00DC5B3C">
            <w:pPr>
              <w:rPr>
                <w:sz w:val="18"/>
                <w:szCs w:val="18"/>
              </w:rPr>
            </w:pPr>
          </w:p>
        </w:tc>
      </w:tr>
      <w:tr w:rsidR="00E9589B" w:rsidRPr="00732EED" w14:paraId="4B4671F4" w14:textId="77777777" w:rsidTr="001F2CA8">
        <w:tc>
          <w:tcPr>
            <w:tcW w:w="497" w:type="pct"/>
          </w:tcPr>
          <w:p w14:paraId="12CF7273" w14:textId="77777777" w:rsidR="00E9589B" w:rsidRPr="00732EED" w:rsidRDefault="00E9589B" w:rsidP="00DC5B3C">
            <w:pPr>
              <w:rPr>
                <w:sz w:val="18"/>
                <w:szCs w:val="18"/>
              </w:rPr>
            </w:pPr>
            <w:r w:rsidRPr="00732EED">
              <w:rPr>
                <w:sz w:val="18"/>
                <w:szCs w:val="18"/>
              </w:rPr>
              <w:lastRenderedPageBreak/>
              <w:t>Emotional distress and psychological suffering</w:t>
            </w:r>
          </w:p>
        </w:tc>
        <w:tc>
          <w:tcPr>
            <w:tcW w:w="497" w:type="pct"/>
          </w:tcPr>
          <w:p w14:paraId="3B666D42" w14:textId="77777777" w:rsidR="00E9589B" w:rsidRPr="00732EED" w:rsidRDefault="00E9589B" w:rsidP="00DC5B3C">
            <w:pPr>
              <w:rPr>
                <w:sz w:val="18"/>
                <w:szCs w:val="18"/>
              </w:rPr>
            </w:pPr>
            <w:r w:rsidRPr="00732EED">
              <w:rPr>
                <w:sz w:val="18"/>
                <w:szCs w:val="18"/>
              </w:rPr>
              <w:t>Emotional distress and psychological suffering - Raw count: 122/94; Weight: 1.2979 (129.79%).</w:t>
            </w:r>
          </w:p>
        </w:tc>
        <w:tc>
          <w:tcPr>
            <w:tcW w:w="1019" w:type="pct"/>
          </w:tcPr>
          <w:p w14:paraId="637A61C1" w14:textId="77777777" w:rsidR="00E9589B" w:rsidRPr="00732EED" w:rsidRDefault="00E9589B">
            <w:pPr>
              <w:pStyle w:val="ListParagraph"/>
              <w:numPr>
                <w:ilvl w:val="0"/>
                <w:numId w:val="7"/>
              </w:numPr>
              <w:rPr>
                <w:sz w:val="18"/>
                <w:szCs w:val="18"/>
              </w:rPr>
            </w:pPr>
            <w:r w:rsidRPr="00732EED">
              <w:rPr>
                <w:sz w:val="18"/>
                <w:szCs w:val="18"/>
              </w:rPr>
              <w:t>Desperation</w:t>
            </w:r>
          </w:p>
          <w:p w14:paraId="69050EB7" w14:textId="77777777" w:rsidR="00E9589B" w:rsidRPr="00732EED" w:rsidRDefault="00E9589B">
            <w:pPr>
              <w:pStyle w:val="ListParagraph"/>
              <w:numPr>
                <w:ilvl w:val="0"/>
                <w:numId w:val="7"/>
              </w:numPr>
              <w:rPr>
                <w:sz w:val="18"/>
                <w:szCs w:val="18"/>
              </w:rPr>
            </w:pPr>
            <w:r w:rsidRPr="00732EED">
              <w:rPr>
                <w:sz w:val="18"/>
                <w:szCs w:val="18"/>
              </w:rPr>
              <w:t>Fear</w:t>
            </w:r>
          </w:p>
          <w:p w14:paraId="02126803" w14:textId="77777777" w:rsidR="00E9589B" w:rsidRPr="00732EED" w:rsidRDefault="00E9589B">
            <w:pPr>
              <w:pStyle w:val="ListParagraph"/>
              <w:numPr>
                <w:ilvl w:val="0"/>
                <w:numId w:val="7"/>
              </w:numPr>
              <w:rPr>
                <w:sz w:val="18"/>
                <w:szCs w:val="18"/>
              </w:rPr>
            </w:pPr>
            <w:r w:rsidRPr="00732EED">
              <w:rPr>
                <w:sz w:val="18"/>
                <w:szCs w:val="18"/>
              </w:rPr>
              <w:t>Anger/frustration</w:t>
            </w:r>
          </w:p>
          <w:p w14:paraId="172CF34A" w14:textId="77777777" w:rsidR="00E9589B" w:rsidRPr="00732EED" w:rsidRDefault="00E9589B">
            <w:pPr>
              <w:pStyle w:val="ListParagraph"/>
              <w:numPr>
                <w:ilvl w:val="0"/>
                <w:numId w:val="7"/>
              </w:numPr>
              <w:rPr>
                <w:sz w:val="18"/>
                <w:szCs w:val="18"/>
              </w:rPr>
            </w:pPr>
            <w:r w:rsidRPr="00732EED">
              <w:rPr>
                <w:sz w:val="18"/>
                <w:szCs w:val="18"/>
              </w:rPr>
              <w:t>Uncertainty/stress</w:t>
            </w:r>
          </w:p>
          <w:p w14:paraId="327E1A34" w14:textId="77777777" w:rsidR="00E9589B" w:rsidRPr="00732EED" w:rsidRDefault="00E9589B">
            <w:pPr>
              <w:pStyle w:val="ListParagraph"/>
              <w:numPr>
                <w:ilvl w:val="0"/>
                <w:numId w:val="7"/>
              </w:numPr>
              <w:rPr>
                <w:sz w:val="18"/>
                <w:szCs w:val="18"/>
              </w:rPr>
            </w:pPr>
            <w:r w:rsidRPr="00732EED">
              <w:rPr>
                <w:sz w:val="18"/>
                <w:szCs w:val="18"/>
              </w:rPr>
              <w:t>Despair</w:t>
            </w:r>
          </w:p>
          <w:p w14:paraId="2AC00FD6" w14:textId="77777777" w:rsidR="00E9589B" w:rsidRPr="00732EED" w:rsidRDefault="00E9589B">
            <w:pPr>
              <w:pStyle w:val="ListParagraph"/>
              <w:numPr>
                <w:ilvl w:val="0"/>
                <w:numId w:val="7"/>
              </w:numPr>
              <w:rPr>
                <w:sz w:val="18"/>
                <w:szCs w:val="18"/>
              </w:rPr>
            </w:pPr>
            <w:r w:rsidRPr="00732EED">
              <w:rPr>
                <w:sz w:val="18"/>
                <w:szCs w:val="18"/>
              </w:rPr>
              <w:t>Depression/feeling down</w:t>
            </w:r>
          </w:p>
          <w:p w14:paraId="252C6181" w14:textId="77777777" w:rsidR="00E9589B" w:rsidRPr="00732EED" w:rsidRDefault="00E9589B">
            <w:pPr>
              <w:pStyle w:val="ListParagraph"/>
              <w:numPr>
                <w:ilvl w:val="0"/>
                <w:numId w:val="7"/>
              </w:numPr>
              <w:rPr>
                <w:sz w:val="18"/>
                <w:szCs w:val="18"/>
              </w:rPr>
            </w:pPr>
            <w:r w:rsidRPr="00732EED">
              <w:rPr>
                <w:sz w:val="18"/>
                <w:szCs w:val="18"/>
              </w:rPr>
              <w:t>Helplessness</w:t>
            </w:r>
          </w:p>
          <w:p w14:paraId="32A566C2" w14:textId="77777777" w:rsidR="00E9589B" w:rsidRPr="00732EED" w:rsidRDefault="00E9589B">
            <w:pPr>
              <w:pStyle w:val="ListParagraph"/>
              <w:numPr>
                <w:ilvl w:val="0"/>
                <w:numId w:val="7"/>
              </w:numPr>
              <w:rPr>
                <w:sz w:val="18"/>
                <w:szCs w:val="18"/>
              </w:rPr>
            </w:pPr>
            <w:r w:rsidRPr="00732EED">
              <w:rPr>
                <w:sz w:val="18"/>
                <w:szCs w:val="18"/>
              </w:rPr>
              <w:t>Hopelessness</w:t>
            </w:r>
          </w:p>
          <w:p w14:paraId="0E63F29A" w14:textId="77777777" w:rsidR="00E9589B" w:rsidRPr="00732EED" w:rsidRDefault="00E9589B">
            <w:pPr>
              <w:pStyle w:val="ListParagraph"/>
              <w:numPr>
                <w:ilvl w:val="0"/>
                <w:numId w:val="7"/>
              </w:numPr>
              <w:rPr>
                <w:sz w:val="18"/>
                <w:szCs w:val="18"/>
              </w:rPr>
            </w:pPr>
            <w:r w:rsidRPr="00732EED">
              <w:rPr>
                <w:sz w:val="18"/>
                <w:szCs w:val="18"/>
              </w:rPr>
              <w:t>Emotional burden</w:t>
            </w:r>
          </w:p>
          <w:p w14:paraId="2B5EB46B" w14:textId="77777777" w:rsidR="00E9589B" w:rsidRPr="00732EED" w:rsidRDefault="00E9589B">
            <w:pPr>
              <w:pStyle w:val="ListParagraph"/>
              <w:numPr>
                <w:ilvl w:val="0"/>
                <w:numId w:val="7"/>
              </w:numPr>
              <w:rPr>
                <w:sz w:val="18"/>
                <w:szCs w:val="18"/>
              </w:rPr>
            </w:pPr>
            <w:r w:rsidRPr="00732EED">
              <w:rPr>
                <w:sz w:val="18"/>
                <w:szCs w:val="18"/>
              </w:rPr>
              <w:t>Shock</w:t>
            </w:r>
          </w:p>
          <w:p w14:paraId="6B3C48BB" w14:textId="77777777" w:rsidR="00E9589B" w:rsidRPr="00732EED" w:rsidRDefault="00E9589B">
            <w:pPr>
              <w:pStyle w:val="ListParagraph"/>
              <w:numPr>
                <w:ilvl w:val="0"/>
                <w:numId w:val="7"/>
              </w:numPr>
              <w:rPr>
                <w:sz w:val="18"/>
                <w:szCs w:val="18"/>
              </w:rPr>
            </w:pPr>
            <w:r w:rsidRPr="00732EED">
              <w:rPr>
                <w:sz w:val="18"/>
                <w:szCs w:val="18"/>
              </w:rPr>
              <w:t>Suffering</w:t>
            </w:r>
          </w:p>
          <w:p w14:paraId="02BF224D" w14:textId="77777777" w:rsidR="00E9589B" w:rsidRPr="00732EED" w:rsidRDefault="00E9589B">
            <w:pPr>
              <w:pStyle w:val="ListParagraph"/>
              <w:numPr>
                <w:ilvl w:val="0"/>
                <w:numId w:val="7"/>
              </w:numPr>
              <w:rPr>
                <w:sz w:val="18"/>
                <w:szCs w:val="18"/>
              </w:rPr>
            </w:pPr>
            <w:r w:rsidRPr="00732EED">
              <w:rPr>
                <w:sz w:val="18"/>
                <w:szCs w:val="18"/>
              </w:rPr>
              <w:t xml:space="preserve">Worry/rumination/catastrophizing </w:t>
            </w:r>
          </w:p>
          <w:p w14:paraId="79939AE4" w14:textId="77777777" w:rsidR="00E9589B" w:rsidRPr="00732EED" w:rsidRDefault="00E9589B">
            <w:pPr>
              <w:pStyle w:val="ListParagraph"/>
              <w:numPr>
                <w:ilvl w:val="0"/>
                <w:numId w:val="7"/>
              </w:numPr>
              <w:rPr>
                <w:sz w:val="18"/>
                <w:szCs w:val="18"/>
              </w:rPr>
            </w:pPr>
            <w:r w:rsidRPr="00732EED">
              <w:rPr>
                <w:sz w:val="18"/>
                <w:szCs w:val="18"/>
              </w:rPr>
              <w:t>Guilt</w:t>
            </w:r>
          </w:p>
        </w:tc>
        <w:tc>
          <w:tcPr>
            <w:tcW w:w="1034" w:type="pct"/>
          </w:tcPr>
          <w:p w14:paraId="2EAA2281" w14:textId="77777777" w:rsidR="00E9589B" w:rsidRPr="00732EED" w:rsidRDefault="00E9589B">
            <w:pPr>
              <w:pStyle w:val="ListParagraph"/>
              <w:numPr>
                <w:ilvl w:val="0"/>
                <w:numId w:val="11"/>
              </w:numPr>
              <w:rPr>
                <w:sz w:val="18"/>
                <w:szCs w:val="18"/>
              </w:rPr>
            </w:pPr>
            <w:r w:rsidRPr="00732EED">
              <w:rPr>
                <w:sz w:val="18"/>
                <w:szCs w:val="18"/>
              </w:rPr>
              <w:t>Desperation: Count 13.0, Weight: 0.1383 (13.83%) </w:t>
            </w:r>
          </w:p>
          <w:p w14:paraId="4FFA7B37" w14:textId="77777777" w:rsidR="00E9589B" w:rsidRPr="00732EED" w:rsidRDefault="00E9589B">
            <w:pPr>
              <w:pStyle w:val="ListParagraph"/>
              <w:numPr>
                <w:ilvl w:val="0"/>
                <w:numId w:val="11"/>
              </w:numPr>
              <w:rPr>
                <w:sz w:val="18"/>
                <w:szCs w:val="18"/>
              </w:rPr>
            </w:pPr>
            <w:r w:rsidRPr="00732EED">
              <w:rPr>
                <w:sz w:val="18"/>
                <w:szCs w:val="18"/>
              </w:rPr>
              <w:t>Fear: Count 14.0, Weight: 0.1489 (14.89%) </w:t>
            </w:r>
          </w:p>
          <w:p w14:paraId="5755CA57" w14:textId="77777777" w:rsidR="00E9589B" w:rsidRPr="00732EED" w:rsidRDefault="00E9589B">
            <w:pPr>
              <w:pStyle w:val="ListParagraph"/>
              <w:numPr>
                <w:ilvl w:val="0"/>
                <w:numId w:val="11"/>
              </w:numPr>
              <w:rPr>
                <w:sz w:val="18"/>
                <w:szCs w:val="18"/>
              </w:rPr>
            </w:pPr>
            <w:r w:rsidRPr="00732EED">
              <w:rPr>
                <w:sz w:val="18"/>
                <w:szCs w:val="18"/>
              </w:rPr>
              <w:t>Anger/frustration: Count 12.5, Weight: 0.1330 (13.30%) </w:t>
            </w:r>
          </w:p>
          <w:p w14:paraId="114051E3" w14:textId="77777777" w:rsidR="00E9589B" w:rsidRPr="00732EED" w:rsidRDefault="00E9589B">
            <w:pPr>
              <w:pStyle w:val="ListParagraph"/>
              <w:numPr>
                <w:ilvl w:val="0"/>
                <w:numId w:val="11"/>
              </w:numPr>
              <w:rPr>
                <w:sz w:val="18"/>
                <w:szCs w:val="18"/>
              </w:rPr>
            </w:pPr>
            <w:r w:rsidRPr="00732EED">
              <w:rPr>
                <w:sz w:val="18"/>
                <w:szCs w:val="18"/>
              </w:rPr>
              <w:t>Uncertainty/stress: Count 14.0, Weight: 0.1489 (14.89%) </w:t>
            </w:r>
          </w:p>
          <w:p w14:paraId="6B92229E" w14:textId="77777777" w:rsidR="00E9589B" w:rsidRPr="00732EED" w:rsidRDefault="00E9589B">
            <w:pPr>
              <w:pStyle w:val="ListParagraph"/>
              <w:numPr>
                <w:ilvl w:val="0"/>
                <w:numId w:val="11"/>
              </w:numPr>
              <w:rPr>
                <w:sz w:val="18"/>
                <w:szCs w:val="18"/>
              </w:rPr>
            </w:pPr>
            <w:r w:rsidRPr="00732EED">
              <w:rPr>
                <w:sz w:val="18"/>
                <w:szCs w:val="18"/>
              </w:rPr>
              <w:t>Despair: Count 6.3, Weight: 0.0674 (6.74%) </w:t>
            </w:r>
          </w:p>
          <w:p w14:paraId="6046E73B" w14:textId="77777777" w:rsidR="00E9589B" w:rsidRPr="00732EED" w:rsidRDefault="00E9589B">
            <w:pPr>
              <w:pStyle w:val="ListParagraph"/>
              <w:numPr>
                <w:ilvl w:val="0"/>
                <w:numId w:val="11"/>
              </w:numPr>
              <w:rPr>
                <w:sz w:val="18"/>
                <w:szCs w:val="18"/>
              </w:rPr>
            </w:pPr>
            <w:r w:rsidRPr="00732EED">
              <w:rPr>
                <w:sz w:val="18"/>
                <w:szCs w:val="18"/>
              </w:rPr>
              <w:t>Depression/feeling down: Count 6.3, Weight: 0.0674 (6.74%) </w:t>
            </w:r>
          </w:p>
          <w:p w14:paraId="1B21A890" w14:textId="77777777" w:rsidR="00E9589B" w:rsidRPr="00732EED" w:rsidRDefault="00E9589B">
            <w:pPr>
              <w:pStyle w:val="ListParagraph"/>
              <w:numPr>
                <w:ilvl w:val="0"/>
                <w:numId w:val="11"/>
              </w:numPr>
              <w:rPr>
                <w:sz w:val="18"/>
                <w:szCs w:val="18"/>
              </w:rPr>
            </w:pPr>
            <w:r w:rsidRPr="00732EED">
              <w:rPr>
                <w:sz w:val="18"/>
                <w:szCs w:val="18"/>
              </w:rPr>
              <w:t>Helplessness: Count 6.3, Weight: 0.0674 (6.74%) </w:t>
            </w:r>
          </w:p>
          <w:p w14:paraId="754C65E4" w14:textId="77777777" w:rsidR="00E9589B" w:rsidRPr="00732EED" w:rsidRDefault="00E9589B">
            <w:pPr>
              <w:pStyle w:val="ListParagraph"/>
              <w:numPr>
                <w:ilvl w:val="0"/>
                <w:numId w:val="11"/>
              </w:numPr>
              <w:rPr>
                <w:sz w:val="18"/>
                <w:szCs w:val="18"/>
              </w:rPr>
            </w:pPr>
            <w:r w:rsidRPr="00732EED">
              <w:rPr>
                <w:sz w:val="18"/>
                <w:szCs w:val="18"/>
              </w:rPr>
              <w:t>Hopelessness: Count 6.3, Weight: 0.0674 (6.74%) </w:t>
            </w:r>
          </w:p>
          <w:p w14:paraId="0EEDC3E8" w14:textId="77777777" w:rsidR="00E9589B" w:rsidRPr="00732EED" w:rsidRDefault="00E9589B">
            <w:pPr>
              <w:pStyle w:val="ListParagraph"/>
              <w:numPr>
                <w:ilvl w:val="0"/>
                <w:numId w:val="11"/>
              </w:numPr>
              <w:rPr>
                <w:sz w:val="18"/>
                <w:szCs w:val="18"/>
              </w:rPr>
            </w:pPr>
            <w:r w:rsidRPr="00732EED">
              <w:rPr>
                <w:sz w:val="18"/>
                <w:szCs w:val="18"/>
              </w:rPr>
              <w:t>Emotional burden: Count 6.3, Weight: 0.0674 (6.74%) </w:t>
            </w:r>
          </w:p>
          <w:p w14:paraId="52815A4C" w14:textId="77777777" w:rsidR="00E9589B" w:rsidRPr="00732EED" w:rsidRDefault="00E9589B">
            <w:pPr>
              <w:pStyle w:val="ListParagraph"/>
              <w:numPr>
                <w:ilvl w:val="0"/>
                <w:numId w:val="11"/>
              </w:numPr>
              <w:rPr>
                <w:sz w:val="18"/>
                <w:szCs w:val="18"/>
              </w:rPr>
            </w:pPr>
            <w:r w:rsidRPr="00732EED">
              <w:rPr>
                <w:sz w:val="18"/>
                <w:szCs w:val="18"/>
              </w:rPr>
              <w:t>Shock: Count 18.0, Weight: 0.1915 (19.15%) </w:t>
            </w:r>
          </w:p>
          <w:p w14:paraId="4771E63B" w14:textId="77777777" w:rsidR="00E9589B" w:rsidRPr="00732EED" w:rsidRDefault="00E9589B">
            <w:pPr>
              <w:pStyle w:val="ListParagraph"/>
              <w:numPr>
                <w:ilvl w:val="0"/>
                <w:numId w:val="11"/>
              </w:numPr>
              <w:rPr>
                <w:sz w:val="18"/>
                <w:szCs w:val="18"/>
              </w:rPr>
            </w:pPr>
            <w:r w:rsidRPr="00732EED">
              <w:rPr>
                <w:sz w:val="18"/>
                <w:szCs w:val="18"/>
              </w:rPr>
              <w:t>Suffering: Count 6.3, Weight: 0.0674 (6.74%) </w:t>
            </w:r>
          </w:p>
          <w:p w14:paraId="779A505A" w14:textId="77777777" w:rsidR="00E9589B" w:rsidRPr="00732EED" w:rsidRDefault="00E9589B">
            <w:pPr>
              <w:pStyle w:val="ListParagraph"/>
              <w:numPr>
                <w:ilvl w:val="0"/>
                <w:numId w:val="11"/>
              </w:numPr>
              <w:rPr>
                <w:sz w:val="18"/>
                <w:szCs w:val="18"/>
              </w:rPr>
            </w:pPr>
            <w:r w:rsidRPr="00732EED">
              <w:rPr>
                <w:sz w:val="18"/>
                <w:szCs w:val="18"/>
              </w:rPr>
              <w:t>Worry/rumination/catastrophizing: Count 15.0, Weight: 0.1596 (15.96%) </w:t>
            </w:r>
          </w:p>
          <w:p w14:paraId="7609949D" w14:textId="77777777" w:rsidR="00E9589B" w:rsidRPr="00732EED" w:rsidRDefault="00E9589B">
            <w:pPr>
              <w:pStyle w:val="ListParagraph"/>
              <w:numPr>
                <w:ilvl w:val="0"/>
                <w:numId w:val="11"/>
              </w:numPr>
              <w:rPr>
                <w:sz w:val="18"/>
                <w:szCs w:val="18"/>
              </w:rPr>
            </w:pPr>
            <w:r w:rsidRPr="00732EED">
              <w:rPr>
                <w:sz w:val="18"/>
                <w:szCs w:val="18"/>
              </w:rPr>
              <w:t>Guilt: Count 12.5, Weight: 0.1330 (13.30%)</w:t>
            </w:r>
          </w:p>
        </w:tc>
        <w:tc>
          <w:tcPr>
            <w:tcW w:w="423" w:type="pct"/>
          </w:tcPr>
          <w:p w14:paraId="6897380E" w14:textId="77777777" w:rsidR="00E9589B" w:rsidRPr="00732EED" w:rsidRDefault="00E9589B" w:rsidP="00DC5B3C">
            <w:pPr>
              <w:rPr>
                <w:sz w:val="18"/>
                <w:szCs w:val="18"/>
              </w:rPr>
            </w:pPr>
            <w:r w:rsidRPr="00732EED">
              <w:rPr>
                <w:sz w:val="18"/>
                <w:szCs w:val="18"/>
              </w:rPr>
              <w:t>3, 8, 15, 18, 19, 20, 25, 29, 35, 36, 42, 64, 72, 78, 81, 89, 91</w:t>
            </w:r>
          </w:p>
        </w:tc>
        <w:tc>
          <w:tcPr>
            <w:tcW w:w="803" w:type="pct"/>
          </w:tcPr>
          <w:p w14:paraId="0C4E5605" w14:textId="77777777" w:rsidR="00E9589B" w:rsidRPr="00732EED" w:rsidRDefault="00E9589B" w:rsidP="00DC5B3C">
            <w:pPr>
              <w:rPr>
                <w:sz w:val="18"/>
                <w:szCs w:val="18"/>
              </w:rPr>
            </w:pPr>
            <w:r w:rsidRPr="00732EED">
              <w:rPr>
                <w:sz w:val="18"/>
                <w:szCs w:val="18"/>
              </w:rPr>
              <w:t>Main heuristic (primary): Psychological.</w:t>
            </w:r>
          </w:p>
          <w:p w14:paraId="3446A4A1" w14:textId="77777777" w:rsidR="00E9589B" w:rsidRPr="00732EED" w:rsidRDefault="00E9589B" w:rsidP="00DC5B3C">
            <w:pPr>
              <w:rPr>
                <w:sz w:val="18"/>
                <w:szCs w:val="18"/>
              </w:rPr>
            </w:pPr>
            <w:r w:rsidRPr="00732EED">
              <w:rPr>
                <w:sz w:val="18"/>
                <w:szCs w:val="18"/>
              </w:rPr>
              <w:t>Secondary heuristics: Cognitive (rumination/catastrophizing, worry, uncertainty), Chronic Pain (desperation, suffering, hopelessness, depression), Social (guilt, shame, emotional burden, anger/frustration), Healthcare/System (shock, distress related to diagnosis/care).</w:t>
            </w:r>
          </w:p>
          <w:p w14:paraId="152691C7" w14:textId="77777777" w:rsidR="00E9589B" w:rsidRPr="00732EED" w:rsidRDefault="00E9589B" w:rsidP="00DC5B3C">
            <w:pPr>
              <w:rPr>
                <w:sz w:val="18"/>
                <w:szCs w:val="18"/>
              </w:rPr>
            </w:pPr>
          </w:p>
        </w:tc>
        <w:tc>
          <w:tcPr>
            <w:tcW w:w="729" w:type="pct"/>
          </w:tcPr>
          <w:p w14:paraId="03B3383E" w14:textId="77777777" w:rsidR="00E9589B" w:rsidRPr="00732EED" w:rsidRDefault="00E9589B" w:rsidP="00DC5B3C">
            <w:pPr>
              <w:rPr>
                <w:sz w:val="18"/>
                <w:szCs w:val="18"/>
              </w:rPr>
            </w:pPr>
            <w:r w:rsidRPr="00732EED">
              <w:rPr>
                <w:sz w:val="18"/>
                <w:szCs w:val="18"/>
              </w:rPr>
              <w:t>“Emotional cluster”, with primary and secondary heuristics:</w:t>
            </w:r>
          </w:p>
          <w:p w14:paraId="0D8157CD" w14:textId="77777777" w:rsidR="00E9589B" w:rsidRPr="00732EED" w:rsidRDefault="00E9589B" w:rsidP="00DC5B3C">
            <w:pPr>
              <w:rPr>
                <w:sz w:val="18"/>
                <w:szCs w:val="18"/>
              </w:rPr>
            </w:pPr>
            <w:r w:rsidRPr="00732EED">
              <w:rPr>
                <w:sz w:val="18"/>
                <w:szCs w:val="18"/>
              </w:rPr>
              <w:t>Psychological (primary): 0.60 (60.00%);</w:t>
            </w:r>
          </w:p>
          <w:p w14:paraId="36120C92" w14:textId="77777777" w:rsidR="00E9589B" w:rsidRPr="00732EED" w:rsidRDefault="00E9589B" w:rsidP="00DC5B3C">
            <w:pPr>
              <w:rPr>
                <w:sz w:val="18"/>
                <w:szCs w:val="18"/>
              </w:rPr>
            </w:pPr>
            <w:r w:rsidRPr="00732EED">
              <w:rPr>
                <w:sz w:val="18"/>
                <w:szCs w:val="18"/>
              </w:rPr>
              <w:t>Cognitive (secondary: rumination/catastrophizing, worry, uncertainty): 0.15 (15.00%);</w:t>
            </w:r>
          </w:p>
          <w:p w14:paraId="6D79003F" w14:textId="77777777" w:rsidR="00E9589B" w:rsidRPr="00732EED" w:rsidRDefault="00E9589B" w:rsidP="00DC5B3C">
            <w:pPr>
              <w:rPr>
                <w:sz w:val="18"/>
                <w:szCs w:val="18"/>
              </w:rPr>
            </w:pPr>
            <w:r w:rsidRPr="00732EED">
              <w:rPr>
                <w:sz w:val="18"/>
                <w:szCs w:val="18"/>
              </w:rPr>
              <w:t>Chronic Pain (secondary: desperation, suffering, hopelessness, depression): 0.15 (15.00%);</w:t>
            </w:r>
          </w:p>
          <w:p w14:paraId="560B6E77" w14:textId="77777777" w:rsidR="00E9589B" w:rsidRPr="00732EED" w:rsidRDefault="00E9589B" w:rsidP="00DC5B3C">
            <w:pPr>
              <w:rPr>
                <w:sz w:val="18"/>
                <w:szCs w:val="18"/>
              </w:rPr>
            </w:pPr>
            <w:r w:rsidRPr="00732EED">
              <w:rPr>
                <w:sz w:val="18"/>
                <w:szCs w:val="18"/>
              </w:rPr>
              <w:t>Social (secondary: guilt, shame, emotional burden, anger/frustration): 0.07 (7.00%);</w:t>
            </w:r>
          </w:p>
          <w:p w14:paraId="0F99B58F" w14:textId="77777777" w:rsidR="00E9589B" w:rsidRPr="00732EED" w:rsidRDefault="00E9589B" w:rsidP="00DC5B3C">
            <w:pPr>
              <w:rPr>
                <w:sz w:val="18"/>
                <w:szCs w:val="18"/>
              </w:rPr>
            </w:pPr>
            <w:r w:rsidRPr="00732EED">
              <w:rPr>
                <w:sz w:val="18"/>
                <w:szCs w:val="18"/>
              </w:rPr>
              <w:t>Healthcare/System (secondary: shock, care/diagnosis distress): 0.03 (3.00%).</w:t>
            </w:r>
          </w:p>
          <w:p w14:paraId="16D6D8C3" w14:textId="77777777" w:rsidR="00E9589B" w:rsidRPr="00732EED" w:rsidRDefault="00E9589B" w:rsidP="00DC5B3C">
            <w:pPr>
              <w:rPr>
                <w:sz w:val="18"/>
                <w:szCs w:val="18"/>
              </w:rPr>
            </w:pPr>
          </w:p>
        </w:tc>
      </w:tr>
      <w:tr w:rsidR="00E9589B" w:rsidRPr="00732EED" w14:paraId="686D205D" w14:textId="77777777" w:rsidTr="001F2CA8">
        <w:trPr>
          <w:cnfStyle w:val="000000100000" w:firstRow="0" w:lastRow="0" w:firstColumn="0" w:lastColumn="0" w:oddVBand="0" w:evenVBand="0" w:oddHBand="1" w:evenHBand="0" w:firstRowFirstColumn="0" w:firstRowLastColumn="0" w:lastRowFirstColumn="0" w:lastRowLastColumn="0"/>
        </w:trPr>
        <w:tc>
          <w:tcPr>
            <w:tcW w:w="497" w:type="pct"/>
          </w:tcPr>
          <w:p w14:paraId="688E718F" w14:textId="77777777" w:rsidR="00E9589B" w:rsidRPr="00732EED" w:rsidRDefault="00E9589B" w:rsidP="00DC5B3C">
            <w:pPr>
              <w:rPr>
                <w:sz w:val="18"/>
                <w:szCs w:val="18"/>
              </w:rPr>
            </w:pPr>
            <w:r w:rsidRPr="00732EED">
              <w:rPr>
                <w:sz w:val="18"/>
                <w:szCs w:val="18"/>
              </w:rPr>
              <w:lastRenderedPageBreak/>
              <w:t>Identity, self, and biographical disruption</w:t>
            </w:r>
          </w:p>
        </w:tc>
        <w:tc>
          <w:tcPr>
            <w:tcW w:w="497" w:type="pct"/>
          </w:tcPr>
          <w:p w14:paraId="3BA76593" w14:textId="77777777" w:rsidR="00E9589B" w:rsidRPr="00732EED" w:rsidRDefault="00E9589B" w:rsidP="00DC5B3C">
            <w:pPr>
              <w:rPr>
                <w:sz w:val="18"/>
                <w:szCs w:val="18"/>
              </w:rPr>
            </w:pPr>
            <w:r w:rsidRPr="00732EED">
              <w:rPr>
                <w:sz w:val="18"/>
                <w:szCs w:val="18"/>
              </w:rPr>
              <w:t>Identity, self, and biographical disruption - Raw count: 25/94; Weight: 0.2660 (26.60%).</w:t>
            </w:r>
          </w:p>
        </w:tc>
        <w:tc>
          <w:tcPr>
            <w:tcW w:w="1019" w:type="pct"/>
          </w:tcPr>
          <w:p w14:paraId="1FF07E17" w14:textId="77777777" w:rsidR="00E9589B" w:rsidRPr="00732EED" w:rsidRDefault="00E9589B">
            <w:pPr>
              <w:pStyle w:val="ListParagraph"/>
              <w:numPr>
                <w:ilvl w:val="0"/>
                <w:numId w:val="12"/>
              </w:numPr>
              <w:rPr>
                <w:sz w:val="18"/>
                <w:szCs w:val="18"/>
              </w:rPr>
            </w:pPr>
            <w:r w:rsidRPr="00732EED">
              <w:rPr>
                <w:sz w:val="18"/>
                <w:szCs w:val="18"/>
              </w:rPr>
              <w:t>Changed identity</w:t>
            </w:r>
          </w:p>
          <w:p w14:paraId="6821E8FB" w14:textId="77777777" w:rsidR="00E9589B" w:rsidRPr="00732EED" w:rsidRDefault="00E9589B">
            <w:pPr>
              <w:pStyle w:val="ListParagraph"/>
              <w:numPr>
                <w:ilvl w:val="0"/>
                <w:numId w:val="12"/>
              </w:numPr>
              <w:rPr>
                <w:sz w:val="18"/>
                <w:szCs w:val="18"/>
              </w:rPr>
            </w:pPr>
            <w:r w:rsidRPr="00732EED">
              <w:rPr>
                <w:sz w:val="18"/>
                <w:szCs w:val="18"/>
              </w:rPr>
              <w:t>Fragmentation/loss of self</w:t>
            </w:r>
          </w:p>
          <w:p w14:paraId="77F3E0F6" w14:textId="77777777" w:rsidR="00E9589B" w:rsidRPr="00732EED" w:rsidRDefault="00E9589B">
            <w:pPr>
              <w:pStyle w:val="ListParagraph"/>
              <w:numPr>
                <w:ilvl w:val="0"/>
                <w:numId w:val="12"/>
              </w:numPr>
              <w:rPr>
                <w:sz w:val="18"/>
                <w:szCs w:val="18"/>
              </w:rPr>
            </w:pPr>
            <w:r w:rsidRPr="00732EED">
              <w:rPr>
                <w:sz w:val="18"/>
                <w:szCs w:val="18"/>
              </w:rPr>
              <w:t>Altered self-image</w:t>
            </w:r>
          </w:p>
          <w:p w14:paraId="620A4044" w14:textId="77777777" w:rsidR="00E9589B" w:rsidRPr="00732EED" w:rsidRDefault="00E9589B">
            <w:pPr>
              <w:pStyle w:val="ListParagraph"/>
              <w:numPr>
                <w:ilvl w:val="0"/>
                <w:numId w:val="12"/>
              </w:numPr>
              <w:rPr>
                <w:sz w:val="18"/>
                <w:szCs w:val="18"/>
              </w:rPr>
            </w:pPr>
            <w:r w:rsidRPr="00732EED">
              <w:rPr>
                <w:sz w:val="18"/>
                <w:szCs w:val="18"/>
              </w:rPr>
              <w:t>Damaged sense of self</w:t>
            </w:r>
          </w:p>
          <w:p w14:paraId="3E505721" w14:textId="77777777" w:rsidR="00E9589B" w:rsidRPr="00732EED" w:rsidRDefault="00E9589B">
            <w:pPr>
              <w:pStyle w:val="ListParagraph"/>
              <w:numPr>
                <w:ilvl w:val="0"/>
                <w:numId w:val="12"/>
              </w:numPr>
              <w:rPr>
                <w:sz w:val="18"/>
                <w:szCs w:val="18"/>
              </w:rPr>
            </w:pPr>
            <w:r w:rsidRPr="00732EED">
              <w:rPr>
                <w:sz w:val="18"/>
                <w:szCs w:val="18"/>
              </w:rPr>
              <w:t>Body–self disruption</w:t>
            </w:r>
          </w:p>
          <w:p w14:paraId="2B2B7271" w14:textId="77777777" w:rsidR="00E9589B" w:rsidRPr="00732EED" w:rsidRDefault="00E9589B">
            <w:pPr>
              <w:pStyle w:val="ListParagraph"/>
              <w:numPr>
                <w:ilvl w:val="0"/>
                <w:numId w:val="12"/>
              </w:numPr>
              <w:rPr>
                <w:sz w:val="18"/>
                <w:szCs w:val="18"/>
              </w:rPr>
            </w:pPr>
            <w:r w:rsidRPr="00732EED">
              <w:rPr>
                <w:sz w:val="18"/>
                <w:szCs w:val="18"/>
              </w:rPr>
              <w:t>Trapped in a body that does not work</w:t>
            </w:r>
          </w:p>
          <w:p w14:paraId="3CD230A4" w14:textId="77777777" w:rsidR="00E9589B" w:rsidRPr="00732EED" w:rsidRDefault="00E9589B">
            <w:pPr>
              <w:pStyle w:val="ListParagraph"/>
              <w:numPr>
                <w:ilvl w:val="0"/>
                <w:numId w:val="12"/>
              </w:numPr>
              <w:rPr>
                <w:sz w:val="18"/>
                <w:szCs w:val="18"/>
              </w:rPr>
            </w:pPr>
            <w:r w:rsidRPr="00732EED">
              <w:rPr>
                <w:sz w:val="18"/>
                <w:szCs w:val="18"/>
              </w:rPr>
              <w:t>Transition from self before pain to self with pain</w:t>
            </w:r>
          </w:p>
          <w:p w14:paraId="66A0EA61" w14:textId="77777777" w:rsidR="00E9589B" w:rsidRPr="00732EED" w:rsidRDefault="00E9589B">
            <w:pPr>
              <w:pStyle w:val="ListParagraph"/>
              <w:numPr>
                <w:ilvl w:val="0"/>
                <w:numId w:val="12"/>
              </w:numPr>
              <w:rPr>
                <w:sz w:val="18"/>
                <w:szCs w:val="18"/>
              </w:rPr>
            </w:pPr>
            <w:r w:rsidRPr="00732EED">
              <w:rPr>
                <w:sz w:val="18"/>
                <w:szCs w:val="18"/>
              </w:rPr>
              <w:t>Devalued identity</w:t>
            </w:r>
          </w:p>
        </w:tc>
        <w:tc>
          <w:tcPr>
            <w:tcW w:w="1034" w:type="pct"/>
          </w:tcPr>
          <w:p w14:paraId="464C6D2B" w14:textId="77777777" w:rsidR="00E9589B" w:rsidRPr="00732EED" w:rsidRDefault="00E9589B">
            <w:pPr>
              <w:pStyle w:val="ListParagraph"/>
              <w:numPr>
                <w:ilvl w:val="0"/>
                <w:numId w:val="12"/>
              </w:numPr>
              <w:rPr>
                <w:sz w:val="18"/>
                <w:szCs w:val="18"/>
              </w:rPr>
            </w:pPr>
            <w:r w:rsidRPr="00732EED">
              <w:rPr>
                <w:sz w:val="18"/>
                <w:szCs w:val="18"/>
              </w:rPr>
              <w:t>Changed identity: Count 4, Weight: 4/94: 0.0426 (4.26%) </w:t>
            </w:r>
          </w:p>
          <w:p w14:paraId="7D04F3F8" w14:textId="77777777" w:rsidR="00E9589B" w:rsidRPr="00732EED" w:rsidRDefault="00E9589B">
            <w:pPr>
              <w:pStyle w:val="ListParagraph"/>
              <w:numPr>
                <w:ilvl w:val="0"/>
                <w:numId w:val="12"/>
              </w:numPr>
              <w:rPr>
                <w:sz w:val="18"/>
                <w:szCs w:val="18"/>
              </w:rPr>
            </w:pPr>
            <w:r w:rsidRPr="00732EED">
              <w:rPr>
                <w:sz w:val="18"/>
                <w:szCs w:val="18"/>
              </w:rPr>
              <w:t>Fragmentation/loss of self: Count 4, Weight: 4/94: 0.0426 (4.26%) </w:t>
            </w:r>
          </w:p>
          <w:p w14:paraId="421059C5" w14:textId="77777777" w:rsidR="00E9589B" w:rsidRPr="00732EED" w:rsidRDefault="00E9589B">
            <w:pPr>
              <w:pStyle w:val="ListParagraph"/>
              <w:numPr>
                <w:ilvl w:val="0"/>
                <w:numId w:val="12"/>
              </w:numPr>
              <w:rPr>
                <w:sz w:val="18"/>
                <w:szCs w:val="18"/>
              </w:rPr>
            </w:pPr>
            <w:r w:rsidRPr="00732EED">
              <w:rPr>
                <w:sz w:val="18"/>
                <w:szCs w:val="18"/>
              </w:rPr>
              <w:t>Altered self-image: Count 3, Weight: 3/94: 0.0319 (3.19%) </w:t>
            </w:r>
          </w:p>
          <w:p w14:paraId="0850AAF8" w14:textId="77777777" w:rsidR="00E9589B" w:rsidRPr="00732EED" w:rsidRDefault="00E9589B">
            <w:pPr>
              <w:pStyle w:val="ListParagraph"/>
              <w:numPr>
                <w:ilvl w:val="0"/>
                <w:numId w:val="12"/>
              </w:numPr>
              <w:rPr>
                <w:sz w:val="18"/>
                <w:szCs w:val="18"/>
              </w:rPr>
            </w:pPr>
            <w:r w:rsidRPr="00732EED">
              <w:rPr>
                <w:sz w:val="18"/>
                <w:szCs w:val="18"/>
              </w:rPr>
              <w:t>Damaged sense of self: Count 3, Weight: 3/94: 0.0319 (3.19%) </w:t>
            </w:r>
          </w:p>
          <w:p w14:paraId="19BB9BC0" w14:textId="77777777" w:rsidR="00E9589B" w:rsidRPr="00732EED" w:rsidRDefault="00E9589B">
            <w:pPr>
              <w:pStyle w:val="ListParagraph"/>
              <w:numPr>
                <w:ilvl w:val="0"/>
                <w:numId w:val="12"/>
              </w:numPr>
              <w:rPr>
                <w:sz w:val="18"/>
                <w:szCs w:val="18"/>
              </w:rPr>
            </w:pPr>
            <w:r w:rsidRPr="00732EED">
              <w:rPr>
                <w:sz w:val="18"/>
                <w:szCs w:val="18"/>
              </w:rPr>
              <w:t>Body–self disruption: Count 3, Weight: 3/94: 0.0319 (3.19%) </w:t>
            </w:r>
          </w:p>
          <w:p w14:paraId="4D52DC4E" w14:textId="77777777" w:rsidR="00E9589B" w:rsidRPr="00732EED" w:rsidRDefault="00E9589B">
            <w:pPr>
              <w:pStyle w:val="ListParagraph"/>
              <w:numPr>
                <w:ilvl w:val="0"/>
                <w:numId w:val="12"/>
              </w:numPr>
              <w:rPr>
                <w:sz w:val="18"/>
                <w:szCs w:val="18"/>
              </w:rPr>
            </w:pPr>
            <w:r w:rsidRPr="00732EED">
              <w:rPr>
                <w:sz w:val="18"/>
                <w:szCs w:val="18"/>
              </w:rPr>
              <w:t>Trapped in a body that does not work: Count 3, Weight: 3/94: 0.0319 (3.19%) </w:t>
            </w:r>
          </w:p>
          <w:p w14:paraId="7EDA8814" w14:textId="77777777" w:rsidR="00E9589B" w:rsidRPr="00732EED" w:rsidRDefault="00E9589B">
            <w:pPr>
              <w:pStyle w:val="ListParagraph"/>
              <w:numPr>
                <w:ilvl w:val="0"/>
                <w:numId w:val="12"/>
              </w:numPr>
              <w:rPr>
                <w:sz w:val="18"/>
                <w:szCs w:val="18"/>
              </w:rPr>
            </w:pPr>
            <w:r w:rsidRPr="00732EED">
              <w:rPr>
                <w:sz w:val="18"/>
                <w:szCs w:val="18"/>
              </w:rPr>
              <w:t>Transition from self before pain to self with pain: Count 3, Weight: 3/94: 0.0319 (3.19%) </w:t>
            </w:r>
          </w:p>
          <w:p w14:paraId="20A36F1D" w14:textId="77777777" w:rsidR="00E9589B" w:rsidRPr="00732EED" w:rsidRDefault="00E9589B">
            <w:pPr>
              <w:pStyle w:val="ListParagraph"/>
              <w:numPr>
                <w:ilvl w:val="0"/>
                <w:numId w:val="12"/>
              </w:numPr>
              <w:rPr>
                <w:sz w:val="18"/>
                <w:szCs w:val="18"/>
              </w:rPr>
            </w:pPr>
            <w:r w:rsidRPr="00732EED">
              <w:rPr>
                <w:sz w:val="18"/>
                <w:szCs w:val="18"/>
              </w:rPr>
              <w:t>Devalued identity: Count 2, Weight: 2/94: 0.0213 (2.13%)</w:t>
            </w:r>
          </w:p>
          <w:p w14:paraId="38EA6B26" w14:textId="77777777" w:rsidR="00E9589B" w:rsidRPr="00732EED" w:rsidRDefault="00E9589B" w:rsidP="00DC5B3C">
            <w:pPr>
              <w:rPr>
                <w:sz w:val="18"/>
                <w:szCs w:val="18"/>
              </w:rPr>
            </w:pPr>
          </w:p>
        </w:tc>
        <w:tc>
          <w:tcPr>
            <w:tcW w:w="423" w:type="pct"/>
          </w:tcPr>
          <w:p w14:paraId="141D72D0" w14:textId="77777777" w:rsidR="00E9589B" w:rsidRPr="00732EED" w:rsidRDefault="00E9589B" w:rsidP="00DC5B3C">
            <w:pPr>
              <w:rPr>
                <w:sz w:val="18"/>
                <w:szCs w:val="18"/>
              </w:rPr>
            </w:pPr>
            <w:r w:rsidRPr="00732EED">
              <w:rPr>
                <w:sz w:val="18"/>
                <w:szCs w:val="18"/>
              </w:rPr>
              <w:t>2, 10, 11, 23, 25, 28, 40, 42, 43, 46, 51, 55, 59, 72, 78, 82, 93</w:t>
            </w:r>
          </w:p>
        </w:tc>
        <w:tc>
          <w:tcPr>
            <w:tcW w:w="803" w:type="pct"/>
          </w:tcPr>
          <w:p w14:paraId="48CA5F84" w14:textId="77777777" w:rsidR="00E9589B" w:rsidRPr="00732EED" w:rsidRDefault="00E9589B" w:rsidP="00DC5B3C">
            <w:pPr>
              <w:rPr>
                <w:sz w:val="18"/>
                <w:szCs w:val="18"/>
              </w:rPr>
            </w:pPr>
            <w:r w:rsidRPr="00732EED">
              <w:rPr>
                <w:sz w:val="18"/>
                <w:szCs w:val="18"/>
              </w:rPr>
              <w:t>Primary heuristic: Psychological (identity, self</w:t>
            </w:r>
            <w:r w:rsidRPr="00732EED">
              <w:rPr>
                <w:sz w:val="18"/>
                <w:szCs w:val="18"/>
              </w:rPr>
              <w:noBreakHyphen/>
              <w:t>esteem, biographical disruption).</w:t>
            </w:r>
          </w:p>
          <w:p w14:paraId="16BF2F82" w14:textId="77777777" w:rsidR="00E9589B" w:rsidRPr="00732EED" w:rsidRDefault="00E9589B" w:rsidP="00DC5B3C">
            <w:pPr>
              <w:rPr>
                <w:sz w:val="18"/>
                <w:szCs w:val="18"/>
              </w:rPr>
            </w:pPr>
            <w:r w:rsidRPr="00732EED">
              <w:rPr>
                <w:sz w:val="18"/>
                <w:szCs w:val="18"/>
              </w:rPr>
              <w:t>Secondary heuristics:</w:t>
            </w:r>
          </w:p>
          <w:p w14:paraId="3F8E5EED" w14:textId="77777777" w:rsidR="00E9589B" w:rsidRPr="00732EED" w:rsidRDefault="00E9589B" w:rsidP="00DC5B3C">
            <w:pPr>
              <w:rPr>
                <w:sz w:val="18"/>
                <w:szCs w:val="18"/>
              </w:rPr>
            </w:pPr>
            <w:r w:rsidRPr="00732EED">
              <w:rPr>
                <w:sz w:val="18"/>
                <w:szCs w:val="18"/>
              </w:rPr>
              <w:t>Cognitive -illness representations, meaning, existential impact. </w:t>
            </w:r>
          </w:p>
          <w:p w14:paraId="53DC75A0" w14:textId="77777777" w:rsidR="00E9589B" w:rsidRPr="00732EED" w:rsidRDefault="00E9589B" w:rsidP="00DC5B3C">
            <w:pPr>
              <w:rPr>
                <w:sz w:val="18"/>
                <w:szCs w:val="18"/>
              </w:rPr>
            </w:pPr>
            <w:r w:rsidRPr="00732EED">
              <w:rPr>
                <w:sz w:val="18"/>
                <w:szCs w:val="18"/>
              </w:rPr>
              <w:t>Chronic Pain -embodied experience, long</w:t>
            </w:r>
            <w:r w:rsidRPr="00732EED">
              <w:rPr>
                <w:sz w:val="18"/>
                <w:szCs w:val="18"/>
              </w:rPr>
              <w:noBreakHyphen/>
              <w:t>term identity change. </w:t>
            </w:r>
          </w:p>
          <w:p w14:paraId="4B99588F" w14:textId="77777777" w:rsidR="00E9589B" w:rsidRPr="00732EED" w:rsidRDefault="00E9589B" w:rsidP="00DC5B3C">
            <w:pPr>
              <w:rPr>
                <w:sz w:val="18"/>
                <w:szCs w:val="18"/>
              </w:rPr>
            </w:pPr>
            <w:r w:rsidRPr="00732EED">
              <w:rPr>
                <w:sz w:val="18"/>
                <w:szCs w:val="18"/>
              </w:rPr>
              <w:t>Social -stigma, role loss, devaluation by others. </w:t>
            </w:r>
          </w:p>
          <w:p w14:paraId="54E75332" w14:textId="77777777" w:rsidR="00E9589B" w:rsidRPr="00732EED" w:rsidRDefault="00E9589B" w:rsidP="00DC5B3C">
            <w:pPr>
              <w:rPr>
                <w:sz w:val="18"/>
                <w:szCs w:val="18"/>
              </w:rPr>
            </w:pPr>
            <w:r w:rsidRPr="00732EED">
              <w:rPr>
                <w:sz w:val="18"/>
                <w:szCs w:val="18"/>
              </w:rPr>
              <w:t>Cultural -gender/role norms, explanatory models.</w:t>
            </w:r>
          </w:p>
          <w:p w14:paraId="496F788F" w14:textId="77777777" w:rsidR="00E9589B" w:rsidRPr="00732EED" w:rsidRDefault="00E9589B" w:rsidP="00DC5B3C">
            <w:pPr>
              <w:rPr>
                <w:sz w:val="18"/>
                <w:szCs w:val="18"/>
              </w:rPr>
            </w:pPr>
          </w:p>
        </w:tc>
        <w:tc>
          <w:tcPr>
            <w:tcW w:w="729" w:type="pct"/>
          </w:tcPr>
          <w:p w14:paraId="5470E628" w14:textId="77777777" w:rsidR="00E9589B" w:rsidRPr="00732EED" w:rsidRDefault="00E9589B" w:rsidP="00DC5B3C">
            <w:pPr>
              <w:rPr>
                <w:sz w:val="18"/>
                <w:szCs w:val="18"/>
              </w:rPr>
            </w:pPr>
            <w:r w:rsidRPr="00732EED">
              <w:rPr>
                <w:sz w:val="18"/>
                <w:szCs w:val="18"/>
              </w:rPr>
              <w:t>Changed identity: Count 4, Weight: 0.0426 (4.26%); Psychological: 0.0256 (2.56%); Cognitive: 0.0064 (0.64%); Chronic Pain: 0.0064 (0.64%); Social: 0.0030 (0.30%); Cultural: 0.0013 (0.13%);</w:t>
            </w:r>
          </w:p>
          <w:p w14:paraId="0A3A6F11" w14:textId="77777777" w:rsidR="00E9589B" w:rsidRPr="00732EED" w:rsidRDefault="00E9589B" w:rsidP="00DC5B3C">
            <w:pPr>
              <w:rPr>
                <w:sz w:val="18"/>
                <w:szCs w:val="18"/>
              </w:rPr>
            </w:pPr>
            <w:r w:rsidRPr="00732EED">
              <w:rPr>
                <w:sz w:val="18"/>
                <w:szCs w:val="18"/>
              </w:rPr>
              <w:t>Fragmentation/loss of self: Count 4, Weight: 0.0426 (4.26%); Psychological: 0.0256 (2.56%); Cognitive: 0.0064 (0.64%); Chronic Pain: 0.0064 (0.64%); Social: 0.0030 (0.30%); Cultural: 0.0013 (0.13%)</w:t>
            </w:r>
          </w:p>
          <w:p w14:paraId="7EC38D2E" w14:textId="77777777" w:rsidR="00E9589B" w:rsidRPr="00732EED" w:rsidRDefault="00E9589B" w:rsidP="00DC5B3C">
            <w:pPr>
              <w:rPr>
                <w:sz w:val="18"/>
                <w:szCs w:val="18"/>
              </w:rPr>
            </w:pPr>
            <w:r w:rsidRPr="00732EED">
              <w:rPr>
                <w:sz w:val="18"/>
                <w:szCs w:val="18"/>
              </w:rPr>
              <w:t>Altered self-image: Count 3, Weight: 0.0319 (3.19%); Psychological: 0.0191 (1.91%); Cognitive: 0.0048 (0.48%); Chronic Pain: 0.0048 (0.48%); Social: 0.0022 (0.22%); Cultural: 0.0010 (0.10%);</w:t>
            </w:r>
          </w:p>
          <w:p w14:paraId="2F0C0BC8" w14:textId="77777777" w:rsidR="00E9589B" w:rsidRPr="00732EED" w:rsidRDefault="00E9589B" w:rsidP="00DC5B3C">
            <w:pPr>
              <w:rPr>
                <w:sz w:val="18"/>
                <w:szCs w:val="18"/>
              </w:rPr>
            </w:pPr>
            <w:r w:rsidRPr="00732EED">
              <w:rPr>
                <w:sz w:val="18"/>
                <w:szCs w:val="18"/>
              </w:rPr>
              <w:t>Damaged sense of self: Count 3, Weight: 0.0319 (3.19%); Psychological: 0.0191 (1.91%); Cognitive: 0.0048 (0.48%); Chronic Pain: 0.0048 (0.48%); Social: 0.0022 (0.22%); Cultural: 0.0010 (0.10%)</w:t>
            </w:r>
          </w:p>
          <w:p w14:paraId="7C2CCB0C" w14:textId="77777777" w:rsidR="00E9589B" w:rsidRPr="00732EED" w:rsidRDefault="00E9589B" w:rsidP="00DC5B3C">
            <w:pPr>
              <w:rPr>
                <w:sz w:val="18"/>
                <w:szCs w:val="18"/>
              </w:rPr>
            </w:pPr>
            <w:r w:rsidRPr="00732EED">
              <w:rPr>
                <w:sz w:val="18"/>
                <w:szCs w:val="18"/>
              </w:rPr>
              <w:t xml:space="preserve">Body–self disruption: Count 3, Weight: 0.0319 (3.19%); Psychological: 0.0191 </w:t>
            </w:r>
            <w:r w:rsidRPr="00732EED">
              <w:rPr>
                <w:sz w:val="18"/>
                <w:szCs w:val="18"/>
              </w:rPr>
              <w:lastRenderedPageBreak/>
              <w:t>(1.91%); Cognitive: 0.0048 (0.48%); Chronic Pain: 0.0048 (0.48%); Social: 0.0022 (0.22%); Cultural: 0.0010 (0.10%)</w:t>
            </w:r>
          </w:p>
          <w:p w14:paraId="5D7691EE" w14:textId="77777777" w:rsidR="00E9589B" w:rsidRPr="00732EED" w:rsidRDefault="00E9589B" w:rsidP="00DC5B3C">
            <w:pPr>
              <w:rPr>
                <w:sz w:val="18"/>
                <w:szCs w:val="18"/>
              </w:rPr>
            </w:pPr>
            <w:r w:rsidRPr="00732EED">
              <w:rPr>
                <w:sz w:val="18"/>
                <w:szCs w:val="18"/>
              </w:rPr>
              <w:t>Trapped in a body that does not work: Count 3, Weight: 0.0319 (3.19%); Psychological: 0.0191 (1.91%); Cognitive: 0.0048 (0.48%); Chronic Pain: 0.0048 (0.48%); Social: 0.0022 (0.22%); Cultural: 0.0010 (0.10%);</w:t>
            </w:r>
          </w:p>
          <w:p w14:paraId="28C939FE" w14:textId="77777777" w:rsidR="00E9589B" w:rsidRPr="00732EED" w:rsidRDefault="00E9589B" w:rsidP="00DC5B3C">
            <w:pPr>
              <w:rPr>
                <w:sz w:val="18"/>
                <w:szCs w:val="18"/>
              </w:rPr>
            </w:pPr>
            <w:r w:rsidRPr="00732EED">
              <w:rPr>
                <w:sz w:val="18"/>
                <w:szCs w:val="18"/>
              </w:rPr>
              <w:t>Transition from self before pain to self with pain: Count 3, Weight: 0.0319 (3.19%); Psychological: 0.0191 (1.91%); Cognitive: 0.0048 (0.48%); Chronic Pain: 0.0048 (0.48%); Social: 0.0022 (0.22%); Cultural: 0.0010 (0.10%);</w:t>
            </w:r>
          </w:p>
          <w:p w14:paraId="4AC299A4" w14:textId="77777777" w:rsidR="00E9589B" w:rsidRPr="00732EED" w:rsidRDefault="00E9589B" w:rsidP="00DC5B3C">
            <w:pPr>
              <w:rPr>
                <w:sz w:val="18"/>
                <w:szCs w:val="18"/>
              </w:rPr>
            </w:pPr>
            <w:r w:rsidRPr="00732EED">
              <w:rPr>
                <w:sz w:val="18"/>
                <w:szCs w:val="18"/>
              </w:rPr>
              <w:t>Devalued identity: Count 2, Weight: 0.0213 (2.13%); Psychological: 0.0128 (1.28%); Cognitive: 0.0032 (0.32%); Chronic Pain: 0.0032 (0.32%); Social: 0.0015 (0.15%); Cultural: 0.0006 (0.06%).</w:t>
            </w:r>
          </w:p>
          <w:p w14:paraId="268D16A6" w14:textId="77777777" w:rsidR="00E9589B" w:rsidRPr="00732EED" w:rsidRDefault="00E9589B" w:rsidP="00DC5B3C">
            <w:pPr>
              <w:rPr>
                <w:sz w:val="18"/>
                <w:szCs w:val="18"/>
              </w:rPr>
            </w:pPr>
          </w:p>
          <w:p w14:paraId="0DAAB1A1" w14:textId="77777777" w:rsidR="00E9589B" w:rsidRPr="00732EED" w:rsidRDefault="00E9589B" w:rsidP="00DC5B3C">
            <w:pPr>
              <w:rPr>
                <w:sz w:val="18"/>
                <w:szCs w:val="18"/>
              </w:rPr>
            </w:pPr>
            <w:r w:rsidRPr="00732EED">
              <w:rPr>
                <w:sz w:val="18"/>
                <w:szCs w:val="18"/>
              </w:rPr>
              <w:t>Total: Count 25, Weight: 0.2660 (26.60%).</w:t>
            </w:r>
          </w:p>
        </w:tc>
      </w:tr>
      <w:tr w:rsidR="00E9589B" w:rsidRPr="00732EED" w14:paraId="236C55AA"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3D7F7670" w14:textId="77777777" w:rsidR="00E9589B" w:rsidRPr="00732EED" w:rsidRDefault="00E9589B" w:rsidP="00DC5B3C">
            <w:pPr>
              <w:rPr>
                <w:b w:val="0"/>
                <w:bCs w:val="0"/>
                <w:sz w:val="18"/>
                <w:szCs w:val="18"/>
              </w:rPr>
            </w:pPr>
            <w:r w:rsidRPr="00732EED">
              <w:rPr>
                <w:b w:val="0"/>
                <w:bCs w:val="0"/>
                <w:sz w:val="18"/>
                <w:szCs w:val="18"/>
              </w:rPr>
              <w:lastRenderedPageBreak/>
              <w:t>Social withdrawal, isolation, and loneliness</w:t>
            </w:r>
          </w:p>
        </w:tc>
        <w:tc>
          <w:tcPr>
            <w:tcW w:w="497" w:type="pct"/>
          </w:tcPr>
          <w:p w14:paraId="5DEF7AA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9090B"/>
                <w:sz w:val="18"/>
                <w:szCs w:val="18"/>
                <w:shd w:val="clear" w:color="auto" w:fill="FFFFFF"/>
              </w:rPr>
              <w:t>Social withdrawal, isolation, and loneliness - Raw count: 26/94; Weight: 0.2766 (27.66%).</w:t>
            </w:r>
          </w:p>
        </w:tc>
        <w:tc>
          <w:tcPr>
            <w:tcW w:w="1019" w:type="pct"/>
          </w:tcPr>
          <w:p w14:paraId="474256C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withdrawal; loneliness; avoiding isolation; silence/privacy; peer separation; solitude of pain; rural/social/geographic isolation; loss of social life; feeling trapped away from others</w:t>
            </w:r>
          </w:p>
        </w:tc>
        <w:tc>
          <w:tcPr>
            <w:tcW w:w="1034" w:type="pct"/>
          </w:tcPr>
          <w:p w14:paraId="5708DE66"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withdrawal: Count 6; Weight: 6/94: 0.0638 (6.38%) </w:t>
            </w:r>
          </w:p>
          <w:p w14:paraId="0A48C66D"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Loneliness: Count 5; Weight: 5/94: 0.0532 (5.32%) </w:t>
            </w:r>
          </w:p>
          <w:p w14:paraId="24F0EF22"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Avoiding isolation: Count 1; Weight: 1/94: 0.0106 (1.06%) </w:t>
            </w:r>
          </w:p>
          <w:p w14:paraId="4A12B348"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Silence/privacy: Count 1; Weight: 1/94: 0.0106 (1.06%) </w:t>
            </w:r>
          </w:p>
          <w:p w14:paraId="4A74B962"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Peer separation: Count 2; Weight: 2/94: 0.0213 (2.13%) </w:t>
            </w:r>
          </w:p>
          <w:p w14:paraId="7AF8B17A"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Solitude of pain: Count 3; Weight: 3/94: 0.0319 (3.19%) </w:t>
            </w:r>
          </w:p>
          <w:p w14:paraId="31BD7D19"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Rural/social/geographic isolation: Count 3; Weight: 3/94: 0.0319 (3.19%) </w:t>
            </w:r>
          </w:p>
          <w:p w14:paraId="4D74F196"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 of social life: Count 4; Weight: 4/94: 0.0426 (4.26%) </w:t>
            </w:r>
          </w:p>
          <w:p w14:paraId="1A64E89A" w14:textId="77777777" w:rsidR="00E9589B" w:rsidRPr="00732EED" w:rsidRDefault="00E9589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Feeling trapped away from others: Count 1; Weight: 1/94: 0.0106 (1.06%)</w:t>
            </w:r>
          </w:p>
          <w:p w14:paraId="2C3C1F02" w14:textId="77777777" w:rsidR="00E9589B" w:rsidRPr="00732EED" w:rsidRDefault="00E9589B" w:rsidP="00DC5B3C">
            <w:pPr>
              <w:pStyle w:val="ListParagraph"/>
              <w:cnfStyle w:val="000000000000" w:firstRow="0" w:lastRow="0" w:firstColumn="0" w:lastColumn="0" w:oddVBand="0" w:evenVBand="0" w:oddHBand="0" w:evenHBand="0" w:firstRowFirstColumn="0" w:firstRowLastColumn="0" w:lastRowFirstColumn="0" w:lastRowLastColumn="0"/>
              <w:rPr>
                <w:sz w:val="18"/>
                <w:szCs w:val="18"/>
              </w:rPr>
            </w:pPr>
          </w:p>
          <w:p w14:paraId="197E5902" w14:textId="77777777" w:rsidR="00E9589B" w:rsidRPr="00732EED" w:rsidRDefault="00E9589B" w:rsidP="00DC5B3C">
            <w:pPr>
              <w:pStyle w:val="ListParagraph"/>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Total: Count 26/94; Weight: 0.2766 (27.66%).</w:t>
            </w:r>
          </w:p>
        </w:tc>
        <w:tc>
          <w:tcPr>
            <w:tcW w:w="423" w:type="pct"/>
          </w:tcPr>
          <w:p w14:paraId="1F296DE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1, 5, 6, 10, 18, 19, 22, 24, 29, 38, 49, 56, 61, 66, 74, 87, 89</w:t>
            </w:r>
          </w:p>
        </w:tc>
        <w:tc>
          <w:tcPr>
            <w:tcW w:w="803" w:type="pct"/>
          </w:tcPr>
          <w:p w14:paraId="136B12E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Primary heuristic domain: Social (social withdrawal, isolation, loneliness, loss of social life, peer separation, feeling trapped away from others).</w:t>
            </w:r>
          </w:p>
          <w:p w14:paraId="0DC056A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Secondary heuristic domains:</w:t>
            </w:r>
          </w:p>
          <w:p w14:paraId="26C7E88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 (loneliness, emotional burden, avoiding/isolation motivations) </w:t>
            </w:r>
          </w:p>
          <w:p w14:paraId="5E3069E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 (reduced mobility or health limiting social participation) </w:t>
            </w:r>
          </w:p>
          <w:p w14:paraId="025C4546"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Environmental (rural/geographic isolation, transport, built environment) </w:t>
            </w:r>
          </w:p>
          <w:p w14:paraId="28DA4D4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 (stigma, norms around silence/privacy) </w:t>
            </w:r>
          </w:p>
          <w:p w14:paraId="59D41F4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 (access to social supports, community services) </w:t>
            </w:r>
          </w:p>
          <w:p w14:paraId="39C18A6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 (beliefs about burden, self</w:t>
            </w:r>
            <w:r w:rsidRPr="00732EED">
              <w:rPr>
                <w:sz w:val="18"/>
                <w:szCs w:val="18"/>
              </w:rPr>
              <w:noBreakHyphen/>
              <w:t>stigma, anticipatory avoidance).</w:t>
            </w:r>
          </w:p>
        </w:tc>
        <w:tc>
          <w:tcPr>
            <w:tcW w:w="729" w:type="pct"/>
          </w:tcPr>
          <w:p w14:paraId="50E7DC4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Count 14.30; Weight: 0.1521 (15.21%);</w:t>
            </w:r>
            <w:r w:rsidRPr="00732EED">
              <w:rPr>
                <w:sz w:val="18"/>
                <w:szCs w:val="18"/>
              </w:rPr>
              <w:br/>
              <w:t>Psychological: Count 4.68; Weight: 0.0498 (4.98%)</w:t>
            </w:r>
            <w:r w:rsidRPr="00732EED">
              <w:rPr>
                <w:sz w:val="18"/>
                <w:szCs w:val="18"/>
              </w:rPr>
              <w:br/>
              <w:t>Physical: Count 2.60; Weight: 0.0277 (2.77%);</w:t>
            </w:r>
            <w:r w:rsidRPr="00732EED">
              <w:rPr>
                <w:sz w:val="18"/>
                <w:szCs w:val="18"/>
              </w:rPr>
              <w:br/>
              <w:t>Environmental: Count 1.56; Weight: 0.0166 (1.66%)</w:t>
            </w:r>
            <w:r w:rsidRPr="00732EED">
              <w:rPr>
                <w:sz w:val="18"/>
                <w:szCs w:val="18"/>
              </w:rPr>
              <w:br/>
              <w:t>Cultural: Count 1.30; Weight: 0.0138 (1.38%);</w:t>
            </w:r>
            <w:r w:rsidRPr="00732EED">
              <w:rPr>
                <w:sz w:val="18"/>
                <w:szCs w:val="18"/>
              </w:rPr>
              <w:br/>
              <w:t>Healthcare/System: Count 1.04; Weight: 0.0111 (1.11%);</w:t>
            </w:r>
            <w:r w:rsidRPr="00732EED">
              <w:rPr>
                <w:sz w:val="18"/>
                <w:szCs w:val="18"/>
              </w:rPr>
              <w:br/>
              <w:t>Cognitive: Count 0.52; Weight: 0.0055 (0.55%);</w:t>
            </w:r>
          </w:p>
          <w:p w14:paraId="69F9519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(Total: Count 26/94; Weight: 0.2766 (27.66%).</w:t>
            </w:r>
          </w:p>
          <w:p w14:paraId="1CBD40D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r>
      <w:tr w:rsidR="00E9589B" w:rsidRPr="00732EED" w14:paraId="02EDB476"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0E1F1608" w14:textId="77777777" w:rsidR="00E9589B" w:rsidRPr="00732EED" w:rsidRDefault="00E9589B" w:rsidP="00DC5B3C">
            <w:pPr>
              <w:rPr>
                <w:b w:val="0"/>
                <w:bCs w:val="0"/>
                <w:sz w:val="18"/>
                <w:szCs w:val="18"/>
              </w:rPr>
            </w:pPr>
            <w:r w:rsidRPr="00732EED">
              <w:rPr>
                <w:b w:val="0"/>
                <w:bCs w:val="0"/>
                <w:sz w:val="18"/>
                <w:szCs w:val="18"/>
              </w:rPr>
              <w:t>Stigma, disbelief, and delegitimization</w:t>
            </w:r>
          </w:p>
        </w:tc>
        <w:tc>
          <w:tcPr>
            <w:tcW w:w="497" w:type="pct"/>
          </w:tcPr>
          <w:p w14:paraId="599CD80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disbelief, and delegitimization: Raw count: 18/94; Weight: 0.1915 (19.15%).</w:t>
            </w:r>
          </w:p>
        </w:tc>
        <w:tc>
          <w:tcPr>
            <w:tcW w:w="1019" w:type="pct"/>
          </w:tcPr>
          <w:p w14:paraId="71180A9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disbelieved; pain is invisible; being seen as malingerer/lazy; second-class citizen; discredited experience; questioned credibility; invalidity due to age or diagnosis; stigma from opioid use or illness; shame of invisible suffering.</w:t>
            </w:r>
          </w:p>
        </w:tc>
        <w:tc>
          <w:tcPr>
            <w:tcW w:w="1034" w:type="pct"/>
          </w:tcPr>
          <w:p w14:paraId="425BF7DC"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disbelieved: Count 4; Weight: 4/94: 0.0426 (4.26%) </w:t>
            </w:r>
          </w:p>
          <w:p w14:paraId="5D40900E"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is invisible: Count 3; Weight: 3/94: 0.0319 (3.19%) </w:t>
            </w:r>
          </w:p>
          <w:p w14:paraId="10E360D3"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seen as malingerer/lazy: Count 3; Weight: 3/94: 0.0319 (3.19%) </w:t>
            </w:r>
          </w:p>
          <w:p w14:paraId="7E063C2A"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Second-class citizen: Count 2; Weight: 2/94: 0.0213 (2.13%) </w:t>
            </w:r>
          </w:p>
          <w:p w14:paraId="503F1C54"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Discredited experience: Count 2; Weight: 2/94: 0.0213 (2.13%) </w:t>
            </w:r>
          </w:p>
          <w:p w14:paraId="202EB323"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Questioned credibility: Count 1; Weight: 1/94: 0.0106 (1.06%) </w:t>
            </w:r>
          </w:p>
          <w:p w14:paraId="3A9AF96B"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Invalidity due to age or diagnosis: Count 1; Weight: 1/94: 0.0106 (1.06%) </w:t>
            </w:r>
          </w:p>
          <w:p w14:paraId="665F3E15"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from opioid use or illness: Count 1; Weight: 1/94: 0.0106 (1.06%) </w:t>
            </w:r>
          </w:p>
          <w:p w14:paraId="6EDD9F04" w14:textId="77777777" w:rsidR="00E9589B" w:rsidRPr="00732EED" w:rsidRDefault="00E9589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Shame of invisible suffering: Count 1; Weight: 1/94: 0.0106 (1.06%)</w:t>
            </w:r>
          </w:p>
          <w:p w14:paraId="472A522A" w14:textId="77777777" w:rsidR="00E9589B" w:rsidRPr="00732EED" w:rsidRDefault="00E9589B" w:rsidP="00DC5B3C">
            <w:pPr>
              <w:pStyle w:val="ListParagraph"/>
              <w:cnfStyle w:val="000000100000" w:firstRow="0" w:lastRow="0" w:firstColumn="0" w:lastColumn="0" w:oddVBand="0" w:evenVBand="0" w:oddHBand="1" w:evenHBand="0" w:firstRowFirstColumn="0" w:firstRowLastColumn="0" w:lastRowFirstColumn="0" w:lastRowLastColumn="0"/>
              <w:rPr>
                <w:sz w:val="18"/>
                <w:szCs w:val="18"/>
              </w:rPr>
            </w:pPr>
          </w:p>
          <w:p w14:paraId="3D9EFCE2" w14:textId="77777777" w:rsidR="00E9589B" w:rsidRPr="00732EED" w:rsidRDefault="00E9589B" w:rsidP="00DC5B3C">
            <w:pPr>
              <w:pStyle w:val="ListParagraph"/>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Count 18/94; Weight: 0.1915 (19.15%).</w:t>
            </w:r>
          </w:p>
          <w:p w14:paraId="17584BF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3166D86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3, 4, 7, 14, 20, 26, 35, 37, 38, 42, 45, 53, 54, 66, 70, 82, 88, 89</w:t>
            </w:r>
          </w:p>
        </w:tc>
        <w:tc>
          <w:tcPr>
            <w:tcW w:w="803" w:type="pct"/>
          </w:tcPr>
          <w:p w14:paraId="5188146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Principal heuristic domains:</w:t>
            </w:r>
          </w:p>
          <w:p w14:paraId="6C835D0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social roles, support, isolation, stigma, participation.</w:t>
            </w:r>
            <w:r w:rsidRPr="00732EED">
              <w:rPr>
                <w:sz w:val="18"/>
                <w:szCs w:val="18"/>
              </w:rPr>
              <w:br/>
              <w:t>Psychological: mood, identity, coping, resilience, distress.</w:t>
            </w:r>
            <w:r w:rsidRPr="00732EED">
              <w:rPr>
                <w:sz w:val="18"/>
                <w:szCs w:val="18"/>
              </w:rPr>
              <w:br/>
              <w:t>Physical: symptoms, pain intensity, functional limitations, mobility, fatigue.</w:t>
            </w:r>
            <w:r w:rsidRPr="00732EED">
              <w:rPr>
                <w:sz w:val="18"/>
                <w:szCs w:val="18"/>
              </w:rPr>
              <w:br/>
              <w:t>Chronic Pain: long term pain experience, dominance, variability, sensory qualities.</w:t>
            </w:r>
            <w:r w:rsidRPr="00732EED">
              <w:rPr>
                <w:sz w:val="18"/>
                <w:szCs w:val="18"/>
              </w:rPr>
              <w:br/>
            </w:r>
            <w:r w:rsidRPr="00732EED">
              <w:rPr>
                <w:sz w:val="18"/>
                <w:szCs w:val="18"/>
              </w:rPr>
              <w:lastRenderedPageBreak/>
              <w:t>Cognitive: beliefs, illness representations, rumination, catastrophizing, meaning.</w:t>
            </w:r>
            <w:r w:rsidRPr="00732EED">
              <w:rPr>
                <w:sz w:val="18"/>
                <w:szCs w:val="18"/>
              </w:rPr>
              <w:br/>
              <w:t>Healthcare/System: access, validation vs dismissal, fragmented care, programs.</w:t>
            </w:r>
            <w:r w:rsidRPr="00732EED">
              <w:rPr>
                <w:sz w:val="18"/>
                <w:szCs w:val="18"/>
              </w:rPr>
              <w:br/>
              <w:t>Cultural: stigma, explanatory models, norms, gender roles.</w:t>
            </w:r>
            <w:r w:rsidRPr="00732EED">
              <w:rPr>
                <w:sz w:val="18"/>
                <w:szCs w:val="18"/>
              </w:rPr>
              <w:br/>
              <w:t>Environmental: geography, transport, home/work adaptations, institutional context.</w:t>
            </w:r>
            <w:r w:rsidRPr="00732EED">
              <w:rPr>
                <w:sz w:val="18"/>
                <w:szCs w:val="18"/>
              </w:rPr>
              <w:br/>
              <w:t>Ecological/Structural: social–structural determinants, digital/participatory ecologies, acceptance ecosystems.</w:t>
            </w:r>
          </w:p>
        </w:tc>
        <w:tc>
          <w:tcPr>
            <w:tcW w:w="729" w:type="pct"/>
          </w:tcPr>
          <w:p w14:paraId="0693C1F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Social: 0.0850 (8.50%);</w:t>
            </w:r>
          </w:p>
          <w:p w14:paraId="6D83CE4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Cultural: 0.0500 (5.00%); </w:t>
            </w:r>
          </w:p>
          <w:p w14:paraId="748C8B0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 0.0350 (3.50%);</w:t>
            </w:r>
          </w:p>
          <w:p w14:paraId="4EBF39E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 0.0140 (1.40%);</w:t>
            </w:r>
          </w:p>
          <w:p w14:paraId="191C439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 0.0075 (0.75%);</w:t>
            </w:r>
          </w:p>
          <w:p w14:paraId="6C59729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0.1915 / 19.15%.).</w:t>
            </w:r>
          </w:p>
          <w:p w14:paraId="3E8EAF7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r>
      <w:tr w:rsidR="00E9589B" w:rsidRPr="00732EED" w14:paraId="55830A68"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7430B2A2" w14:textId="77777777" w:rsidR="00E9589B" w:rsidRPr="00732EED" w:rsidRDefault="00E9589B" w:rsidP="00DC5B3C">
            <w:pPr>
              <w:rPr>
                <w:b w:val="0"/>
                <w:bCs w:val="0"/>
                <w:sz w:val="18"/>
                <w:szCs w:val="18"/>
              </w:rPr>
            </w:pPr>
            <w:r w:rsidRPr="00732EED">
              <w:rPr>
                <w:b w:val="0"/>
                <w:bCs w:val="0"/>
                <w:sz w:val="18"/>
                <w:szCs w:val="18"/>
              </w:rPr>
              <w:t>Healthcare encounters and system barriers</w:t>
            </w:r>
          </w:p>
        </w:tc>
        <w:tc>
          <w:tcPr>
            <w:tcW w:w="497" w:type="pct"/>
          </w:tcPr>
          <w:p w14:paraId="0B41F1A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 encounters and system barriers: Raw count: 19/94; Weight: 0.2021 (20.21%).</w:t>
            </w:r>
          </w:p>
        </w:tc>
        <w:tc>
          <w:tcPr>
            <w:tcW w:w="1019" w:type="pct"/>
          </w:tcPr>
          <w:p w14:paraId="7BE08DB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Dismissive clinicians; dissatisfaction with healthcare; fragmented treatment; search for diagnosis; search for cure/treatment; poor communication; inadequate explanations; barriers to access; misdiagnosis; long waits; ineffective treatment; lack of understanding from professionals</w:t>
            </w:r>
          </w:p>
        </w:tc>
        <w:tc>
          <w:tcPr>
            <w:tcW w:w="1034" w:type="pct"/>
          </w:tcPr>
          <w:p w14:paraId="70A9EE49"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Dismissive clinicians: Count 35; Weight: 35/94: 0.3723 (37.23%) </w:t>
            </w:r>
          </w:p>
          <w:p w14:paraId="42275EEE"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Dissatisfaction with healthcare: Count 28; Weight: 28/94: 0.2979 (29.79%) </w:t>
            </w:r>
          </w:p>
          <w:p w14:paraId="7B71A666"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treatment: Count 28; Weight: 28/94: 0.2979 (29.79%) </w:t>
            </w:r>
          </w:p>
          <w:p w14:paraId="5209A45E"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 for diagnosis: Count 28; Weight: 28/94: 0.2979 (29.79%) </w:t>
            </w:r>
          </w:p>
          <w:p w14:paraId="56F39A2A"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 for cure/treatment: Count 28; Weight: 28/94: 0.2979 (29.79%) </w:t>
            </w:r>
          </w:p>
          <w:p w14:paraId="5A6E2C4D"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Poor communication: Count 35; Weight: 35/94: 0.3723 (37.23%) </w:t>
            </w:r>
          </w:p>
          <w:p w14:paraId="4FA66727"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Inadequate explanations: Count 35; Weight: 35/94: 0.3723 (37.23%) </w:t>
            </w:r>
          </w:p>
          <w:p w14:paraId="3DD03390"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Barriers to access: Count 25; Weight: 25/94: 0.2660 (26.60%) </w:t>
            </w:r>
          </w:p>
          <w:p w14:paraId="7756E078"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Misdiagnosis: Count 28; Weight: 28/94: 0.2979 (29.79%) </w:t>
            </w:r>
          </w:p>
          <w:p w14:paraId="5AEE4E88"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Long waits: Count 25; Weight: 25/94: 0.2660 (26.60%) </w:t>
            </w:r>
          </w:p>
          <w:p w14:paraId="0347A9D3"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Ineffective treatment: Count 28; Weight: 28/94: 0.2979 (29.79%) </w:t>
            </w:r>
          </w:p>
          <w:p w14:paraId="6F4AC523" w14:textId="77777777" w:rsidR="00E9589B" w:rsidRPr="00732EED" w:rsidRDefault="00E9589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Lack of understanding from professionals: Count 35; Weight: 35/94: 0.3723 (37.23%)</w:t>
            </w:r>
          </w:p>
          <w:p w14:paraId="2279C67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34C0235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4, 5, 6, 22, 24, 26, 35, 42, 43, 53, 62, 63, 67, 68, 71, 74, 81, 90, 94</w:t>
            </w:r>
          </w:p>
        </w:tc>
        <w:tc>
          <w:tcPr>
            <w:tcW w:w="803" w:type="pct"/>
          </w:tcPr>
          <w:p w14:paraId="4A18A57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Dismissive clinicians: Healthcare/System (Validation vs Dismissal), Social, Cultural, Psychological</w:t>
            </w:r>
            <w:r w:rsidRPr="00732EED">
              <w:rPr>
                <w:sz w:val="18"/>
                <w:szCs w:val="18"/>
              </w:rPr>
              <w:br/>
              <w:t>Dissatisfaction with healthcare: Healthcare/System (Fragmented Care &amp; Mismatch), Psychological, Social</w:t>
            </w:r>
            <w:r w:rsidRPr="00732EED">
              <w:rPr>
                <w:sz w:val="18"/>
                <w:szCs w:val="18"/>
              </w:rPr>
              <w:br/>
              <w:t>Fragmented treatment: Healthcare/System (Fragmented Care &amp; Mismatch), Psychological, Chronic Pain</w:t>
            </w:r>
            <w:r w:rsidRPr="00732EED">
              <w:rPr>
                <w:sz w:val="18"/>
                <w:szCs w:val="18"/>
              </w:rPr>
              <w:br/>
              <w:t>Search for diagnosis: Healthcare/System (Fragmented Care &amp; Mismatch / Validation), Cognitive (Illness Representations/Models), Psychological</w:t>
            </w:r>
            <w:r w:rsidRPr="00732EED">
              <w:rPr>
                <w:sz w:val="18"/>
                <w:szCs w:val="18"/>
              </w:rPr>
              <w:br/>
              <w:t xml:space="preserve">Search for cure/treatment: Healthcare/System (Fragmented Care &amp; </w:t>
            </w:r>
            <w:r w:rsidRPr="00732EED">
              <w:rPr>
                <w:sz w:val="18"/>
                <w:szCs w:val="18"/>
              </w:rPr>
              <w:lastRenderedPageBreak/>
              <w:t>Mismatch), Cognitive (Illness Representations/Models), Psychological</w:t>
            </w:r>
            <w:r w:rsidRPr="00732EED">
              <w:rPr>
                <w:sz w:val="18"/>
                <w:szCs w:val="18"/>
              </w:rPr>
              <w:br/>
              <w:t>Poor communication: Healthcare/System (Validation vs Dismissal / Communication), Social (Communication), Psychological (Narratological distress)</w:t>
            </w:r>
            <w:r w:rsidRPr="00732EED">
              <w:rPr>
                <w:sz w:val="18"/>
                <w:szCs w:val="18"/>
              </w:rPr>
              <w:br/>
              <w:t>Inadequate explanations: Healthcare/System (Validation vs Dismissal), Cognitive (Illness Representations/Models), Psychological (Uncertainty/Fear)</w:t>
            </w:r>
            <w:r w:rsidRPr="00732EED">
              <w:rPr>
                <w:sz w:val="18"/>
                <w:szCs w:val="18"/>
              </w:rPr>
              <w:br/>
              <w:t>Barriers to access: Healthcare/System (Access Barriers &amp; Logistics), Social (Health Inequities), Environmental (Rurality/Transport), Ecological (Social–Structural Determinants)</w:t>
            </w:r>
            <w:r w:rsidRPr="00732EED">
              <w:rPr>
                <w:sz w:val="18"/>
                <w:szCs w:val="18"/>
              </w:rPr>
              <w:br/>
              <w:t>Misdiagnosis: Healthcare/System (Fragmented Care &amp; Mismatch), Cognitive (Wrong illness models), Psychological (Identity/validation impacts)</w:t>
            </w:r>
            <w:r w:rsidRPr="00732EED">
              <w:rPr>
                <w:sz w:val="18"/>
                <w:szCs w:val="18"/>
              </w:rPr>
              <w:br/>
              <w:t>Long waits: Healthcare/System (Access Barriers &amp; Logistics), Psychological (Anxiety/Anticipatory worry), Social (Access inequity)</w:t>
            </w:r>
            <w:r w:rsidRPr="00732EED">
              <w:rPr>
                <w:sz w:val="18"/>
                <w:szCs w:val="18"/>
              </w:rPr>
              <w:br/>
              <w:t xml:space="preserve">Ineffective treatment: Healthcare/System (Fragmented Care &amp; Mismatch), Chronic Pain (Suffering &amp; Distress), Psychological </w:t>
            </w:r>
            <w:r w:rsidRPr="00732EED">
              <w:rPr>
                <w:sz w:val="18"/>
                <w:szCs w:val="18"/>
              </w:rPr>
              <w:lastRenderedPageBreak/>
              <w:t>(Hopelessness), Coping/Behavioral (Treatment ambivalence)</w:t>
            </w:r>
            <w:r w:rsidRPr="00732EED">
              <w:rPr>
                <w:sz w:val="18"/>
                <w:szCs w:val="18"/>
              </w:rPr>
              <w:br/>
              <w:t>Lack of understanding from professionals: Healthcare/System (Validation vs Dismissal), Social (Support erosion), Cultural (Stigma/Delegitimization), Psychological (Self</w:t>
            </w:r>
            <w:r w:rsidRPr="00732EED">
              <w:rPr>
                <w:sz w:val="18"/>
                <w:szCs w:val="18"/>
              </w:rPr>
              <w:noBreakHyphen/>
              <w:t>esteem/Identity threat).</w:t>
            </w:r>
          </w:p>
        </w:tc>
        <w:tc>
          <w:tcPr>
            <w:tcW w:w="729" w:type="pct"/>
          </w:tcPr>
          <w:p w14:paraId="2E90661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Dismissive clinicians - Total: Count 35/94; Weight: 0.3723 (37.23%);</w:t>
            </w:r>
            <w:r w:rsidRPr="00732EED">
              <w:rPr>
                <w:sz w:val="18"/>
                <w:szCs w:val="18"/>
              </w:rPr>
              <w:br/>
              <w:t>Healthcare/System: Count 25; Weight: 25/94: 0.2660 (26.60%);</w:t>
            </w:r>
            <w:r w:rsidRPr="00732EED">
              <w:rPr>
                <w:sz w:val="18"/>
                <w:szCs w:val="18"/>
              </w:rPr>
              <w:br/>
              <w:t>Social: Count 6; Weight: 6/94: 0.0638 (6.38%);</w:t>
            </w:r>
            <w:r w:rsidRPr="00732EED">
              <w:rPr>
                <w:sz w:val="18"/>
                <w:szCs w:val="18"/>
              </w:rPr>
              <w:br/>
              <w:t>Cultural: Count 2; Weight: 2/94: 0.0213 (2.13%)</w:t>
            </w:r>
            <w:r w:rsidRPr="00732EED">
              <w:rPr>
                <w:sz w:val="18"/>
                <w:szCs w:val="18"/>
              </w:rPr>
              <w:br/>
              <w:t>Psychological: Count 2; Weight: 2/94: 0.0213 (2.13%);</w:t>
            </w:r>
          </w:p>
          <w:p w14:paraId="74A8C84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Dissatisfaction with healthcare - Total: Count 28/94; Weight: 0.2979 (29.79%);</w:t>
            </w:r>
            <w:r w:rsidRPr="00732EED">
              <w:rPr>
                <w:sz w:val="18"/>
                <w:szCs w:val="18"/>
              </w:rPr>
              <w:br/>
              <w:t>Healthcare/System: Count 18; Weight: 18/94: 0.1915 (19.15%);</w:t>
            </w:r>
            <w:r w:rsidRPr="00732EED">
              <w:rPr>
                <w:sz w:val="18"/>
                <w:szCs w:val="18"/>
              </w:rPr>
              <w:br/>
              <w:t xml:space="preserve">Psychological: Count 6; Weight: 6/94: </w:t>
            </w:r>
            <w:r w:rsidRPr="00732EED">
              <w:rPr>
                <w:sz w:val="18"/>
                <w:szCs w:val="18"/>
              </w:rPr>
              <w:lastRenderedPageBreak/>
              <w:t>0.0638 (6.38%);</w:t>
            </w:r>
            <w:r w:rsidRPr="00732EED">
              <w:rPr>
                <w:sz w:val="18"/>
                <w:szCs w:val="18"/>
              </w:rPr>
              <w:br/>
              <w:t>Social: Count 4; Weight: 4/94: 0.0426 (4.26%);</w:t>
            </w:r>
          </w:p>
          <w:p w14:paraId="0A195DA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treatment- Total: Count 28/94; Weight: 0.2979 (29.79%);</w:t>
            </w:r>
            <w:r w:rsidRPr="00732EED">
              <w:rPr>
                <w:sz w:val="18"/>
                <w:szCs w:val="18"/>
              </w:rPr>
              <w:br/>
              <w:t>Healthcare/System: Count 20; Weight: 20/94: 0.2128 (21.28%);</w:t>
            </w:r>
            <w:r w:rsidRPr="00732EED">
              <w:rPr>
                <w:sz w:val="18"/>
                <w:szCs w:val="18"/>
              </w:rPr>
              <w:br/>
              <w:t>Psychological: Count 5; Weight: 5/94: 0.0532 (5.32%);</w:t>
            </w:r>
            <w:r w:rsidRPr="00732EED">
              <w:rPr>
                <w:sz w:val="18"/>
                <w:szCs w:val="18"/>
              </w:rPr>
              <w:br/>
              <w:t>Chronic Pain: Count 3; Weight: 3/94: 0.0319 (3.19%);</w:t>
            </w:r>
          </w:p>
          <w:p w14:paraId="0A29EF1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 for diagnosis - Total: Count 28/94; Weight: 0.2979 (29.79%)</w:t>
            </w:r>
            <w:r w:rsidRPr="00732EED">
              <w:rPr>
                <w:sz w:val="18"/>
                <w:szCs w:val="18"/>
              </w:rPr>
              <w:br/>
              <w:t>Healthcare/System: Count 14; Weight: 14/94: 0.1489 (14.89%);</w:t>
            </w:r>
            <w:r w:rsidRPr="00732EED">
              <w:rPr>
                <w:sz w:val="18"/>
                <w:szCs w:val="18"/>
              </w:rPr>
              <w:br/>
              <w:t>Cognitive (Illness representations): Count 8; Weight: 8/94: 0.0851 (8.51%);</w:t>
            </w:r>
            <w:r w:rsidRPr="00732EED">
              <w:rPr>
                <w:sz w:val="18"/>
                <w:szCs w:val="18"/>
              </w:rPr>
              <w:br/>
              <w:t>Psychological: Count 6; Weight: 6/94: 0.0638 (6.38%);</w:t>
            </w:r>
          </w:p>
          <w:p w14:paraId="05C5F3A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 for cure/treatment - Total: Count 28/94; Weight: 0.2979 (29.79%)</w:t>
            </w:r>
            <w:r w:rsidRPr="00732EED">
              <w:rPr>
                <w:sz w:val="18"/>
                <w:szCs w:val="18"/>
              </w:rPr>
              <w:br/>
              <w:t>Healthcare/System: Count 16; Weight: 16/94: 0.1702 (17.02%);</w:t>
            </w:r>
            <w:r w:rsidRPr="00732EED">
              <w:rPr>
                <w:sz w:val="18"/>
                <w:szCs w:val="18"/>
              </w:rPr>
              <w:br/>
              <w:t>Cognitive: Count 6; Weight: 6/94: 0.0638 (6.38%)</w:t>
            </w:r>
            <w:r w:rsidRPr="00732EED">
              <w:rPr>
                <w:sz w:val="18"/>
                <w:szCs w:val="18"/>
              </w:rPr>
              <w:br/>
              <w:t>Psychological: Count 6; Weight: 6/94: 0.0638 (6.38%);</w:t>
            </w:r>
          </w:p>
          <w:p w14:paraId="16217DF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Poor communication - Total: Count 35/94; Weight: 0.3723 (37.23%);</w:t>
            </w:r>
            <w:r w:rsidRPr="00732EED">
              <w:rPr>
                <w:sz w:val="18"/>
                <w:szCs w:val="18"/>
              </w:rPr>
              <w:br/>
              <w:t>Healthcare/System (Validation/communication): Count 20; Weight: 20/94: 0.2128 (21.28%);</w:t>
            </w:r>
            <w:r w:rsidRPr="00732EED">
              <w:rPr>
                <w:sz w:val="18"/>
                <w:szCs w:val="18"/>
              </w:rPr>
              <w:br/>
              <w:t>Social (Communication): Count 8; Weight: 8/94: 0.0851 (8.51%);</w:t>
            </w:r>
            <w:r w:rsidRPr="00732EED">
              <w:rPr>
                <w:sz w:val="18"/>
                <w:szCs w:val="18"/>
              </w:rPr>
              <w:br/>
              <w:t>Psychological (Narratological distress): Count 7; Weight: 7/94: 0.0745 (7.45%);</w:t>
            </w:r>
          </w:p>
          <w:p w14:paraId="1DEAA2A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Inadequate explanations -Total: Count 35/94; Weight: 0.3723 (37.23%)</w:t>
            </w:r>
            <w:r w:rsidRPr="00732EED">
              <w:rPr>
                <w:sz w:val="18"/>
                <w:szCs w:val="18"/>
              </w:rPr>
              <w:br/>
              <w:t>Healthcare/System (Validation vs Dismissal): Count 22; Weight: 22/94: 0.2340 (23.40%);</w:t>
            </w:r>
            <w:r w:rsidRPr="00732EED">
              <w:rPr>
                <w:sz w:val="18"/>
                <w:szCs w:val="18"/>
              </w:rPr>
              <w:br/>
              <w:t>Cognitive (Illness representations): Count 8; Weight: 8/94:  0.0851 (8.51%);</w:t>
            </w:r>
            <w:r w:rsidRPr="00732EED">
              <w:rPr>
                <w:sz w:val="18"/>
                <w:szCs w:val="18"/>
              </w:rPr>
              <w:br/>
              <w:t>Psychological (Uncertainty/fear): Count 5; Weight: 5/94:  0.0532 (5.32%);</w:t>
            </w:r>
          </w:p>
          <w:p w14:paraId="4D6EE1C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Barriers to access - Total: Count 25/94; Weight: 0.2660 (26.60%);</w:t>
            </w:r>
            <w:r w:rsidRPr="00732EED">
              <w:rPr>
                <w:sz w:val="18"/>
                <w:szCs w:val="18"/>
              </w:rPr>
              <w:br/>
              <w:t>Healthcare/System (Access barriers &amp; logistics): Count 12; Weight: 12/94: 0.1277 (12.77%);</w:t>
            </w:r>
            <w:r w:rsidRPr="00732EED">
              <w:rPr>
                <w:sz w:val="18"/>
                <w:szCs w:val="18"/>
              </w:rPr>
              <w:br/>
              <w:t>Social (Health inequities): Count 6; Weight: 6/94: 0.0638 (6.38%);</w:t>
            </w:r>
            <w:r w:rsidRPr="00732EED">
              <w:rPr>
                <w:sz w:val="18"/>
                <w:szCs w:val="18"/>
              </w:rPr>
              <w:br/>
            </w:r>
            <w:r w:rsidRPr="00732EED">
              <w:rPr>
                <w:sz w:val="18"/>
                <w:szCs w:val="18"/>
              </w:rPr>
              <w:lastRenderedPageBreak/>
              <w:t>Environmental (Rurality/transport): Count 4; Weight: 4/94: 0.0426 (4.26%);</w:t>
            </w:r>
            <w:r w:rsidRPr="00732EED">
              <w:rPr>
                <w:sz w:val="18"/>
                <w:szCs w:val="18"/>
              </w:rPr>
              <w:br/>
              <w:t>Ecological (Structural determinants): Count 3; Weight: 3/94: 0.0319 (3.19%);</w:t>
            </w:r>
          </w:p>
          <w:p w14:paraId="31D81B2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Misdiagnosis -Total: Count 28/94; Weight: 0.2979 (29.79%)</w:t>
            </w:r>
            <w:r w:rsidRPr="00732EED">
              <w:rPr>
                <w:sz w:val="18"/>
                <w:szCs w:val="18"/>
              </w:rPr>
              <w:br/>
              <w:t>Healthcare/System (Fragmented care/mismatch): Count 16; Weight: 16/94: 0.1702 (17.02%);</w:t>
            </w:r>
            <w:r w:rsidRPr="00732EED">
              <w:rPr>
                <w:sz w:val="18"/>
                <w:szCs w:val="18"/>
              </w:rPr>
              <w:br/>
              <w:t>Cognitive (Wrong illness models): Count 7; Weight: 7/94: 0.0745 (7.45%);</w:t>
            </w:r>
            <w:r w:rsidRPr="00732EED">
              <w:rPr>
                <w:sz w:val="18"/>
                <w:szCs w:val="18"/>
              </w:rPr>
              <w:br/>
              <w:t>Psychological (Identity/validation impact): Count 5; Weight: 5/94: 0.0532 (5.32%)</w:t>
            </w:r>
          </w:p>
          <w:p w14:paraId="4A95B5A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Long waits -Total: Count 25/94; Weight: 0.2660 (26.60%);</w:t>
            </w:r>
            <w:r w:rsidRPr="00732EED">
              <w:rPr>
                <w:sz w:val="18"/>
                <w:szCs w:val="18"/>
              </w:rPr>
              <w:br/>
              <w:t>Healthcare/System (Access barriers &amp; logistics): Count 14; Weight: 14/94: 0.1489 (14.89%);</w:t>
            </w:r>
            <w:r w:rsidRPr="00732EED">
              <w:rPr>
                <w:sz w:val="18"/>
                <w:szCs w:val="18"/>
              </w:rPr>
              <w:br/>
              <w:t>Psychological (Anxiety/anticipation): Count 7; Weight: 7/94: 0.0745 (7.45%);</w:t>
            </w:r>
            <w:r w:rsidRPr="00732EED">
              <w:rPr>
                <w:sz w:val="18"/>
                <w:szCs w:val="18"/>
              </w:rPr>
              <w:br/>
              <w:t>Social (Access inequity): Count 4; Weight: 4/94: 0.0426 (4.26%);</w:t>
            </w:r>
          </w:p>
          <w:p w14:paraId="6C669A6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Ineffective treatment -Total: Count 28/94; Weight: 0.2979 (29.79%);</w:t>
            </w:r>
            <w:r w:rsidRPr="00732EED">
              <w:rPr>
                <w:sz w:val="18"/>
                <w:szCs w:val="18"/>
              </w:rPr>
              <w:br/>
              <w:t xml:space="preserve">Healthcare/System (Fragmented care &amp; mismatch): Count 14; </w:t>
            </w:r>
            <w:r w:rsidRPr="00732EED">
              <w:rPr>
                <w:sz w:val="18"/>
                <w:szCs w:val="18"/>
              </w:rPr>
              <w:lastRenderedPageBreak/>
              <w:t>Weight: 14/94: 0.1489 (14.89%);</w:t>
            </w:r>
            <w:r w:rsidRPr="00732EED">
              <w:rPr>
                <w:sz w:val="18"/>
                <w:szCs w:val="18"/>
              </w:rPr>
              <w:br/>
              <w:t>Chronic Pain (Suffering &amp; distress): Count 8; Weight: 8/94: 0.0851 (8.51%);</w:t>
            </w:r>
            <w:r w:rsidRPr="00732EED">
              <w:rPr>
                <w:sz w:val="18"/>
                <w:szCs w:val="18"/>
              </w:rPr>
              <w:br/>
              <w:t>Psychological (Hopelessness/treatment ambivalence): Count 6; Weight: 6/94: 0.0638 (6.38%);</w:t>
            </w:r>
          </w:p>
          <w:p w14:paraId="373DB62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Lack of understanding from professionals -Total: Count 35/94; Weight: 0.3723 (37.23%);</w:t>
            </w:r>
            <w:r w:rsidRPr="00732EED">
              <w:rPr>
                <w:sz w:val="18"/>
                <w:szCs w:val="18"/>
              </w:rPr>
              <w:br/>
              <w:t>Healthcare/System (Validation vs Dismissal): Count 22; Weight: 22/94: 0.2340 (23.40%);</w:t>
            </w:r>
            <w:r w:rsidRPr="00732EED">
              <w:rPr>
                <w:sz w:val="18"/>
                <w:szCs w:val="18"/>
              </w:rPr>
              <w:br/>
              <w:t>Social (Support erosion): Count 6; Weight: 6/94: 0.0638 (6.38%);</w:t>
            </w:r>
            <w:r w:rsidRPr="00732EED">
              <w:rPr>
                <w:sz w:val="18"/>
                <w:szCs w:val="18"/>
              </w:rPr>
              <w:br/>
              <w:t>Cultural (Stigma/delegitimization): Count 4; Weight: 4/94: 0.0426 (4.26%);</w:t>
            </w:r>
            <w:r w:rsidRPr="00732EED">
              <w:rPr>
                <w:sz w:val="18"/>
                <w:szCs w:val="18"/>
              </w:rPr>
              <w:br/>
              <w:t>Psychological (Self</w:t>
            </w:r>
            <w:r w:rsidRPr="00732EED">
              <w:rPr>
                <w:sz w:val="18"/>
                <w:szCs w:val="18"/>
              </w:rPr>
              <w:noBreakHyphen/>
              <w:t>esteem/identity threat): Count 3; Weight: 3/94: 0.0319 (3.19%).</w:t>
            </w:r>
          </w:p>
        </w:tc>
      </w:tr>
      <w:tr w:rsidR="00E9589B" w:rsidRPr="00732EED" w14:paraId="4E2D7B8E"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1F330FC0" w14:textId="77777777" w:rsidR="00E9589B" w:rsidRPr="00732EED" w:rsidRDefault="00E9589B" w:rsidP="00DC5B3C">
            <w:pPr>
              <w:rPr>
                <w:b w:val="0"/>
                <w:bCs w:val="0"/>
                <w:sz w:val="18"/>
                <w:szCs w:val="18"/>
              </w:rPr>
            </w:pPr>
            <w:r w:rsidRPr="00732EED">
              <w:rPr>
                <w:b w:val="0"/>
                <w:bCs w:val="0"/>
                <w:sz w:val="18"/>
                <w:szCs w:val="18"/>
              </w:rPr>
              <w:lastRenderedPageBreak/>
              <w:t>Validation, acknowledgment, and dignity</w:t>
            </w:r>
          </w:p>
        </w:tc>
        <w:tc>
          <w:tcPr>
            <w:tcW w:w="497" w:type="pct"/>
          </w:tcPr>
          <w:p w14:paraId="04EFF5A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acknowledgment, and dignity: Raw count: 10/94; Weight: 0.1064 (10.64%).</w:t>
            </w:r>
          </w:p>
        </w:tc>
        <w:tc>
          <w:tcPr>
            <w:tcW w:w="1019" w:type="pct"/>
          </w:tcPr>
          <w:p w14:paraId="04B06E7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seen/heard; acknowledgment; affirmation; validation through diagnosis; being treated with dignity; need for sincerity and understanding; trust and credibility restoration</w:t>
            </w:r>
          </w:p>
        </w:tc>
        <w:tc>
          <w:tcPr>
            <w:tcW w:w="1034" w:type="pct"/>
          </w:tcPr>
          <w:p w14:paraId="7F89F6A2" w14:textId="77777777" w:rsidR="00E9589B" w:rsidRPr="00732EED" w:rsidRDefault="00E9589B">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seen/heard: Count 5; Weight: 5/94: 0.0532 (5.32%)</w:t>
            </w:r>
          </w:p>
          <w:p w14:paraId="6AC7A247" w14:textId="77777777" w:rsidR="00E9589B" w:rsidRPr="00732EED" w:rsidRDefault="00E9589B">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Acknowledgment: Count 5; Weight: 5/94: 0.0532 (5.32%)</w:t>
            </w:r>
          </w:p>
          <w:p w14:paraId="07A980B2" w14:textId="77777777" w:rsidR="00E9589B" w:rsidRPr="00732EED" w:rsidRDefault="00E9589B">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Affirmation: Count 5; Weight: 5/94: 0.0532 (5.32%)</w:t>
            </w:r>
          </w:p>
          <w:p w14:paraId="0CBAECBB" w14:textId="77777777" w:rsidR="00E9589B" w:rsidRPr="00732EED" w:rsidRDefault="00E9589B">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through diagnosis: Count 5; Weight: 5/94: 0.0532 (5.32%)</w:t>
            </w:r>
          </w:p>
          <w:p w14:paraId="7A188105" w14:textId="77777777" w:rsidR="00E9589B" w:rsidRPr="00732EED" w:rsidRDefault="00E9589B">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Being treated with dignity: Count 5; Weight: 5/94: 0.0532 (5.32%)</w:t>
            </w:r>
          </w:p>
          <w:p w14:paraId="191A9AC6" w14:textId="77777777" w:rsidR="00E9589B" w:rsidRPr="00732EED" w:rsidRDefault="00E9589B">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for sincerity and understanding: Count 5; Weight: 5/94: 0.0532 (5.32%)</w:t>
            </w:r>
          </w:p>
          <w:p w14:paraId="2CB05E72" w14:textId="77777777" w:rsidR="00E9589B" w:rsidRPr="00732EED" w:rsidRDefault="00E9589B">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Trust and credibility restoration: Count 5; Weight: 5/94: 0.0532 (5.32%) </w:t>
            </w:r>
          </w:p>
          <w:p w14:paraId="0523FDF4" w14:textId="77777777" w:rsidR="00E9589B" w:rsidRPr="00732EED" w:rsidRDefault="00E9589B" w:rsidP="00DC5B3C">
            <w:pPr>
              <w:pStyle w:val="ListParagraph"/>
              <w:cnfStyle w:val="000000100000" w:firstRow="0" w:lastRow="0" w:firstColumn="0" w:lastColumn="0" w:oddVBand="0" w:evenVBand="0" w:oddHBand="1" w:evenHBand="0" w:firstRowFirstColumn="0" w:firstRowLastColumn="0" w:lastRowFirstColumn="0" w:lastRowLastColumn="0"/>
              <w:rPr>
                <w:sz w:val="18"/>
                <w:szCs w:val="18"/>
              </w:rPr>
            </w:pPr>
          </w:p>
          <w:p w14:paraId="50D23881" w14:textId="77777777" w:rsidR="00E9589B" w:rsidRPr="00732EED" w:rsidRDefault="00E9589B" w:rsidP="00DC5B3C">
            <w:pPr>
              <w:pStyle w:val="ListParagraph"/>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Count 35/94; Weight: 0.3723 (37.23%).</w:t>
            </w:r>
          </w:p>
          <w:p w14:paraId="2BCE95E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2F59FED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2, 5, 14, 35, 37, 45, 65, 69, 74, 79</w:t>
            </w:r>
          </w:p>
        </w:tc>
        <w:tc>
          <w:tcPr>
            <w:tcW w:w="803" w:type="pct"/>
          </w:tcPr>
          <w:p w14:paraId="2A912C0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seen/heard: Healthcare/System (Validation vs Dismissal), Social (Support/Communication), Psychological (Resilience/Identity).</w:t>
            </w:r>
            <w:r w:rsidRPr="00732EED">
              <w:rPr>
                <w:sz w:val="18"/>
                <w:szCs w:val="18"/>
              </w:rPr>
              <w:br/>
              <w:t>Acknowledgment: Healthcare/System (Validation vs Dismissal), Social (Support System), Psychological (Self</w:t>
            </w:r>
            <w:r w:rsidRPr="00732EED">
              <w:rPr>
                <w:sz w:val="18"/>
                <w:szCs w:val="18"/>
              </w:rPr>
              <w:noBreakHyphen/>
              <w:t>esteem/Identity).</w:t>
            </w:r>
            <w:r w:rsidRPr="00732EED">
              <w:rPr>
                <w:sz w:val="18"/>
                <w:szCs w:val="18"/>
              </w:rPr>
              <w:br/>
              <w:t xml:space="preserve">Affirmation: </w:t>
            </w:r>
            <w:r w:rsidRPr="00732EED">
              <w:rPr>
                <w:sz w:val="18"/>
                <w:szCs w:val="18"/>
              </w:rPr>
              <w:lastRenderedPageBreak/>
              <w:t>Healthcare/System (Validation), Social (Support/Recognition), Cultural (Legitimacy norms).</w:t>
            </w:r>
            <w:r w:rsidRPr="00732EED">
              <w:rPr>
                <w:sz w:val="18"/>
                <w:szCs w:val="18"/>
              </w:rPr>
              <w:br/>
              <w:t>Validation through diagnosis: Healthcare/System (Validation vs Dismissal), Cognitive (Illness Representations/Models), Psychological (Identity restoration).</w:t>
            </w:r>
            <w:r w:rsidRPr="00732EED">
              <w:rPr>
                <w:sz w:val="18"/>
                <w:szCs w:val="18"/>
              </w:rPr>
              <w:br/>
              <w:t>Being treated with dignity: Healthcare/System (Validation), Social (Respect/Reciprocity), Cultural (Norms/Trust).</w:t>
            </w:r>
            <w:r w:rsidRPr="00732EED">
              <w:rPr>
                <w:sz w:val="18"/>
                <w:szCs w:val="18"/>
              </w:rPr>
              <w:br/>
              <w:t>Need for sincerity and understanding: Healthcare/System (Validation/Communication), Psychological (Narratological distress/trust), Social (Therapeutic relationship).</w:t>
            </w:r>
            <w:r w:rsidRPr="00732EED">
              <w:rPr>
                <w:sz w:val="18"/>
                <w:szCs w:val="18"/>
              </w:rPr>
              <w:br/>
              <w:t>Trust and credibility restoration: Healthcare/System (Validation vs Dismissal), Social (Support/relationship repair), Psychological (Identity/self</w:t>
            </w:r>
            <w:r w:rsidRPr="00732EED">
              <w:rPr>
                <w:sz w:val="18"/>
                <w:szCs w:val="18"/>
              </w:rPr>
              <w:noBreakHyphen/>
              <w:t>esteem).</w:t>
            </w:r>
          </w:p>
        </w:tc>
        <w:tc>
          <w:tcPr>
            <w:tcW w:w="729" w:type="pct"/>
          </w:tcPr>
          <w:p w14:paraId="1E52164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Being seen/heard: Count 5; Weight: 5/94: 0.0532 (5.32%);</w:t>
            </w:r>
            <w:r w:rsidRPr="00732EED">
              <w:rPr>
                <w:sz w:val="18"/>
                <w:szCs w:val="18"/>
              </w:rPr>
              <w:br/>
              <w:t>Acknowledgment: Count 5; Weight: 5/94: 0.0532 (5.32%);</w:t>
            </w:r>
            <w:r w:rsidRPr="00732EED">
              <w:rPr>
                <w:sz w:val="18"/>
                <w:szCs w:val="18"/>
              </w:rPr>
              <w:br/>
              <w:t>Affirmation: Count 5; Weight: 5/94: 0.0532 (5.32%);</w:t>
            </w:r>
            <w:r w:rsidRPr="00732EED">
              <w:rPr>
                <w:sz w:val="18"/>
                <w:szCs w:val="18"/>
              </w:rPr>
              <w:br/>
              <w:t>Validation through diagnosis: Count 5; Weight: 5/94: 0.0532 (5.32%);</w:t>
            </w:r>
            <w:r w:rsidRPr="00732EED">
              <w:rPr>
                <w:sz w:val="18"/>
                <w:szCs w:val="18"/>
              </w:rPr>
              <w:br/>
              <w:t xml:space="preserve">Being treated with </w:t>
            </w:r>
            <w:r w:rsidRPr="00732EED">
              <w:rPr>
                <w:sz w:val="18"/>
                <w:szCs w:val="18"/>
              </w:rPr>
              <w:lastRenderedPageBreak/>
              <w:t>dignity: Count 5; Weight: 5/94: 0.0532 (5.32%);</w:t>
            </w:r>
            <w:r w:rsidRPr="00732EED">
              <w:rPr>
                <w:sz w:val="18"/>
                <w:szCs w:val="18"/>
              </w:rPr>
              <w:br/>
              <w:t>Need for sincerity and understanding: Count 5; Weight: 5/94: 0.0532 (5.32%);</w:t>
            </w:r>
            <w:r w:rsidRPr="00732EED">
              <w:rPr>
                <w:sz w:val="18"/>
                <w:szCs w:val="18"/>
              </w:rPr>
              <w:br/>
              <w:t>Trust and credibility restoration: Count 5; Weight: 5/94: 0.0532 (5.32%).</w:t>
            </w:r>
          </w:p>
        </w:tc>
      </w:tr>
      <w:tr w:rsidR="00E9589B" w:rsidRPr="00732EED" w14:paraId="4BB575AF"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41E9E7A7" w14:textId="77777777" w:rsidR="00E9589B" w:rsidRPr="00732EED" w:rsidRDefault="00E9589B" w:rsidP="00DC5B3C">
            <w:pPr>
              <w:rPr>
                <w:b w:val="0"/>
                <w:bCs w:val="0"/>
                <w:sz w:val="18"/>
                <w:szCs w:val="18"/>
              </w:rPr>
            </w:pPr>
            <w:r w:rsidRPr="00732EED">
              <w:rPr>
                <w:b w:val="0"/>
                <w:bCs w:val="0"/>
                <w:sz w:val="18"/>
                <w:szCs w:val="18"/>
              </w:rPr>
              <w:lastRenderedPageBreak/>
              <w:t>Social relationships and family impact</w:t>
            </w:r>
          </w:p>
        </w:tc>
        <w:tc>
          <w:tcPr>
            <w:tcW w:w="497" w:type="pct"/>
          </w:tcPr>
          <w:p w14:paraId="4568CF2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relationships and family impact: Raw count: 16/94; Weight: 0.1702 (17.02%).</w:t>
            </w:r>
          </w:p>
        </w:tc>
        <w:tc>
          <w:tcPr>
            <w:tcW w:w="1019" w:type="pct"/>
          </w:tcPr>
          <w:p w14:paraId="60E0E58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Family strain; changed social relationships; dependency; parental enmeshment; need for family support; relatives’ involvement; interpersonal relationships as facilitators/barriers; support from family/community; altered reciprocity</w:t>
            </w:r>
          </w:p>
        </w:tc>
        <w:tc>
          <w:tcPr>
            <w:tcW w:w="1034" w:type="pct"/>
          </w:tcPr>
          <w:p w14:paraId="2ED39497"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Family strain: Count 3; Weight: 3/94: 0.0319 (3.19%) </w:t>
            </w:r>
          </w:p>
          <w:p w14:paraId="05F81F14"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Changed social relationships: Count 2; Weight: 2/94: 0.0213 (2.13%) </w:t>
            </w:r>
          </w:p>
          <w:p w14:paraId="1ACCFAEA"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Dependency: Count 2; Weight: 2/94: 0.0213 (2.13%) </w:t>
            </w:r>
          </w:p>
          <w:p w14:paraId="44C2A2C6"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Parental enmeshment: Count 1; Weight: 1/94: 0.0106 (1.06%) </w:t>
            </w:r>
          </w:p>
          <w:p w14:paraId="79EB4F82"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Need for family support: Count 3; Weight: 3/94: 0.0319 (3.19%) </w:t>
            </w:r>
          </w:p>
          <w:p w14:paraId="5356164D"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Relatives’ involvement: Count 1; Weight: 1/94: 0.0106 (1.06%) </w:t>
            </w:r>
          </w:p>
          <w:p w14:paraId="28A26D5A"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Interpersonal relationships as facilitators/barriers: Count 2; Weight: 2/94: 0.0213 (2.13%) </w:t>
            </w:r>
          </w:p>
          <w:p w14:paraId="7A49E651"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from family/community: Count 1; Weight: 1/94: 0.0106 (1.06%) </w:t>
            </w:r>
          </w:p>
          <w:p w14:paraId="00159C5A" w14:textId="77777777" w:rsidR="00E9589B" w:rsidRPr="00732EED" w:rsidRDefault="00E9589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Altered reciprocity: Count 1; Weight: 1/94: 0.0106 (1.06%)</w:t>
            </w:r>
          </w:p>
          <w:p w14:paraId="581BE3F6"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p w14:paraId="4105483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Total: Count 16/94; Weight: 16/94: 0.1702 (17.02%).</w:t>
            </w:r>
          </w:p>
          <w:p w14:paraId="02AFF9B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340AA60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5, 10, 21, 24, 31, 38, 46, 51, 52, 54, 55, 56, 71, 77, 89, 91</w:t>
            </w:r>
          </w:p>
        </w:tc>
        <w:tc>
          <w:tcPr>
            <w:tcW w:w="803" w:type="pct"/>
          </w:tcPr>
          <w:p w14:paraId="178F891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Family strain: Social (Family Dynamics), Psychological (Depression/Hopelessness, Stress), Healthcare/System (need for services/support), Cultural (gender/role norms). </w:t>
            </w:r>
          </w:p>
          <w:p w14:paraId="788B63E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Changed social relationships: Social (Support/Isolation), </w:t>
            </w:r>
            <w:r w:rsidRPr="00732EED">
              <w:rPr>
                <w:sz w:val="18"/>
                <w:szCs w:val="18"/>
              </w:rPr>
              <w:lastRenderedPageBreak/>
              <w:t>Psychological (Identity/Self</w:t>
            </w:r>
            <w:r w:rsidRPr="00732EED">
              <w:rPr>
                <w:sz w:val="18"/>
                <w:szCs w:val="18"/>
              </w:rPr>
              <w:noBreakHyphen/>
              <w:t>esteem), Cultural (stigma/norms), Environmental (geographic/social context). </w:t>
            </w:r>
          </w:p>
          <w:p w14:paraId="1684EE1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Dependency: Social (Caregiving/Family Dynamics), Physical (Limitations &amp; Disability), Psychological (Identity/Autonomy threat), Healthcare/System (formal support services). </w:t>
            </w:r>
          </w:p>
          <w:p w14:paraId="04AD9E9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Parental enmeshment: Social (Family Dynamics), Psychological (Role strain/Identity), Cultural (gendered caregiving norms), Healthcare/System (service involvement/child support). </w:t>
            </w:r>
          </w:p>
          <w:p w14:paraId="13A9412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Need for family support: Social (Support System), Healthcare/System (care navigation/linkage), Psychological (resilience/attachment), Cultural (expectations of family care). </w:t>
            </w:r>
          </w:p>
          <w:p w14:paraId="5F3611A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Relatives’ involvement: Social (Family Dynamics/Support), Healthcare/System (informal–formal care interface), Psychological (relationship effects on coping), Cultural (reciprocity/norms). </w:t>
            </w:r>
          </w:p>
          <w:p w14:paraId="3850C16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Interpersonal relationships as facilitators/barriers: Social (Support vs Isolation), Psychological (motivation/strain), </w:t>
            </w:r>
            <w:r w:rsidRPr="00732EED">
              <w:rPr>
                <w:sz w:val="18"/>
                <w:szCs w:val="18"/>
              </w:rPr>
              <w:lastRenderedPageBreak/>
              <w:t>Healthcare/System (caregiver roles/services), Cultural (norms shaping help</w:t>
            </w:r>
            <w:r w:rsidRPr="00732EED">
              <w:rPr>
                <w:sz w:val="18"/>
                <w:szCs w:val="18"/>
              </w:rPr>
              <w:noBreakHyphen/>
              <w:t>giving). </w:t>
            </w:r>
          </w:p>
          <w:p w14:paraId="0D18AF6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from family/community: Social (Support System, Peer/community), Psychological (buffering/resilience), Healthcare/System (community resources/referrals), Ecological (social–structural context). </w:t>
            </w:r>
          </w:p>
          <w:p w14:paraId="070D456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Altered reciprocity: Social (Family Dynamics, role exchange), Psychological (guilt/shame/identity), Cultural (norms about care and obligation), Economic (socio</w:t>
            </w:r>
            <w:r w:rsidRPr="00732EED">
              <w:rPr>
                <w:sz w:val="18"/>
                <w:szCs w:val="18"/>
              </w:rPr>
              <w:noBreakHyphen/>
              <w:t>economic impact).</w:t>
            </w:r>
          </w:p>
          <w:p w14:paraId="232D45F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729" w:type="pct"/>
          </w:tcPr>
          <w:p w14:paraId="1AE290C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Family strain - Social: Count 1.50; Weight: 1.50/94: 0.0160 (1.60%); Psychological: Count 0.90; Weight: 0.90/94: 0.0096 (0.96%); Healthcare/System: Count 0.40; Weight: 0.40/94: 0.0043 (0.43%); Cultural: Count 0.20; Weight: </w:t>
            </w:r>
            <w:r w:rsidRPr="00732EED">
              <w:rPr>
                <w:sz w:val="18"/>
                <w:szCs w:val="18"/>
              </w:rPr>
              <w:lastRenderedPageBreak/>
              <w:t>0.20/94: 0.0021 (0.21%) (Total: 3)</w:t>
            </w:r>
          </w:p>
          <w:p w14:paraId="00D970B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Changed social relationships - Social: Count 1.00; Weight: 1.00/94: 0.0106 (1.06%); Psychological: Count 0.60; Weight: 0.60/94: 0.0064 (0.64%); Cultural: Count 0.20; Weight: 0.20/94: 0.0021 (0.21%); Environmental: Count 0.20; Weight: 0.20/94: 0.0021 (0.21%) (Total: 2)</w:t>
            </w:r>
          </w:p>
          <w:p w14:paraId="30C62CC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Dependency -Social: Count 0.90; Weight: 0.90/94: 0.0096 (0.96%); Physical: Count 0.60; Weight: 0.60/94: 0.0064 (0.64%); Psychological: Count 0.30; Weight: 0.30/94: 0.0032 (0.32%); Healthcare/System: Count 0.20; Weight: 0.20/94: 0.0021 (0.21%) (Total: 2)</w:t>
            </w:r>
          </w:p>
          <w:p w14:paraId="3DB13B7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Parental enmeshment -Social: Count 0.50; Weight: 0.50/94: 0.0053 (0.53%); Psychological: Count 0.30; Weight: 0.30/94: 0.0032 (0.32%); Cultural: Count 0.10; Weight: 0.10/94: 0.0011 (0.11%); Healthcare/System: Count 0.10; Weight: 0.10/94: 0.0011 (0.11%) (Total: 1)</w:t>
            </w:r>
          </w:p>
          <w:p w14:paraId="53423F4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Need for family support -Social: Count 1.60; Weight: 1.60/94: </w:t>
            </w:r>
            <w:r w:rsidRPr="00732EED">
              <w:rPr>
                <w:sz w:val="18"/>
                <w:szCs w:val="18"/>
              </w:rPr>
              <w:lastRenderedPageBreak/>
              <w:t>0.0170 (1.70%); Healthcare/System: Count 0.80; Weight: 0.80/94: 0.0085 (0.85%); Psychological: Count 0.40; Weight: 0.40/94: 0.0043 (0.43%); Cultural: Count 0.20; Weight: 0.20/94: 0.0021 (0.21%) (Total: 3)</w:t>
            </w:r>
          </w:p>
          <w:p w14:paraId="2F821AB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Relatives’ involvement -Social: Count 0.50; Weight: 0.50/94: 0.0053 (0.53%); Healthcare/System: Count 0.20; Weight: 0.20/94: 0.0021 (0.21%); Psychological: Count 0.20; Weight: 0.20/94: 0.0021 (0.21%); Cultural: Count 0.10; Weight: 0.10/94: 0.0011 (0.11%) (Total: 1)</w:t>
            </w:r>
          </w:p>
          <w:p w14:paraId="2D48113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Interpersonal relationships as facilitators/barriers -Social: Count 0.90; Weight: 0.90/94: 0.0096 (0.96%); Psychological: Count 0.60; Weight: 0.60/94: 0.0064 (0.64%); Healthcare/System: Count 0.30; Weight: 0.30/94: 0.0032 (0.32%); Cultural: Count 0.20; Weight: 0.20/94: 0.0021 (0.21%) (Total: 2)</w:t>
            </w:r>
          </w:p>
          <w:p w14:paraId="40C81A1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Support from family/community Social: Count 0.60; Weight: 0.60/94: 0.0064 (0.64%); </w:t>
            </w:r>
            <w:r w:rsidRPr="00732EED">
              <w:rPr>
                <w:sz w:val="18"/>
                <w:szCs w:val="18"/>
              </w:rPr>
              <w:lastRenderedPageBreak/>
              <w:t>Psychological: Count 0.20; Weight: 0.20/94: 0.0021 (0.21%); Healthcare/System: Count 0.10; Weight: 0.10/94: 0.0011 (0.11%); Ecological/Structural: Count 0.10; Weight: 0.10/94: 0.0011 (0.11%) (Total: 1)</w:t>
            </w:r>
          </w:p>
          <w:p w14:paraId="579D619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Altered reciprocity -Social: Count 0.50; Weight: 0.50/94: 0.0053 (0.53%); Psychological: Count 0.30; Weight: 0.30/94: 0.0032 (0.32%); Cultural: Count 0.10; Weight: 0.10/94: 0.0011 (0.11%); Ecological/Structural (economic impact): Count 0.10; Weight: 0.10/94: 0.0011 (0.11%) (Total: 1).</w:t>
            </w:r>
          </w:p>
        </w:tc>
      </w:tr>
      <w:tr w:rsidR="00E9589B" w:rsidRPr="00732EED" w14:paraId="35C18C0B"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0B708B47" w14:textId="77777777" w:rsidR="00E9589B" w:rsidRPr="00732EED" w:rsidRDefault="00E9589B" w:rsidP="00DC5B3C">
            <w:pPr>
              <w:rPr>
                <w:b w:val="0"/>
                <w:bCs w:val="0"/>
                <w:sz w:val="18"/>
                <w:szCs w:val="18"/>
              </w:rPr>
            </w:pPr>
            <w:r w:rsidRPr="00732EED">
              <w:rPr>
                <w:b w:val="0"/>
                <w:bCs w:val="0"/>
                <w:sz w:val="18"/>
                <w:szCs w:val="18"/>
              </w:rPr>
              <w:lastRenderedPageBreak/>
              <w:t>Work, roles, and socio-economic impact</w:t>
            </w:r>
          </w:p>
        </w:tc>
        <w:tc>
          <w:tcPr>
            <w:tcW w:w="497" w:type="pct"/>
          </w:tcPr>
          <w:p w14:paraId="779BC7F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roles, and socio-economic impact: Raw count: 10/94; Weight: 0.1064 (10.64%).</w:t>
            </w:r>
          </w:p>
        </w:tc>
        <w:tc>
          <w:tcPr>
            <w:tcW w:w="1019" w:type="pct"/>
          </w:tcPr>
          <w:p w14:paraId="2E52DF7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Loss of valued roles; loss of income/job opportunities; motivation to return to work; painfully employed; thwarted opportunities; role disruption; sustainable return to work; work-life balance; fear of dependency/financial need</w:t>
            </w:r>
          </w:p>
        </w:tc>
        <w:tc>
          <w:tcPr>
            <w:tcW w:w="1034" w:type="pct"/>
          </w:tcPr>
          <w:p w14:paraId="3C52B902"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Loss of valued roles: Count 2; Weight: 2/94: 0.0213 (2.13%)</w:t>
            </w:r>
          </w:p>
          <w:p w14:paraId="4C905C17"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Loss of income/job opportunities: Count 1; Weight: 1/94: 0.0106 (1.06%)</w:t>
            </w:r>
          </w:p>
          <w:p w14:paraId="5929BA71"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Motivation to return to work: Count 1; Weight: 1/94: 0.0106 (1.06%)</w:t>
            </w:r>
          </w:p>
          <w:p w14:paraId="30E263F5"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Painfully employed / working despite pain: Count 1; Weight: 1/94: 0.0106 (1.06%)</w:t>
            </w:r>
          </w:p>
          <w:p w14:paraId="78217ED9"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Thwarted opportunities: Count 1; Weight: 1/94: 0.0106 (1.06%)</w:t>
            </w:r>
          </w:p>
          <w:p w14:paraId="380C4AA9"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Role disruption: Count 1; Weight: 1/94: 0.0106 (1.06%)</w:t>
            </w:r>
          </w:p>
          <w:p w14:paraId="4A990ABD"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Sustainable return to work: Count 1; Weight: 1/94: 0.0106 (1.06%)</w:t>
            </w:r>
          </w:p>
          <w:p w14:paraId="6C3DCA3A"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Work–life balance: Count 1; Weight: 1/94: 0.0106 (1.06%)</w:t>
            </w:r>
          </w:p>
          <w:p w14:paraId="1983FD8C" w14:textId="77777777" w:rsidR="00E9589B" w:rsidRPr="00732EED" w:rsidRDefault="00E9589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Fear of dependency / financial need: Count 1; Weight: 1/94: 0.0106 (1.06%)</w:t>
            </w:r>
            <w:r w:rsidRPr="00732EED">
              <w:rPr>
                <w:sz w:val="18"/>
                <w:szCs w:val="18"/>
              </w:rPr>
              <w:br/>
            </w:r>
          </w:p>
        </w:tc>
        <w:tc>
          <w:tcPr>
            <w:tcW w:w="423" w:type="pct"/>
          </w:tcPr>
          <w:p w14:paraId="77A29BA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18, 24, 38, 46, 49, 54, 55, 61, 79, 84</w:t>
            </w:r>
          </w:p>
        </w:tc>
        <w:tc>
          <w:tcPr>
            <w:tcW w:w="803" w:type="pct"/>
          </w:tcPr>
          <w:p w14:paraId="343B486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Loss of valued roles: Social (Work &amp; Return to Work, Expectations &amp; Roles), Psychological (Identity/Self</w:t>
            </w:r>
            <w:r w:rsidRPr="00732EED">
              <w:rPr>
                <w:sz w:val="18"/>
                <w:szCs w:val="18"/>
              </w:rPr>
              <w:noBreakHyphen/>
              <w:t>esteem threat), Economic/Structural (loss of productive role).</w:t>
            </w:r>
            <w:r w:rsidRPr="00732EED">
              <w:rPr>
                <w:sz w:val="18"/>
                <w:szCs w:val="18"/>
              </w:rPr>
              <w:br/>
              <w:t>Loss of income/job opportunities: Social (Work &amp; Return to Work), Economic/Structural (income insecurity, socio</w:t>
            </w:r>
            <w:r w:rsidRPr="00732EED">
              <w:rPr>
                <w:sz w:val="18"/>
                <w:szCs w:val="18"/>
              </w:rPr>
              <w:noBreakHyphen/>
              <w:t>economic impact), Psychological (stress/worry).</w:t>
            </w:r>
            <w:r w:rsidRPr="00732EED">
              <w:rPr>
                <w:sz w:val="18"/>
                <w:szCs w:val="18"/>
              </w:rPr>
              <w:br/>
              <w:t xml:space="preserve">Motivation to return to work: Social (Work &amp; Return to Work), Psychological (hope, purpose, agency), </w:t>
            </w:r>
            <w:r w:rsidRPr="00732EED">
              <w:rPr>
                <w:sz w:val="18"/>
                <w:szCs w:val="18"/>
              </w:rPr>
              <w:lastRenderedPageBreak/>
              <w:t>Healthcare/System (vocational rehabilitation / support).</w:t>
            </w:r>
            <w:r w:rsidRPr="00732EED">
              <w:rPr>
                <w:sz w:val="18"/>
                <w:szCs w:val="18"/>
              </w:rPr>
              <w:br/>
              <w:t>Painfully employed / working despite pain: Social (Work participation), Physical (Pain &amp; Symptom Burden, Activity limitation), Psychological (fear of job loss / endurance).</w:t>
            </w:r>
            <w:r w:rsidRPr="00732EED">
              <w:rPr>
                <w:sz w:val="18"/>
                <w:szCs w:val="18"/>
              </w:rPr>
              <w:br/>
              <w:t>Thwarted opportunities: Social (Role participation), Psychological (loss, grief, diminished future self), Economic/Structural (restricted life chances).</w:t>
            </w:r>
            <w:r w:rsidRPr="00732EED">
              <w:rPr>
                <w:sz w:val="18"/>
                <w:szCs w:val="18"/>
              </w:rPr>
              <w:br/>
              <w:t>Role disruption: Social (Expectations &amp; Roles), Psychological (identity disruption), Cultural (gendered/family/work expectations).</w:t>
            </w:r>
            <w:r w:rsidRPr="00732EED">
              <w:rPr>
                <w:sz w:val="18"/>
                <w:szCs w:val="18"/>
              </w:rPr>
              <w:br/>
              <w:t>Sustainable return to work: Social (Work &amp; Return to Work), Healthcare/System (rehabilitation, accommodation, workplace support), Psychological (confidence/self</w:t>
            </w:r>
            <w:r w:rsidRPr="00732EED">
              <w:rPr>
                <w:sz w:val="18"/>
                <w:szCs w:val="18"/>
              </w:rPr>
              <w:noBreakHyphen/>
              <w:t>efficacy).</w:t>
            </w:r>
            <w:r w:rsidRPr="00732EED">
              <w:rPr>
                <w:sz w:val="18"/>
                <w:szCs w:val="18"/>
              </w:rPr>
              <w:br/>
              <w:t>Work–life balance: Social (role negotiation, participation), Psychological (strain/adaptation), Cultural (norms about productivity/care roles).</w:t>
            </w:r>
            <w:r w:rsidRPr="00732EED">
              <w:rPr>
                <w:sz w:val="18"/>
                <w:szCs w:val="18"/>
              </w:rPr>
              <w:br/>
              <w:t xml:space="preserve">Fear of dependency / financial need: Economic/Structural (financial insecurity), Psychological (anxiety, threatened autonomy), </w:t>
            </w:r>
            <w:r w:rsidRPr="00732EED">
              <w:rPr>
                <w:sz w:val="18"/>
                <w:szCs w:val="18"/>
              </w:rPr>
              <w:lastRenderedPageBreak/>
              <w:t>Social (dependency within family/social roles).</w:t>
            </w:r>
          </w:p>
        </w:tc>
        <w:tc>
          <w:tcPr>
            <w:tcW w:w="729" w:type="pct"/>
          </w:tcPr>
          <w:p w14:paraId="6155DB0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Loss of valued roles: Count 2; Weight: 0.0213 (2.13%); Social: 0.0106 (1.06%); Psychological: 0.0064 (0.64%); Economic/Structural: 0.0043 (0.43%);</w:t>
            </w:r>
            <w:r w:rsidRPr="00732EED">
              <w:rPr>
                <w:sz w:val="18"/>
                <w:szCs w:val="18"/>
              </w:rPr>
              <w:br/>
              <w:t>Loss of income/job opportunities: Count 1; Weight: 0.0106 (1.06%); Social: 0.0032 (0.32%); Economic/Structural: 0.0053 (0.53%); Psychological: 0.0021 (0.21%)</w:t>
            </w:r>
            <w:r w:rsidRPr="00732EED">
              <w:rPr>
                <w:sz w:val="18"/>
                <w:szCs w:val="18"/>
              </w:rPr>
              <w:br/>
              <w:t xml:space="preserve">Motivation to return to work: Count 1; Weight: 0.0106 (1.06%); Social: 0.0043 </w:t>
            </w:r>
            <w:r w:rsidRPr="00732EED">
              <w:rPr>
                <w:sz w:val="18"/>
                <w:szCs w:val="18"/>
              </w:rPr>
              <w:lastRenderedPageBreak/>
              <w:t>(0.43%); Psychological: 0.0043 (0.43%); Healthcare/System: 0.0021 (0.21%);</w:t>
            </w:r>
            <w:r w:rsidRPr="00732EED">
              <w:rPr>
                <w:sz w:val="18"/>
                <w:szCs w:val="18"/>
              </w:rPr>
              <w:br/>
              <w:t>Painfully employed / working despite pain: Count 1; Weight: 0.0106 (1.06%); Social: 0.0032 (0.32%); Physical: 0.0043 (0.43%); Psychological: 0.0032 (0.32%);</w:t>
            </w:r>
            <w:r w:rsidRPr="00732EED">
              <w:rPr>
                <w:sz w:val="18"/>
                <w:szCs w:val="18"/>
              </w:rPr>
              <w:br/>
              <w:t>Thwarted opportunities: Count 1; Weight: 0.0106 (1.06%); Social: 0.0032 (0.32%); Psychological: 0.0043 (0.43%); Economic/Structural: 0.0032 (0.32%);</w:t>
            </w:r>
            <w:r w:rsidRPr="00732EED">
              <w:rPr>
                <w:sz w:val="18"/>
                <w:szCs w:val="18"/>
              </w:rPr>
              <w:br/>
              <w:t>Role disruption: Count 1; Weight: 0.0106 (1.06%); Social: 0.0043 (0.43%); Psychological: 0.0043 (0.43%); Cultural: 0.0021 (0.21%)</w:t>
            </w:r>
            <w:r w:rsidRPr="00732EED">
              <w:rPr>
                <w:sz w:val="18"/>
                <w:szCs w:val="18"/>
              </w:rPr>
              <w:br/>
              <w:t>Sustainable return to work: Count 1; Weight: 0.0106 (1.06%); Social: 0.0043 (0.43%); Healthcare/System: 0.0043 (0.43%); Psychological: 0.0021 (0.21%)</w:t>
            </w:r>
            <w:r w:rsidRPr="00732EED">
              <w:rPr>
                <w:sz w:val="18"/>
                <w:szCs w:val="18"/>
              </w:rPr>
              <w:br/>
              <w:t>Work–life balance: Count 1; Weight: 0.0106 (1.06%); Social: 0.0043 (0.43%); Psychological: 0.0032 (0.32%); Cultural: 0.0032 (0.32%);</w:t>
            </w:r>
            <w:r w:rsidRPr="00732EED">
              <w:rPr>
                <w:sz w:val="18"/>
                <w:szCs w:val="18"/>
              </w:rPr>
              <w:br/>
              <w:t xml:space="preserve">Fear of dependency / </w:t>
            </w:r>
            <w:r w:rsidRPr="00732EED">
              <w:rPr>
                <w:sz w:val="18"/>
                <w:szCs w:val="18"/>
              </w:rPr>
              <w:lastRenderedPageBreak/>
              <w:t>financial need: Count 1; Weight: 0.0106 (1.06%); Economic/Structural: 0.0053 (0.53%); Psychological: 0.0032 (0.32%); Social: 0.0021 (0.21%);</w:t>
            </w:r>
            <w:r w:rsidRPr="00732EED">
              <w:rPr>
                <w:sz w:val="18"/>
                <w:szCs w:val="18"/>
              </w:rPr>
              <w:br/>
              <w:t>Total: Count 10; Weight: 0.1064 (10.64%).</w:t>
            </w:r>
          </w:p>
        </w:tc>
      </w:tr>
      <w:tr w:rsidR="00E9589B" w:rsidRPr="00732EED" w14:paraId="36E9C405"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5D26414F" w14:textId="77777777" w:rsidR="00E9589B" w:rsidRPr="00732EED" w:rsidRDefault="00E9589B" w:rsidP="00DC5B3C">
            <w:pPr>
              <w:rPr>
                <w:b w:val="0"/>
                <w:bCs w:val="0"/>
                <w:sz w:val="18"/>
                <w:szCs w:val="18"/>
              </w:rPr>
            </w:pPr>
            <w:r w:rsidRPr="00732EED">
              <w:rPr>
                <w:b w:val="0"/>
                <w:bCs w:val="0"/>
                <w:sz w:val="18"/>
                <w:szCs w:val="18"/>
              </w:rPr>
              <w:lastRenderedPageBreak/>
              <w:t>Medication and treatment ambivalence</w:t>
            </w:r>
          </w:p>
        </w:tc>
        <w:tc>
          <w:tcPr>
            <w:tcW w:w="497" w:type="pct"/>
          </w:tcPr>
          <w:p w14:paraId="1FA4603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Medication and treatment ambivalence: Raw count: 5/94; Weight: 0.0532 (5.32%).</w:t>
            </w:r>
          </w:p>
        </w:tc>
        <w:tc>
          <w:tcPr>
            <w:tcW w:w="1019" w:type="pct"/>
          </w:tcPr>
          <w:p w14:paraId="000B389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Opioids/medication restore function but create secrecy; fear of losing medication or regimen; stigma, guilt, and moral unease about medication; side effects and bodily trade</w:t>
            </w:r>
            <w:r w:rsidRPr="00732EED">
              <w:rPr>
                <w:sz w:val="18"/>
                <w:szCs w:val="18"/>
              </w:rPr>
              <w:noBreakHyphen/>
              <w:t>offs; ambivalence, apprehension, and adherence/tapering tensions</w:t>
            </w:r>
          </w:p>
        </w:tc>
        <w:tc>
          <w:tcPr>
            <w:tcW w:w="1034" w:type="pct"/>
          </w:tcPr>
          <w:p w14:paraId="49874F00" w14:textId="77777777" w:rsidR="00E9589B" w:rsidRPr="00732EED" w:rsidRDefault="00E9589B">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Opioids/medication restore function but create secrecy: Count 1; Weight: 1/94: 0.0106 (1.06%)</w:t>
            </w:r>
          </w:p>
          <w:p w14:paraId="66EE91C9" w14:textId="77777777" w:rsidR="00E9589B" w:rsidRPr="00732EED" w:rsidRDefault="00E9589B">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losing medication or regimen: Count 1; Weight: 1/94: 0.0106 (1.06%)</w:t>
            </w:r>
          </w:p>
          <w:p w14:paraId="695BAAE0" w14:textId="77777777" w:rsidR="00E9589B" w:rsidRPr="00732EED" w:rsidRDefault="00E9589B">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guilt, and moral unease about medication: Count 1; Weight: 1/94: 0.0106 (1.06%)</w:t>
            </w:r>
          </w:p>
          <w:p w14:paraId="7CB751ED" w14:textId="77777777" w:rsidR="00E9589B" w:rsidRPr="00732EED" w:rsidRDefault="00E9589B">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Side effects and bodily trade</w:t>
            </w:r>
            <w:r w:rsidRPr="00732EED">
              <w:rPr>
                <w:sz w:val="18"/>
                <w:szCs w:val="18"/>
              </w:rPr>
              <w:noBreakHyphen/>
              <w:t>offs: Count 1; Weight: 1/94: 0.0106 (1.06%)</w:t>
            </w:r>
          </w:p>
          <w:p w14:paraId="1FCEE949" w14:textId="77777777" w:rsidR="00E9589B" w:rsidRPr="00732EED" w:rsidRDefault="00E9589B">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Ambivalence, apprehension, and adherence/tapering tensions: Count 1; Weight: 1/94: 0.0106 (1.06%)</w:t>
            </w:r>
          </w:p>
          <w:p w14:paraId="5FD8567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p w14:paraId="097A990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3F4D946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3, 20, 41, 63, 86</w:t>
            </w:r>
          </w:p>
        </w:tc>
        <w:tc>
          <w:tcPr>
            <w:tcW w:w="803" w:type="pct"/>
          </w:tcPr>
          <w:p w14:paraId="1E43451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Opioids/medication restore function but create secrecy: Healthcare/System (prescribing context, treatment dependence), Social (concealment, stigma management), Psychological (benefit vs shame tension).</w:t>
            </w:r>
          </w:p>
          <w:p w14:paraId="15BDEE4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losing medication or regimen: Healthcare/System (prescribing continuity, access), Psychological (anxiety/insecurity), Chronic Pain (fear of worsening suffering).</w:t>
            </w:r>
          </w:p>
          <w:p w14:paraId="326BD83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guilt, and moral unease about medication: Cultural (medication stigma, moral narratives), Psychological (guilt/shame), Social (judgment by others/professionals).</w:t>
            </w:r>
          </w:p>
          <w:p w14:paraId="6E5374F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Side effects and bodily trade</w:t>
            </w:r>
            <w:r w:rsidRPr="00732EED">
              <w:rPr>
                <w:sz w:val="18"/>
                <w:szCs w:val="18"/>
              </w:rPr>
              <w:noBreakHyphen/>
              <w:t>offs: Physical (side effects, symptom burden), Healthcare/System (treatment tolerability), Psychological (frustration/reluctance).</w:t>
            </w:r>
          </w:p>
          <w:p w14:paraId="12BA717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Ambivalence, apprehension, and adherence/tapering tensions: Psychological </w:t>
            </w:r>
            <w:r w:rsidRPr="00732EED">
              <w:rPr>
                <w:sz w:val="18"/>
                <w:szCs w:val="18"/>
              </w:rPr>
              <w:lastRenderedPageBreak/>
              <w:t>(conflicted appraisal, fear, agency), Healthcare/System (treatment mismatch/self-management), Chronic Pain (partial relief amid ongoing pain).</w:t>
            </w:r>
          </w:p>
          <w:p w14:paraId="15A0686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729" w:type="pct"/>
          </w:tcPr>
          <w:p w14:paraId="45D226C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Opioids/medication restore function but create secrecy: Count 1; Weight: 0.0106 (1.06%); Healthcare/System: 0.0043 (0.43%); Social: 0.0032 (0.32%); Psychological: 0.0032 (0.32%);</w:t>
            </w:r>
          </w:p>
          <w:p w14:paraId="2A25DD8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losing medication or regimen: Count 1; Weight: 0.0106 (1.06%); Healthcare/System: 0.0043 (0.43%); Psychological: 0.0032 (0.32%); Chronic Pain: 0.0032 (0.32%);</w:t>
            </w:r>
          </w:p>
          <w:p w14:paraId="09B08A5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guilt, and moral unease about medication: Count 1; Weight: 0.0106 (1.06%); Cultural: 0.0043 (0.43%); Psychological: 0.0032 (0.32%); Social: 0.0032 (0.32%);</w:t>
            </w:r>
          </w:p>
          <w:p w14:paraId="54B70C1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Side effects and bodily trade</w:t>
            </w:r>
            <w:r w:rsidRPr="00732EED">
              <w:rPr>
                <w:sz w:val="18"/>
                <w:szCs w:val="18"/>
              </w:rPr>
              <w:noBreakHyphen/>
              <w:t xml:space="preserve">offs: Count 1; Weight: 0.0106 (1.06%); Physical: 0.0043 (0.43%); Healthcare/System: 0.0043 (0.43%); </w:t>
            </w:r>
            <w:r w:rsidRPr="00732EED">
              <w:rPr>
                <w:sz w:val="18"/>
                <w:szCs w:val="18"/>
              </w:rPr>
              <w:lastRenderedPageBreak/>
              <w:t>Psychological: 0.0021 (0.21%);</w:t>
            </w:r>
          </w:p>
          <w:p w14:paraId="0D57667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Ambivalence, apprehension, and adherence/tapering tensions: Count 1; Weight: 0.0106 (1.06%); Psychological: 0.0043 (0.43%); Healthcare/System: 0.0032 (0.32%); Chronic Pain: 0.0032 (0.32%);</w:t>
            </w:r>
          </w:p>
          <w:p w14:paraId="6D03694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Total: Count 5; Weight: 0.0532 (5.32%).</w:t>
            </w:r>
          </w:p>
        </w:tc>
      </w:tr>
      <w:tr w:rsidR="00E9589B" w:rsidRPr="00732EED" w14:paraId="046C2A0B"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4111D2C0" w14:textId="77777777" w:rsidR="00E9589B" w:rsidRPr="00732EED" w:rsidRDefault="00E9589B" w:rsidP="00DC5B3C">
            <w:pPr>
              <w:rPr>
                <w:b w:val="0"/>
                <w:bCs w:val="0"/>
                <w:sz w:val="18"/>
                <w:szCs w:val="18"/>
              </w:rPr>
            </w:pPr>
            <w:r w:rsidRPr="00732EED">
              <w:rPr>
                <w:b w:val="0"/>
                <w:bCs w:val="0"/>
                <w:sz w:val="18"/>
                <w:szCs w:val="18"/>
              </w:rPr>
              <w:lastRenderedPageBreak/>
              <w:t>Acceptance, adaptation, and reconstruction</w:t>
            </w:r>
          </w:p>
        </w:tc>
        <w:tc>
          <w:tcPr>
            <w:tcW w:w="497" w:type="pct"/>
          </w:tcPr>
          <w:p w14:paraId="63CEEEE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adaptation, and reconstruction: Raw count: 11/94; Weight: 0.1170 (11.70%).</w:t>
            </w:r>
          </w:p>
        </w:tc>
        <w:tc>
          <w:tcPr>
            <w:tcW w:w="1019" w:type="pct"/>
          </w:tcPr>
          <w:p w14:paraId="14B02E5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Learning to live with pain; acceptance of pain; ending the quest for cure; adapting to a new life; reconstruction of daily life; new self with pain; reframing; acceptance as ecosystem/journey</w:t>
            </w:r>
          </w:p>
        </w:tc>
        <w:tc>
          <w:tcPr>
            <w:tcW w:w="1034" w:type="pct"/>
          </w:tcPr>
          <w:p w14:paraId="45EECDAB" w14:textId="77777777" w:rsidR="00E9589B" w:rsidRPr="00732EED" w:rsidRDefault="00E9589B">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of pain: Count 2; Weight: 2/94: 0.0213 (2.13%)</w:t>
            </w:r>
          </w:p>
          <w:p w14:paraId="755501F1" w14:textId="77777777" w:rsidR="00E9589B" w:rsidRPr="00732EED" w:rsidRDefault="00E9589B">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Ending the quest for cure: Count 1; Weight: 1/94: 0.0106 (1.06%)</w:t>
            </w:r>
          </w:p>
          <w:p w14:paraId="59387F2C" w14:textId="77777777" w:rsidR="00E9589B" w:rsidRPr="00732EED" w:rsidRDefault="00E9589B">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Adapting to a new life: Count 2; Weight: 2/94: 0.0213 (2.13%)</w:t>
            </w:r>
          </w:p>
          <w:p w14:paraId="6773A84D" w14:textId="77777777" w:rsidR="00E9589B" w:rsidRPr="00732EED" w:rsidRDefault="00E9589B">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Reconstruction of daily life: Count 1; Weight: 1/94: 0.0106 (1.06%)</w:t>
            </w:r>
          </w:p>
          <w:p w14:paraId="5B0C92B3" w14:textId="77777777" w:rsidR="00E9589B" w:rsidRPr="00732EED" w:rsidRDefault="00E9589B">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New self with pain: Count 1; Weight: 1/94: 0.0106 (1.06%)</w:t>
            </w:r>
          </w:p>
          <w:p w14:paraId="0C64B91E" w14:textId="77777777" w:rsidR="00E9589B" w:rsidRPr="00732EED" w:rsidRDefault="00E9589B">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Reframing: Count 1; Weight: 1/94: 0.0106 (1.06%)</w:t>
            </w:r>
          </w:p>
          <w:p w14:paraId="0F1E7072" w14:textId="77777777" w:rsidR="00E9589B" w:rsidRPr="00732EED" w:rsidRDefault="00E9589B">
            <w:pPr>
              <w:pStyle w:val="ListParagraph"/>
              <w:numPr>
                <w:ilvl w:val="0"/>
                <w:numId w:val="21"/>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as ecosystem/journey: Count 1; Weight: 1/94: 0.0106 (1.06%)</w:t>
            </w:r>
          </w:p>
          <w:p w14:paraId="1DCC6FE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p w14:paraId="46EDA40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25BA290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5, 15, 16, 27, 32, 37, 57, 64, 65, 74, 80</w:t>
            </w:r>
          </w:p>
        </w:tc>
        <w:tc>
          <w:tcPr>
            <w:tcW w:w="803" w:type="pct"/>
          </w:tcPr>
          <w:p w14:paraId="71C41FB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Learning to live with pain: Psychological (adaptation, resilience), Chronic Pain (ongoing embodied experience), Social (adjusting participation and roles).</w:t>
            </w:r>
          </w:p>
          <w:p w14:paraId="0C01C89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of pain: Psychological (acceptance, reduced struggle), Chronic Pain (living with persistent pain), Cognitive (changed appraisal of pain).</w:t>
            </w:r>
          </w:p>
          <w:p w14:paraId="3B77F36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Ending the quest for cure: Healthcare/System (withdrawal from cure-seeking pathway), Cognitive (revised illness expectations), Psychological (letting go of unattainable cure).</w:t>
            </w:r>
          </w:p>
          <w:p w14:paraId="03C0E3D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Adapting to a new life: Psychological (identity adjustment), Social (role renegotiation), Chronic Pain (long-term adaptation).</w:t>
            </w:r>
          </w:p>
          <w:p w14:paraId="19F1CF3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Reconstruction of daily life: Physical (activity adaptation, routines), </w:t>
            </w:r>
            <w:r w:rsidRPr="00732EED">
              <w:rPr>
                <w:sz w:val="18"/>
                <w:szCs w:val="18"/>
              </w:rPr>
              <w:lastRenderedPageBreak/>
              <w:t>Social (practical reorganization of life), Psychological (agency in adaptation).</w:t>
            </w:r>
          </w:p>
          <w:p w14:paraId="6CA7C44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New self with pain: Psychological (self-concept reconstruction), Cognitive (biographical re-interpretation), Chronic Pain (enduring identity effects of pain).</w:t>
            </w:r>
          </w:p>
          <w:p w14:paraId="7B21BA5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Reframing: Cognitive (meaning reconstruction, reinterpretation), Psychological (coping and hope), Cultural (alternative understandings of suffering and endurance).</w:t>
            </w:r>
          </w:p>
          <w:p w14:paraId="57F5D69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as ecosystem/journey: Ecological/Structural (acceptance as relational/contextual process), Psychological (ongoing adjustment), Social (supportive environment for acceptance).</w:t>
            </w:r>
          </w:p>
          <w:p w14:paraId="0D367A5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729" w:type="pct"/>
          </w:tcPr>
          <w:p w14:paraId="7DFFE50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Learning to live with pain: Count 2; Weight: 0.0213 (2.13%); Psychological: 0.0106 (1.06%); Chronic Pain: 0.0064 (0.64%); Social: 0.0043 (0.43%);</w:t>
            </w:r>
          </w:p>
          <w:p w14:paraId="5D02D2D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of pain: Count 2; Weight: 0.0213 (2.13%); Psychological: 0.0106 (1.06%); Chronic Pain: 0.0064 (0.64%); Cognitive: 0.0043 (0.43%);</w:t>
            </w:r>
          </w:p>
          <w:p w14:paraId="505FD8C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Ending the quest for cure: Count 1; Weight: 0.0106 (1.06%); Healthcare/System: 0.0032 (0.32%); Cognitive: 0.0043 (0.43%); Psychological: 0.0032 (0.32%);</w:t>
            </w:r>
          </w:p>
          <w:p w14:paraId="080C0D2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Adapting to a new life: Count 2; Weight: 0.0213 (2.13%); Psychological: 0.0106 (1.06%); Social: 0.0064 (0.64%); </w:t>
            </w:r>
            <w:r w:rsidRPr="00732EED">
              <w:rPr>
                <w:sz w:val="18"/>
                <w:szCs w:val="18"/>
              </w:rPr>
              <w:lastRenderedPageBreak/>
              <w:t>Chronic Pain: 0.0043 (0.43%);</w:t>
            </w:r>
          </w:p>
          <w:p w14:paraId="516085B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Reconstruction of daily life: Count 1; Weight: 0.0106 (1.06%); Physical: 0.0043 (0.43%); Social: 0.0032 (0.32%); Psychological: 0.0032 (0.32%);</w:t>
            </w:r>
          </w:p>
          <w:p w14:paraId="7EF7092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New self with pain: Count 1; Weight: 0.0106 (1.06%); Psychological: 0.0043 (0.43%); Cognitive: 0.0032 (0.32%); Chronic Pain: 0.0032 (0.32%);</w:t>
            </w:r>
          </w:p>
          <w:p w14:paraId="6626520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Reframing: Count 1; Weight: 0.0106 (1.06%); Cognitive: 0.0043 (0.43%); Psychological: 0.0043 (0.43%); Cultural: 0.0021 (0.21%);</w:t>
            </w:r>
          </w:p>
          <w:p w14:paraId="6725363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as ecosystem/journey: Count 1; Weight: 0.0106 (1.06%); Ecological/Structural: 0.0043 (0.43%); Psychological: 0.0032 (0.32%); Social: 0.0032 (0.32%);</w:t>
            </w:r>
          </w:p>
          <w:p w14:paraId="199F041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Count 11; Weight: 0.1170 (11.70%).</w:t>
            </w:r>
          </w:p>
        </w:tc>
      </w:tr>
      <w:tr w:rsidR="00E9589B" w:rsidRPr="00732EED" w14:paraId="0C9E3B0E"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44959301" w14:textId="77777777" w:rsidR="00E9589B" w:rsidRPr="00732EED" w:rsidRDefault="00E9589B" w:rsidP="00DC5B3C">
            <w:pPr>
              <w:rPr>
                <w:b w:val="0"/>
                <w:bCs w:val="0"/>
                <w:sz w:val="18"/>
                <w:szCs w:val="18"/>
              </w:rPr>
            </w:pPr>
            <w:r w:rsidRPr="00732EED">
              <w:rPr>
                <w:b w:val="0"/>
                <w:bCs w:val="0"/>
                <w:sz w:val="18"/>
                <w:szCs w:val="18"/>
              </w:rPr>
              <w:lastRenderedPageBreak/>
              <w:t>Resilience, strength, and perseverance</w:t>
            </w:r>
          </w:p>
        </w:tc>
        <w:tc>
          <w:tcPr>
            <w:tcW w:w="497" w:type="pct"/>
          </w:tcPr>
          <w:p w14:paraId="3935713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strength, and perseverance: Raw count: 10/94; Weight: 0.1064 (10.64%).</w:t>
            </w:r>
          </w:p>
        </w:tc>
        <w:tc>
          <w:tcPr>
            <w:tcW w:w="1019" w:type="pct"/>
          </w:tcPr>
          <w:p w14:paraId="5246363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positivity; transcendence; overcoming suffering; purpose; perseverance; keeping going; hope; self-kindness; motivation to continue; empowerment</w:t>
            </w:r>
          </w:p>
        </w:tc>
        <w:tc>
          <w:tcPr>
            <w:tcW w:w="1034" w:type="pct"/>
          </w:tcPr>
          <w:p w14:paraId="6A9B660C"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Count 1; Weight: 1/94: 0.0106 (1.06%)</w:t>
            </w:r>
          </w:p>
          <w:p w14:paraId="66A6DAC9"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Positivity: Count 1; Weight: 1/94: 0.0106 (1.06%)</w:t>
            </w:r>
          </w:p>
          <w:p w14:paraId="2A243799"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Transcendence: Count 1; Weight: 1/94: 0.0106 (1.06%)</w:t>
            </w:r>
          </w:p>
          <w:p w14:paraId="4A75B59C"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Overcoming suffering: Count 1; Weight: 1/94: 0.0106 (1.06%)</w:t>
            </w:r>
          </w:p>
          <w:p w14:paraId="20C4F106"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Purpose: Count 1; Weight: 1/94: 0.0106 (1.06%)</w:t>
            </w:r>
          </w:p>
          <w:p w14:paraId="3E5F345E"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Perseverance: Count 1; Weight: 1/94: 0.0106 (1.06%)</w:t>
            </w:r>
          </w:p>
          <w:p w14:paraId="6568D509"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Keeping going: Count 1; Weight: 1/94: 0.0106 (1.06%)</w:t>
            </w:r>
          </w:p>
          <w:p w14:paraId="01C1A0C7"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Hope: Count 1; Weight: 1/94: 0.0106 (1.06%)</w:t>
            </w:r>
          </w:p>
          <w:p w14:paraId="7C4191FC"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Self-kindness: Count 1; Weight: 1/94: 0.0106 (1.06%)</w:t>
            </w:r>
          </w:p>
          <w:p w14:paraId="7A8A6A61"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Motivation to continue: Count 1; Weight: 1/94: 0.0106 (1.06%)</w:t>
            </w:r>
          </w:p>
          <w:p w14:paraId="2B20097E" w14:textId="77777777" w:rsidR="00E9589B" w:rsidRPr="00732EED" w:rsidRDefault="00E9589B">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Count 1; Weight: 1/94: 0.0106 (1.06%)</w:t>
            </w:r>
          </w:p>
          <w:p w14:paraId="0719032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p w14:paraId="659B144F" w14:textId="77777777" w:rsidR="00E9589B" w:rsidRPr="00732EED" w:rsidRDefault="00E9589B" w:rsidP="00DC5B3C">
            <w:pPr>
              <w:ind w:left="40"/>
              <w:cnfStyle w:val="000000000000" w:firstRow="0" w:lastRow="0" w:firstColumn="0" w:lastColumn="0" w:oddVBand="0" w:evenVBand="0" w:oddHBand="0" w:evenHBand="0" w:firstRowFirstColumn="0" w:firstRowLastColumn="0" w:lastRowFirstColumn="0" w:lastRowLastColumn="0"/>
              <w:rPr>
                <w:sz w:val="18"/>
                <w:szCs w:val="18"/>
              </w:rPr>
            </w:pPr>
          </w:p>
          <w:p w14:paraId="0967016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4FAE8D8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9, 11, 33, 59, 64, 65, 69, 70, 73, 86</w:t>
            </w:r>
          </w:p>
        </w:tc>
        <w:tc>
          <w:tcPr>
            <w:tcW w:w="803" w:type="pct"/>
          </w:tcPr>
          <w:p w14:paraId="7679946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Psychological (Resilience &amp; Growth), Cognitive (adaptive appraisal), Social (support-enabled coping).</w:t>
            </w:r>
          </w:p>
          <w:p w14:paraId="313FB52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Positivity: Psychological (positive affect, coping orientation), Cognitive (reframing), Cultural (values of optimism/endurance).</w:t>
            </w:r>
          </w:p>
          <w:p w14:paraId="74162CD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Transcendence: Cognitive (meaning beyond pain), Psychological (growth through suffering), Existential/Spiritual (if applicable in interpretation).</w:t>
            </w:r>
          </w:p>
          <w:p w14:paraId="11C2A4A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Overcoming suffering: Chronic Pain (suffering &amp; distress countered through endurance), Psychological (mastery, resilience), Cognitive (re-interpretation of hardship).</w:t>
            </w:r>
          </w:p>
          <w:p w14:paraId="7334247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Purpose: Cognitive (meaning and life direction), Psychological (motivation, coherence), Social (valued contribution/connectedness).</w:t>
            </w:r>
          </w:p>
          <w:p w14:paraId="3266C13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Perseverance: Psychological (persistence, determination), Chronic Pain (continuing despite pain), Cultural (endurance norms).</w:t>
            </w:r>
          </w:p>
          <w:p w14:paraId="2B10385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Keeping going: Psychological (behavioral persistence), Chronic Pain (living on despite persistent symptoms), Social (role continuation).</w:t>
            </w:r>
          </w:p>
          <w:p w14:paraId="284F6DF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Hope: Psychological (future-oriented resilience), Cognitive (possible future self), Chronic Pain (hope despite ongoing pain).</w:t>
            </w:r>
          </w:p>
          <w:p w14:paraId="0A3AE50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Self-kindness: Psychological (self-compassion), Cognitive (gentler self-appraisal), Cultural (permission to rest / reject harsh norms).</w:t>
            </w:r>
          </w:p>
          <w:p w14:paraId="10709216"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Empowerment: Psychological (agency, confidence, self-efficacy), Cultural (empowerment &amp; agency), Healthcare/System (supportive interventions that strengthen control).</w:t>
            </w:r>
          </w:p>
          <w:p w14:paraId="49A1225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729" w:type="pct"/>
          </w:tcPr>
          <w:p w14:paraId="45AF675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Resilience: Count 1; Weight: 0.0106 (1.06%); Psychological: 0.0053 (0.53%); Cognitive: 0.0032 (0.32%); Social: 0.0021 (0.21%);</w:t>
            </w:r>
          </w:p>
          <w:p w14:paraId="751BE7C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Positivity: Count 1; Weight: 0.0106 (1.06%); </w:t>
            </w:r>
            <w:r w:rsidRPr="00732EED">
              <w:rPr>
                <w:sz w:val="18"/>
                <w:szCs w:val="18"/>
              </w:rPr>
              <w:lastRenderedPageBreak/>
              <w:t>Psychological: 0.0043 (0.43%); Cognitive: 0.0032 (0.32%); Cultural: 0.0032 (0.32%);</w:t>
            </w:r>
          </w:p>
          <w:p w14:paraId="4A982E4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Transcendence: Count 1; Weight: 0.0106 (1.06%); Cognitive: 0.0043 (0.43%); Psychological: 0.0032 (0.32%); Existential/Spiritual: 0.0032 (0.32%);</w:t>
            </w:r>
          </w:p>
          <w:p w14:paraId="4B33A02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Overcoming suffering: Count 1; Weight: 0.0106 (1.06%); Chronic Pain: 0.0043 (0.43%); Psychological: 0.0043 (0.43%); Cognitive: 0.0021 (0.21%);</w:t>
            </w:r>
          </w:p>
          <w:p w14:paraId="16949E0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Purpose: Count 1; Weight: 0.0106 (1.06%); Cognitive: 0.0043 (0.43%); Psychological: 0.0032 (0.32%); Social: 0.0032 (0.32%);</w:t>
            </w:r>
          </w:p>
          <w:p w14:paraId="5E7FA83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Perseverance: Count 1; Weight: 0.0106 (1.06%); Psychological: 0.0043 (0.43%); Chronic Pain: 0.0032 (0.32%); Cultural: 0.0032 (0.32%)</w:t>
            </w:r>
          </w:p>
          <w:p w14:paraId="62663EB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Keeping going: Count 1; Weight: 0.0106 (1.06%); Psychological: 0.0043 (0.43%); Chronic Pain: 0.0032 (0.32%); Social: 0.0032 (0.32%)</w:t>
            </w:r>
          </w:p>
          <w:p w14:paraId="0780FDC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Hope: Count 1; Weight: 0.0106 (1.06%); Psychological: 0.0053 (0.53%); Cognitive: </w:t>
            </w:r>
            <w:r w:rsidRPr="00732EED">
              <w:rPr>
                <w:sz w:val="18"/>
                <w:szCs w:val="18"/>
              </w:rPr>
              <w:lastRenderedPageBreak/>
              <w:t>0.0032 (0.32%); Chronic Pain: 0.0021 (0.21%);</w:t>
            </w:r>
          </w:p>
          <w:p w14:paraId="7A94621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Self-kindness: Count 1; Weight: 0.0106 (1.06%); Psychological: 0.0053 (0.53%); Cognitive: 0.0032 (0.32%); Cultural: 0.0021 (0.21%);</w:t>
            </w:r>
          </w:p>
          <w:p w14:paraId="2984831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Count 1; Weight: 0.0106 (1.06%); Psychological: 0.0043 (0.43%); Cultural: 0.0032 (0.32%); Healthcare/System: 0.0032 (0.32%);</w:t>
            </w:r>
          </w:p>
          <w:p w14:paraId="5BA60F1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Total: Count 10; Weight: 0.1064 (10.64%).</w:t>
            </w:r>
          </w:p>
        </w:tc>
      </w:tr>
      <w:tr w:rsidR="00E9589B" w:rsidRPr="00732EED" w14:paraId="019C1FE9"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2D4C3D10" w14:textId="77777777" w:rsidR="00E9589B" w:rsidRPr="00732EED" w:rsidRDefault="00E9589B" w:rsidP="00DC5B3C">
            <w:pPr>
              <w:rPr>
                <w:b w:val="0"/>
                <w:bCs w:val="0"/>
                <w:sz w:val="18"/>
                <w:szCs w:val="18"/>
              </w:rPr>
            </w:pPr>
            <w:r w:rsidRPr="00732EED">
              <w:rPr>
                <w:b w:val="0"/>
                <w:bCs w:val="0"/>
                <w:sz w:val="18"/>
                <w:szCs w:val="18"/>
              </w:rPr>
              <w:lastRenderedPageBreak/>
              <w:t>Meaning-making, reflection, and existential/spiritual dimensions</w:t>
            </w:r>
          </w:p>
        </w:tc>
        <w:tc>
          <w:tcPr>
            <w:tcW w:w="497" w:type="pct"/>
          </w:tcPr>
          <w:p w14:paraId="60CF526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Meaning-making, reflection, and existential/spiritual dimensions: Raw count: 8/94; Weight: 0.0851 (8.51%).</w:t>
            </w:r>
          </w:p>
        </w:tc>
        <w:tc>
          <w:tcPr>
            <w:tcW w:w="1019" w:type="pct"/>
          </w:tcPr>
          <w:p w14:paraId="0C98E6C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Reconsidering values; reflection; joys in life; existential change; spirituality; religious coping; meaning of pain; purpose; future possibilities</w:t>
            </w:r>
          </w:p>
        </w:tc>
        <w:tc>
          <w:tcPr>
            <w:tcW w:w="1034" w:type="pct"/>
          </w:tcPr>
          <w:p w14:paraId="60D92977"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Reconsidering values: Count 1; Weight: 1/94: 0.0106 (1.06%)</w:t>
            </w:r>
          </w:p>
          <w:p w14:paraId="0618B2A5"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Reflection: Count 1; Weight: 1/94: 0.0106 (1.06%)</w:t>
            </w:r>
          </w:p>
          <w:p w14:paraId="7C8A1371"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Joys in life: Count 1; Weight: 1/94: 0.0106 (1.06%)</w:t>
            </w:r>
          </w:p>
          <w:p w14:paraId="5818DC65"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Existential change: Count 1; Weight: 1/94: 0.0106 (1.06%)</w:t>
            </w:r>
          </w:p>
          <w:p w14:paraId="4CCC02C1"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Spirituality: Count 1; Weight: 1/94: 0.0106 (1.06%)</w:t>
            </w:r>
          </w:p>
          <w:p w14:paraId="49928DD0"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Religious coping: Count 1; Weight: 1/94: 0.0106 (1.06%)</w:t>
            </w:r>
          </w:p>
          <w:p w14:paraId="16574D64"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Meaning of pain: Count 1; Weight: 1/94: 0.0106 (1.06%)</w:t>
            </w:r>
          </w:p>
          <w:p w14:paraId="2E40AD3A" w14:textId="77777777" w:rsidR="00E9589B" w:rsidRPr="00732EED" w:rsidRDefault="00E9589B">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Future possibilities: Count 1; Weight: 1/94: 0.0106 (1.06%)</w:t>
            </w:r>
          </w:p>
          <w:p w14:paraId="024250E2" w14:textId="77777777" w:rsidR="00E9589B" w:rsidRPr="00732EED" w:rsidRDefault="00E9589B" w:rsidP="00DC5B3C">
            <w:pPr>
              <w:ind w:firstLine="40"/>
              <w:cnfStyle w:val="000000100000" w:firstRow="0" w:lastRow="0" w:firstColumn="0" w:lastColumn="0" w:oddVBand="0" w:evenVBand="0" w:oddHBand="1" w:evenHBand="0" w:firstRowFirstColumn="0" w:firstRowLastColumn="0" w:lastRowFirstColumn="0" w:lastRowLastColumn="0"/>
              <w:rPr>
                <w:sz w:val="18"/>
                <w:szCs w:val="18"/>
              </w:rPr>
            </w:pPr>
          </w:p>
          <w:p w14:paraId="4525942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4DB1F39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21, 27, 33, 50, 58, 59, 65, 90</w:t>
            </w:r>
          </w:p>
        </w:tc>
        <w:tc>
          <w:tcPr>
            <w:tcW w:w="803" w:type="pct"/>
          </w:tcPr>
          <w:p w14:paraId="3EDABAA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Reconsidering values: Cognitive (existential meaning, value reordering), Psychological (adaptation through reflection), Social (changed priorities in relationships/life roles).</w:t>
            </w:r>
          </w:p>
          <w:p w14:paraId="6837677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Reflection: Cognitive (sense-making, appraisal), Psychological (self-understanding), Existential/Spiritual (life review, deeper meaning).</w:t>
            </w:r>
          </w:p>
          <w:p w14:paraId="308A29E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Joys in life: Psychological (positive affect, gratitude), Cognitive (attention to meaningful moments), Social (connection and appreciation of others).</w:t>
            </w:r>
          </w:p>
          <w:p w14:paraId="3F76A10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Existential change: Cognitive (worldview change), Psychological (identity and meaning transformation), </w:t>
            </w:r>
            <w:r w:rsidRPr="00732EED">
              <w:rPr>
                <w:sz w:val="18"/>
                <w:szCs w:val="18"/>
              </w:rPr>
              <w:lastRenderedPageBreak/>
              <w:t>Existential/Spiritual (changed understanding of life, suffering, mortality).</w:t>
            </w:r>
          </w:p>
          <w:p w14:paraId="450BFA5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Spirituality: Existential/Spiritual (transcendence, faith, sacred meaning), Psychological (comfort, endurance), Cultural (spiritually-shaped understandings of suffering).</w:t>
            </w:r>
          </w:p>
          <w:p w14:paraId="778F6D9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Religious coping: Existential/Spiritual (faith practices, prayer, surrender), Psychological (coping, hope), Social (religious community/support).</w:t>
            </w:r>
          </w:p>
          <w:p w14:paraId="546C041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Meaning of pain: Cognitive (meaning-making, interpretation of suffering), Chronic Pain (pain as lived existential condition), Psychological (integration of suffering into self-understanding).</w:t>
            </w:r>
          </w:p>
          <w:p w14:paraId="4EE6804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Future possibilities: Cognitive (imagining possible futures), Psychological (hope, orientation to continuation), Existential/Spiritual (purpose beyond current suffering).</w:t>
            </w:r>
          </w:p>
        </w:tc>
        <w:tc>
          <w:tcPr>
            <w:tcW w:w="729" w:type="pct"/>
          </w:tcPr>
          <w:p w14:paraId="7BD5443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Reconsidering values: Count 1; Weight: 0.0106 (1.06%); Cognitive: 0.0043 (0.43%); Psychological: 0.0032 (0.32%); Social: 0.0032 (0.32%);</w:t>
            </w:r>
          </w:p>
          <w:p w14:paraId="3FA7EDC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Reflection: Count 1; Weight: 0.0106 (1.06%); Cognitive: 0.0043 (0.43%); Psychological: 0.0032 (0.32%); Existential/Spiritual: 0.0032 (0.32%);</w:t>
            </w:r>
          </w:p>
          <w:p w14:paraId="285A548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Joys in life: Count 1; Weight: 0.0106 (1.06%); Psychological: 0.0043 (0.43%); Cognitive: 0.0032 (0.32%); Social: 0.0032 (0.32%);</w:t>
            </w:r>
          </w:p>
          <w:p w14:paraId="2C6A437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Existential change: Count 1; Weight: </w:t>
            </w:r>
            <w:r w:rsidRPr="00732EED">
              <w:rPr>
                <w:sz w:val="18"/>
                <w:szCs w:val="18"/>
              </w:rPr>
              <w:lastRenderedPageBreak/>
              <w:t>0.0106 (1.06%); Cognitive: 0.0032 (0.32%); Psychological: 0.0032 (0.32%); Existential/Spiritual: 0.0043 (0.43%);</w:t>
            </w:r>
          </w:p>
          <w:p w14:paraId="03AC214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Spirituality: Count 1; Weight: 0.0106 (1.06%); Existential/Spiritual: 0.0053 (0.53%); Psychological: 0.0032 (0.32%); Cultural: 0.0021 (0.21%);</w:t>
            </w:r>
          </w:p>
          <w:p w14:paraId="7D86495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Religious coping: Count 1; Weight: 0.0106 (1.06%); Existential/Spiritual: 0.0043 (0.43%); Psychological: 0.0032 (0.32%); Social: 0.0032 (0.32%);</w:t>
            </w:r>
          </w:p>
          <w:p w14:paraId="23B925B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Meaning of pain: Count 1; Weight: 0.0106 (1.06%); Cognitive: 0.0043 (0.43%); Chronic Pain: 0.0032 (0.32%); Psychological: 0.0032 (0.32%);</w:t>
            </w:r>
          </w:p>
          <w:p w14:paraId="10E8A87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Future possibilities: Count 1; Weight: 0.0106 (1.06%); Cognitive: 0.0043 (0.43%); Psychological: 0.0032 (0.32%); Existential/Spiritual: 0.0032 (0.32%);</w:t>
            </w:r>
          </w:p>
          <w:p w14:paraId="4894701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Count 8; Weight: 0.0851 (8.51%).</w:t>
            </w:r>
          </w:p>
        </w:tc>
      </w:tr>
      <w:tr w:rsidR="00E9589B" w:rsidRPr="00732EED" w14:paraId="691C8E04"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5D80D80D" w14:textId="77777777" w:rsidR="00E9589B" w:rsidRPr="00732EED" w:rsidRDefault="00E9589B" w:rsidP="00DC5B3C">
            <w:pPr>
              <w:rPr>
                <w:b w:val="0"/>
                <w:bCs w:val="0"/>
                <w:sz w:val="18"/>
                <w:szCs w:val="18"/>
              </w:rPr>
            </w:pPr>
            <w:r w:rsidRPr="00732EED">
              <w:rPr>
                <w:b w:val="0"/>
                <w:bCs w:val="0"/>
                <w:sz w:val="18"/>
                <w:szCs w:val="18"/>
              </w:rPr>
              <w:lastRenderedPageBreak/>
              <w:t xml:space="preserve"> Peer support, groups, and community</w:t>
            </w:r>
          </w:p>
        </w:tc>
        <w:tc>
          <w:tcPr>
            <w:tcW w:w="497" w:type="pct"/>
          </w:tcPr>
          <w:p w14:paraId="32ED6396"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Peer support, groups, and community: Raw count: 7/94; Weight: </w:t>
            </w:r>
            <w:r w:rsidRPr="00732EED">
              <w:rPr>
                <w:sz w:val="18"/>
                <w:szCs w:val="18"/>
              </w:rPr>
              <w:lastRenderedPageBreak/>
              <w:t>0.0745 (7.45%).</w:t>
            </w:r>
          </w:p>
        </w:tc>
        <w:tc>
          <w:tcPr>
            <w:tcW w:w="1019" w:type="pct"/>
          </w:tcPr>
          <w:p w14:paraId="58122FE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Feeling understood by peers, reduced loneliness through shared experience, validation and normalization, knowledge sharing and practical advice, motivation </w:t>
            </w:r>
            <w:r w:rsidRPr="00732EED">
              <w:rPr>
                <w:sz w:val="18"/>
                <w:szCs w:val="18"/>
              </w:rPr>
              <w:lastRenderedPageBreak/>
              <w:t>and encouragement, mutuality and reciprocity, group belonging and community</w:t>
            </w:r>
          </w:p>
          <w:p w14:paraId="4CC4BCE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1034" w:type="pct"/>
          </w:tcPr>
          <w:p w14:paraId="328F0FA1" w14:textId="77777777" w:rsidR="00E9589B" w:rsidRPr="00732EED" w:rsidRDefault="00E958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Feeling understood by peers: Count 1; Weight: 1/94: 0.0106 (1.06%)</w:t>
            </w:r>
          </w:p>
          <w:p w14:paraId="3557720C" w14:textId="77777777" w:rsidR="00E9589B" w:rsidRPr="00732EED" w:rsidRDefault="00E958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Reduced loneliness through shared </w:t>
            </w:r>
            <w:r w:rsidRPr="00732EED">
              <w:rPr>
                <w:sz w:val="18"/>
                <w:szCs w:val="18"/>
              </w:rPr>
              <w:lastRenderedPageBreak/>
              <w:t>experience: Count 1; Weight: 1/94: 0.0106 (1.06%)</w:t>
            </w:r>
          </w:p>
          <w:p w14:paraId="76BF1909" w14:textId="77777777" w:rsidR="00E9589B" w:rsidRPr="00732EED" w:rsidRDefault="00E958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and normalization: Count 1; Weight: 1/94: 0.0106 (1.06%)</w:t>
            </w:r>
          </w:p>
          <w:p w14:paraId="1C3076F1" w14:textId="77777777" w:rsidR="00E9589B" w:rsidRPr="00732EED" w:rsidRDefault="00E958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Knowledge sharing and practical advice: Count 1; Weight: 1/94: 0.0106 (1.06%)</w:t>
            </w:r>
          </w:p>
          <w:p w14:paraId="0A4FBB05" w14:textId="77777777" w:rsidR="00E9589B" w:rsidRPr="00732EED" w:rsidRDefault="00E958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Motivation and encouragement: Count 1; Weight: 1/94: 0.0106 (1.06%)</w:t>
            </w:r>
          </w:p>
          <w:p w14:paraId="2FC65C86" w14:textId="77777777" w:rsidR="00E9589B" w:rsidRPr="00732EED" w:rsidRDefault="00E958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Mutuality and reciprocity: Count 1; Weight: 1/94: 0.0106 (1.06%)</w:t>
            </w:r>
          </w:p>
          <w:p w14:paraId="67D852E0" w14:textId="77777777" w:rsidR="00E9589B" w:rsidRPr="00732EED" w:rsidRDefault="00E958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Group belonging and community: Count 1; Weight: 1/94: 0.0106 (1.06%)</w:t>
            </w:r>
          </w:p>
          <w:p w14:paraId="70F03F2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4BB49F7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12, 13, 16, 17, 22, 57, 60, 65, 69, 83</w:t>
            </w:r>
          </w:p>
        </w:tc>
        <w:tc>
          <w:tcPr>
            <w:tcW w:w="803" w:type="pct"/>
          </w:tcPr>
          <w:p w14:paraId="6B55F39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Feeling understood by peers: Social (Peer &amp; Online Communities, Support System), Psychological (feeling </w:t>
            </w:r>
            <w:r w:rsidRPr="00732EED">
              <w:rPr>
                <w:sz w:val="18"/>
                <w:szCs w:val="18"/>
              </w:rPr>
              <w:lastRenderedPageBreak/>
              <w:t>seen/understood), Cultural (shared experiential legitimacy).</w:t>
            </w:r>
          </w:p>
          <w:p w14:paraId="5B6EC88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Reduced loneliness through shared experience: Social (Isolation reduced through connection), Psychological (relief from loneliness), Chronic Pain (shared burden of persistent pain).</w:t>
            </w:r>
          </w:p>
          <w:p w14:paraId="440F2FB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and normalization: Social (recognition and legitimacy), Psychological (reduced self-doubt/shame), Healthcare/System (counter to dismissal through peer validation).</w:t>
            </w:r>
          </w:p>
          <w:p w14:paraId="15A66F6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Knowledge sharing and practical advice: Social (community learning), Healthcare/System (self-management support), Cognitive (illness understanding and practical problem-solving).</w:t>
            </w:r>
          </w:p>
          <w:p w14:paraId="2D0D6A5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Motivation and encouragement: Psychological (hope, confidence, persistence), Social (encouragement from others), Healthcare/System (supporting engagement in self-management).</w:t>
            </w:r>
          </w:p>
          <w:p w14:paraId="76B43E0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Mutuality and reciprocity: Social (reciprocal support), Psychological (worth, contribution, empowerment), Cultural (collective coping values).</w:t>
            </w:r>
          </w:p>
          <w:p w14:paraId="7BBB760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Group belonging and community: Social </w:t>
            </w:r>
            <w:r w:rsidRPr="00732EED">
              <w:rPr>
                <w:sz w:val="18"/>
                <w:szCs w:val="18"/>
              </w:rPr>
              <w:lastRenderedPageBreak/>
              <w:t>(belonging, collective identity), Psychological (security and connection), Ecological (supportive relational environment).</w:t>
            </w:r>
          </w:p>
          <w:p w14:paraId="61AB669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729" w:type="pct"/>
          </w:tcPr>
          <w:p w14:paraId="078AD74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Feeling understood by peers: Count 1; Weight: 0.0106 (1.06%); Social: 0.0053 (0.53%); </w:t>
            </w:r>
            <w:r w:rsidRPr="00732EED">
              <w:rPr>
                <w:sz w:val="18"/>
                <w:szCs w:val="18"/>
              </w:rPr>
              <w:lastRenderedPageBreak/>
              <w:t>Psychological: 0.0032 (0.32%); Cultural: 0.0021 (0.21%);</w:t>
            </w:r>
          </w:p>
          <w:p w14:paraId="7471189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Reduced loneliness through shared experience: Count 1; Weight: 0.0106 (1.06%); Social: 0.0043 (0.43%); Psychological: 0.0032 (0.32%); Chronic Pain: 0.0032 (0.32%);</w:t>
            </w:r>
          </w:p>
          <w:p w14:paraId="31C8CD8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and normalization: Count 1; Weight: 0.0106 (1.06%); Social: 0.0043 (0.43%); Psychological: 0.0032 (0.32%); Healthcare/System: 0.0032 (0.32%);</w:t>
            </w:r>
          </w:p>
          <w:p w14:paraId="7F8216F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Knowledge sharing and practical advice: Count 1; Weight: 0.0106 (1.06%); Social: 0.0043 (0.43%); Healthcare/System: 0.0032 (0.32%); Cognitive: 0.0032 (0.32%);</w:t>
            </w:r>
          </w:p>
          <w:p w14:paraId="3CB93C1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Motivation and encouragement: Count 1; Weight: 0.0106 (1.06%); Psychological: 0.0043 (0.43%); Social: 0.0032 (0.32%); Healthcare/System: 0.0032 (0.32%);</w:t>
            </w:r>
          </w:p>
          <w:p w14:paraId="2943C13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Mutuality and reciprocity: Count 1; Weight: 0.0106 (1.06%); Social: 0.0043 (0.43%); Psychological: 0.0032 (0.32%); Cultural: 0.0032 (0.32%);</w:t>
            </w:r>
          </w:p>
          <w:p w14:paraId="2758E41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Group belonging and community: Count 1; Weight: 0.0106 (1.06%); Social: 0.0043 (0.43%); Psychological: 0.0032 (0.32%); Ecological: 0.0032 (0.32%);</w:t>
            </w:r>
          </w:p>
          <w:p w14:paraId="18329F7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Total: Count 7; Weight: 0.0745 (7.45%).</w:t>
            </w:r>
          </w:p>
        </w:tc>
      </w:tr>
      <w:tr w:rsidR="00E9589B" w:rsidRPr="00732EED" w14:paraId="2AB9A974"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07811DFA" w14:textId="77777777" w:rsidR="00E9589B" w:rsidRPr="00732EED" w:rsidRDefault="00E9589B" w:rsidP="00DC5B3C">
            <w:pPr>
              <w:rPr>
                <w:b w:val="0"/>
                <w:bCs w:val="0"/>
                <w:sz w:val="18"/>
                <w:szCs w:val="18"/>
              </w:rPr>
            </w:pPr>
            <w:r w:rsidRPr="00732EED">
              <w:rPr>
                <w:b w:val="0"/>
                <w:bCs w:val="0"/>
                <w:sz w:val="18"/>
                <w:szCs w:val="18"/>
              </w:rPr>
              <w:lastRenderedPageBreak/>
              <w:t>Information, education and health literacy</w:t>
            </w:r>
          </w:p>
        </w:tc>
        <w:tc>
          <w:tcPr>
            <w:tcW w:w="497" w:type="pct"/>
          </w:tcPr>
          <w:p w14:paraId="7F67B03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Information, education, and health literacy: Raw count: 5/94; Weight: 0.0532 (5.32%).</w:t>
            </w:r>
          </w:p>
        </w:tc>
        <w:tc>
          <w:tcPr>
            <w:tcW w:w="1019" w:type="pct"/>
          </w:tcPr>
          <w:p w14:paraId="47E0619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Information seeking; exploration; health education involvement; empowerment through education; pain neurophysiology education perceived as validating but insufficient; conceptual models of pain</w:t>
            </w:r>
          </w:p>
        </w:tc>
        <w:tc>
          <w:tcPr>
            <w:tcW w:w="1034" w:type="pct"/>
          </w:tcPr>
          <w:p w14:paraId="060C7A1B" w14:textId="77777777" w:rsidR="00E9589B" w:rsidRPr="00732EED" w:rsidRDefault="00E9589B">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Information seeking and exploration: Count 1; Weight: 1/94: 0.0106 (1.06%)</w:t>
            </w:r>
          </w:p>
          <w:p w14:paraId="27B523A5" w14:textId="77777777" w:rsidR="00E9589B" w:rsidRPr="00732EED" w:rsidRDefault="00E9589B">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 education involvement: Count 1; Weight: 1/94: 0.0106 (1.06%)</w:t>
            </w:r>
          </w:p>
          <w:p w14:paraId="6B252F81" w14:textId="77777777" w:rsidR="00E9589B" w:rsidRPr="00732EED" w:rsidRDefault="00E9589B">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Empowerment through education: Count 1; Weight: 1/94: 0.0106 (1.06%)</w:t>
            </w:r>
          </w:p>
          <w:p w14:paraId="0C9C5B68" w14:textId="77777777" w:rsidR="00E9589B" w:rsidRPr="00732EED" w:rsidRDefault="00E9589B">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neurophysiology education: Count 1; Weight: 1/94: 0.0106 (1.06%)</w:t>
            </w:r>
          </w:p>
          <w:p w14:paraId="656B5BDA" w14:textId="77777777" w:rsidR="00E9589B" w:rsidRPr="00732EED" w:rsidRDefault="00E9589B">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Conceptual models of pain: Count 1; Weight: 1/94: 0.0106 (1.06%)</w:t>
            </w:r>
          </w:p>
          <w:p w14:paraId="62AFA77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07B76D7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16, 17, 34, 53, 60, 62, 69</w:t>
            </w:r>
          </w:p>
        </w:tc>
        <w:tc>
          <w:tcPr>
            <w:tcW w:w="803" w:type="pct"/>
          </w:tcPr>
          <w:p w14:paraId="22EE8EA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Information seeking and exploration: Cognitive (sense-making, explanatory search), Healthcare/System (accessing and navigating information), Psychological (reducing uncertainty through inquiry).</w:t>
            </w:r>
          </w:p>
          <w:p w14:paraId="34E24C4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 education involvement: Healthcare/System (participation in educational interventions), Social (engagement with structured support/learning settings), Psychological (confidence through involvement).</w:t>
            </w:r>
          </w:p>
          <w:p w14:paraId="6895AD9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Empowerment through education: Psychological (agency, self-efficacy), Healthcare/System (positive programs &amp; self-management), Cultural (empowerment &amp; agency).</w:t>
            </w:r>
          </w:p>
          <w:p w14:paraId="51324E1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Pain neurophysiology education: Healthcare/System (pain education intervention), Cognitive (reconceptualizing pain mechanisms), Chronic </w:t>
            </w:r>
            <w:r w:rsidRPr="00732EED">
              <w:rPr>
                <w:sz w:val="18"/>
                <w:szCs w:val="18"/>
              </w:rPr>
              <w:lastRenderedPageBreak/>
              <w:t>Pain (understanding persistent pain beyond tissue damage).</w:t>
            </w:r>
          </w:p>
          <w:p w14:paraId="11EB352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Conceptual models of pain: Cognitive (illness/pain representations), Chronic Pain (interpretive model of ongoing pain), Psychological (effect on coping and appraisal).</w:t>
            </w:r>
          </w:p>
          <w:p w14:paraId="07620C3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729" w:type="pct"/>
          </w:tcPr>
          <w:p w14:paraId="577BF3B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Information seeking and exploration: Count 1; Weight: 0.0106 (1.06%); Cognitive: 0.0043 (0.43%); Healthcare/System: 0.0032 (0.32%); Psychological: 0.0032 (0.32%);</w:t>
            </w:r>
          </w:p>
          <w:p w14:paraId="4941D43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 education involvement: Count 1; Weight: 0.0106 (1.06%); Healthcare/System: 0.0043 (0.43%); Social: 0.0032 (0.32%); Psychological: 0.0032 (0.32%)</w:t>
            </w:r>
          </w:p>
          <w:p w14:paraId="7D769A1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Empowerment through education: Count 1; Weight: 0.0106 (1.06%); Psychological: 0.0043 (0.43%); Healthcare/System: 0.0032 (0.32%); Cultural: 0.0032 (0.32%);</w:t>
            </w:r>
          </w:p>
          <w:p w14:paraId="4A0358D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Pain neurophysiology education: Count 1; Weight: 0.0106 (1.06%); Healthcare/System: 0.0043 (0.43%); Cognitive: 0.0032 </w:t>
            </w:r>
            <w:r w:rsidRPr="00732EED">
              <w:rPr>
                <w:sz w:val="18"/>
                <w:szCs w:val="18"/>
              </w:rPr>
              <w:lastRenderedPageBreak/>
              <w:t>(0.32%); Chronic Pain: 0.0032 (0.32%);</w:t>
            </w:r>
          </w:p>
          <w:p w14:paraId="7D736E1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Conceptual models of pain: Count 1; Weight: 0.0106 (1.06%); Cognitive: 0.0043 (0.43%); Chronic Pain: 0.0032 (0.32%); Psychological: 0.0032 (0.32%);</w:t>
            </w:r>
          </w:p>
          <w:p w14:paraId="5053679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Count 5; Weight: 0.0532 (5.32%).</w:t>
            </w:r>
          </w:p>
        </w:tc>
      </w:tr>
      <w:tr w:rsidR="00E9589B" w:rsidRPr="00732EED" w14:paraId="3685B47F"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2FA69751" w14:textId="77777777" w:rsidR="00E9589B" w:rsidRPr="00732EED" w:rsidRDefault="00E9589B" w:rsidP="00DC5B3C">
            <w:pPr>
              <w:rPr>
                <w:b w:val="0"/>
                <w:bCs w:val="0"/>
                <w:sz w:val="18"/>
                <w:szCs w:val="18"/>
              </w:rPr>
            </w:pPr>
            <w:r w:rsidRPr="00732EED">
              <w:rPr>
                <w:b w:val="0"/>
                <w:bCs w:val="0"/>
                <w:sz w:val="18"/>
                <w:szCs w:val="18"/>
              </w:rPr>
              <w:lastRenderedPageBreak/>
              <w:t>Digital and mediated support</w:t>
            </w:r>
          </w:p>
        </w:tc>
        <w:tc>
          <w:tcPr>
            <w:tcW w:w="497" w:type="pct"/>
          </w:tcPr>
          <w:p w14:paraId="2507BF8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Digital and mediated support: Raw count: 4/94; Weight: 0.0426 (4.26%).</w:t>
            </w:r>
          </w:p>
        </w:tc>
        <w:tc>
          <w:tcPr>
            <w:tcW w:w="1019" w:type="pct"/>
          </w:tcPr>
          <w:p w14:paraId="354BE50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media as support; narration and connection online; digital self-management; tele-monitoring; remote psychotherapy barriers/facilitators; privacy concerns; self-presentation online</w:t>
            </w:r>
          </w:p>
        </w:tc>
        <w:tc>
          <w:tcPr>
            <w:tcW w:w="1034" w:type="pct"/>
          </w:tcPr>
          <w:p w14:paraId="3B9F0E59" w14:textId="77777777" w:rsidR="00E9589B" w:rsidRPr="00732EED" w:rsidRDefault="00E9589B">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media as support: Count 1; Weight: 1/94: 0.0106 (1.06%)</w:t>
            </w:r>
          </w:p>
          <w:p w14:paraId="5FF63204" w14:textId="77777777" w:rsidR="00E9589B" w:rsidRPr="00732EED" w:rsidRDefault="00E9589B">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Narration and connection online: Count 1; Weight: 1/94: 0.0106 (1.06%)</w:t>
            </w:r>
          </w:p>
          <w:p w14:paraId="02E99A73" w14:textId="77777777" w:rsidR="00E9589B" w:rsidRPr="00732EED" w:rsidRDefault="00E9589B">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Digital self-management: Count 1; Weight: 1/94: 0.0106 (1.06%)</w:t>
            </w:r>
          </w:p>
          <w:p w14:paraId="56D6DCD5" w14:textId="77777777" w:rsidR="00E9589B" w:rsidRPr="00732EED" w:rsidRDefault="00E9589B">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Tele-monitoring; remote psychotherapy barriers/facilitators; privacy concerns; self-presentation online: Count 1; Weight: 1/94: 0.0106 (1.06%)</w:t>
            </w:r>
          </w:p>
        </w:tc>
        <w:tc>
          <w:tcPr>
            <w:tcW w:w="423" w:type="pct"/>
          </w:tcPr>
          <w:p w14:paraId="0BE2B3E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17, 34, 60, 83</w:t>
            </w:r>
          </w:p>
        </w:tc>
        <w:tc>
          <w:tcPr>
            <w:tcW w:w="803" w:type="pct"/>
          </w:tcPr>
          <w:p w14:paraId="131D155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media as support: Social (support, connection, reduced isolation), Digital/Technological (platform-mediated support), Psychological (validation, emotional expression).</w:t>
            </w:r>
          </w:p>
          <w:p w14:paraId="5DC9663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Narration and connection online: Social (belonging, interaction, shared experience), Psychological (self-expression, identity narration), Digital/Technological (online mediation of communication).</w:t>
            </w:r>
          </w:p>
          <w:p w14:paraId="1262B56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Digital self-management: Healthcare/System (self-management support, access to resources), Cognitive (information use, symptom tracking, self-regulation), Digital/Technological (digital tool/platform use).</w:t>
            </w:r>
          </w:p>
          <w:p w14:paraId="6FD6FCF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Tele-monitoring; remote psychotherapy barriers/facilitators; privacy concerns; self-presentation online: Healthcare/System </w:t>
            </w:r>
            <w:r w:rsidRPr="00732EED">
              <w:rPr>
                <w:sz w:val="18"/>
                <w:szCs w:val="18"/>
              </w:rPr>
              <w:lastRenderedPageBreak/>
              <w:t>(remote care delivery, access, continuity), Digital/Technological (telehealth, monitoring, mediated care), Psychological (comfort, trust, privacy, self-presentation concerns).</w:t>
            </w:r>
          </w:p>
        </w:tc>
        <w:tc>
          <w:tcPr>
            <w:tcW w:w="729" w:type="pct"/>
          </w:tcPr>
          <w:p w14:paraId="25B2D4C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Social media as support: Count 1; Weight: 0.0106 (1.06%); Social: 0.0043 (0.43%); Digital/Technological: 0.0032 (0.32%); Psychological: 0.0032 (0.32%); Narration and connection online: Count 1; Weight: 0.0106 (1.06%); Social: 0.0043 (0.43%); Psychological: 0.0032 (0.32%); Digital/Technological: 0.0032 (0.32%);</w:t>
            </w:r>
          </w:p>
          <w:p w14:paraId="589918A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 Digital self-management: Count 1; Weight: 0.0106 (1.06%); Healthcare/System: 0.0043 (0.43%); Cognitive: 0.0032 (0.32%); Digital/Technological: 0.0032 (0.32%); </w:t>
            </w:r>
          </w:p>
          <w:p w14:paraId="04529F86"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Tele-monitoring; remote psychotherapy barriers/facilitators; privacy concerns; self-presentation online: Count 1; Weight: 0.0106 (1.06%); </w:t>
            </w:r>
            <w:r w:rsidRPr="00732EED">
              <w:rPr>
                <w:sz w:val="18"/>
                <w:szCs w:val="18"/>
              </w:rPr>
              <w:lastRenderedPageBreak/>
              <w:t>Healthcare/System: 0.0043 (0.43%); Digital/Technological: 0.0032 (0.32%); Psychological: 0.0032 (0.32%);</w:t>
            </w:r>
          </w:p>
          <w:p w14:paraId="70BE92A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w:t>
            </w:r>
          </w:p>
          <w:p w14:paraId="5A0CC24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Total: Count 4; Weight: 0.0426 (4.26%).</w:t>
            </w:r>
          </w:p>
        </w:tc>
      </w:tr>
      <w:tr w:rsidR="00E9589B" w:rsidRPr="00732EED" w14:paraId="2D6DD594"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426A4766" w14:textId="77777777" w:rsidR="00E9589B" w:rsidRPr="00732EED" w:rsidRDefault="00E9589B" w:rsidP="00DC5B3C">
            <w:pPr>
              <w:rPr>
                <w:b w:val="0"/>
                <w:bCs w:val="0"/>
                <w:sz w:val="18"/>
                <w:szCs w:val="18"/>
              </w:rPr>
            </w:pPr>
            <w:r w:rsidRPr="00732EED">
              <w:rPr>
                <w:b w:val="0"/>
                <w:bCs w:val="0"/>
                <w:sz w:val="18"/>
                <w:szCs w:val="18"/>
              </w:rPr>
              <w:lastRenderedPageBreak/>
              <w:t>Cultural, gender, and contextual influences</w:t>
            </w:r>
          </w:p>
        </w:tc>
        <w:tc>
          <w:tcPr>
            <w:tcW w:w="497" w:type="pct"/>
          </w:tcPr>
          <w:p w14:paraId="0241F70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 gender, and contextual influences: Raw count: 9/94; Weight: 0.0957 (9.57%).</w:t>
            </w:r>
          </w:p>
        </w:tc>
        <w:tc>
          <w:tcPr>
            <w:tcW w:w="1019" w:type="pct"/>
          </w:tcPr>
          <w:p w14:paraId="37AEEC1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Gendered role expectations; migration/refugee context; military culture; masculinity; cultural beliefs about pain; language barriers; local social norms; dual work–home burden; rurality</w:t>
            </w:r>
          </w:p>
        </w:tc>
        <w:tc>
          <w:tcPr>
            <w:tcW w:w="1034" w:type="pct"/>
          </w:tcPr>
          <w:p w14:paraId="4CA3DD56"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Gendered role expectations: Count 1; Weight: 1/94: 0.0106 (1.06%)</w:t>
            </w:r>
          </w:p>
          <w:p w14:paraId="456F18D0"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Migration/refugee context: Count 1; Weight: 1/94: 0.0106 (1.06%)</w:t>
            </w:r>
          </w:p>
          <w:p w14:paraId="5217C4F8"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Military culture: Count 1; Weight: 1/94: 0.0106 (1.06%)</w:t>
            </w:r>
          </w:p>
          <w:p w14:paraId="74EC3D06"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Masculinity: Count 1; Weight: 1/94: 0.0106 (1.06%)</w:t>
            </w:r>
          </w:p>
          <w:p w14:paraId="25EE14B4"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 beliefs about pain: Count 1; Weight: 1/94: 0.0106 (1.06%)</w:t>
            </w:r>
          </w:p>
          <w:p w14:paraId="399D0B3E"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Language barriers: Count 1; Weight: 1/94: 0.0106 (1.06%)</w:t>
            </w:r>
          </w:p>
          <w:p w14:paraId="58C518CC"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Local social norms: Count 1; Weight: 1/94: 0.0106 (1.06%)</w:t>
            </w:r>
          </w:p>
          <w:p w14:paraId="1C552AB2"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Dual work–home burden: Count 1; Weight: 1/94: 0.0106 (1.06%)</w:t>
            </w:r>
          </w:p>
          <w:p w14:paraId="0A53A750" w14:textId="77777777" w:rsidR="00E9589B" w:rsidRPr="00732EED" w:rsidRDefault="00E9589B">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Count 1; Weight: 1/94: 0.0106 (1.06%)</w:t>
            </w:r>
          </w:p>
          <w:p w14:paraId="464667D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1609F99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49, 55, 61, 68, 70, 73, 85, 87, 90</w:t>
            </w:r>
          </w:p>
        </w:tc>
        <w:tc>
          <w:tcPr>
            <w:tcW w:w="803" w:type="pct"/>
          </w:tcPr>
          <w:p w14:paraId="17B9244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Gendered role expectations: Cultural (gender norms, role expectations), Social (family and social role obligations), Psychological (identity pressure and self-evaluation).</w:t>
            </w:r>
          </w:p>
          <w:p w14:paraId="34B2368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Migration/refugee context: Cultural (migration and displacement context), Social (social exclusion/integration), Environmental (structural and settlement context).</w:t>
            </w:r>
          </w:p>
          <w:p w14:paraId="33E388E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Military culture: Cultural (military norms and values), Social (institutional role expectations), Psychological (stoicism, identity, discipline).</w:t>
            </w:r>
          </w:p>
          <w:p w14:paraId="3B06E86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Masculinity: Cultural (masculine norms), Psychological (emotional restraint, identity), Social (gendered expectations in relationships and work).</w:t>
            </w:r>
          </w:p>
          <w:p w14:paraId="130F320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 beliefs about pain: Cultural (explanatory models of pain), Cognitive (beliefs and meaning-making), Social (social interpretation of suffering).</w:t>
            </w:r>
          </w:p>
          <w:p w14:paraId="49000D1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Language barriers: Cultural (language and cross-cultural communication), Healthcare/System (communication barriers in care), Social (reduced access and participation).</w:t>
            </w:r>
          </w:p>
          <w:p w14:paraId="2203FD0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Local social norms: Cultural (community norms and values), Social (belonging, conformity, sanctions), Psychological (internalization of expectations).</w:t>
            </w:r>
          </w:p>
          <w:p w14:paraId="0E0FF50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Dual work–home burden: Social (role overload across domains), Cultural (gendered labor expectations), Economic/Structural (work and domestic burden).</w:t>
            </w:r>
          </w:p>
          <w:p w14:paraId="1537D97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Environmental (geographic location and distance), Healthcare/System (service access limitations), Social (community visibility/isolation).</w:t>
            </w:r>
          </w:p>
        </w:tc>
        <w:tc>
          <w:tcPr>
            <w:tcW w:w="729" w:type="pct"/>
          </w:tcPr>
          <w:p w14:paraId="1A9DC45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Gendered role expectations: Count 1; Weight: 0.0106 (1.06%); Cultural: 0.0043 (0.43%); Social: 0.0032 (0.32%); Psychological: 0.0032 (0.32%);</w:t>
            </w:r>
          </w:p>
          <w:p w14:paraId="3181A32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Migration/refugee context: Count 1; Weight: 0.0106 (1.06%); Cultural: 0.0043 (0.43%); Social: 0.0032 (0.32%); Environmental: 0.0032 (0.32%);</w:t>
            </w:r>
          </w:p>
          <w:p w14:paraId="555D0AC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Military culture: Count 1; Weight: 0.0106 (1.06%); Cultural: 0.0043 (0.43%); Social: 0.0032 (0.32%); Psychological: 0.0032 (0.32%);</w:t>
            </w:r>
          </w:p>
          <w:p w14:paraId="6D74291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Masculinity: Count 1; Weight: 0.0106 (1.06%); Cultural: 0.0043 (0.43%); Psychological: 0.0032 (0.32%); Social: 0.0032 (0.32%);</w:t>
            </w:r>
          </w:p>
          <w:p w14:paraId="1C58862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Cultural beliefs about pain: Count 1; Weight: 0.0106 (1.06%); Cultural: 0.0043 (0.43%); Cognitive: </w:t>
            </w:r>
            <w:r w:rsidRPr="00732EED">
              <w:rPr>
                <w:sz w:val="18"/>
                <w:szCs w:val="18"/>
              </w:rPr>
              <w:lastRenderedPageBreak/>
              <w:t>0.0032 (0.32%); Social: 0.0032 (0.32%);</w:t>
            </w:r>
          </w:p>
          <w:p w14:paraId="0B1EA41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Language barriers: Count 1; Weight: 0.0106 (1.06%); Cultural: 0.0043 (0.43%); Healthcare/System: 0.0032 (0.32%); Social: 0.0032 (0.32%);</w:t>
            </w:r>
          </w:p>
          <w:p w14:paraId="3189C2C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Local social norms: Count 1; Weight: 0.0106 (1.06%); Cultural: 0.0043 (0.43%); Social: 0.0032 (0.32%); Psychological: 0.0032 (0.32%);</w:t>
            </w:r>
          </w:p>
          <w:p w14:paraId="0D0102A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Dual work–home burden: Count 1; Weight: 0.0106 (1.06%); Social: 0.0043 (0.43%); Cultural: 0.0032 (0.32%); Economic/Structural: 0.0032 (0.32%)</w:t>
            </w:r>
          </w:p>
          <w:p w14:paraId="7ACFEF1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Count 1; Weight: 0.0106 (1.06%); Environmental: 0.0043 (0.43%); Healthcare/System: 0.0032 (0.32%); Social: 0.0032 (0.32%);</w:t>
            </w:r>
          </w:p>
          <w:p w14:paraId="16148CE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Count 9; Weight: 0.0957 (9.57%).</w:t>
            </w:r>
          </w:p>
        </w:tc>
      </w:tr>
      <w:tr w:rsidR="00E9589B" w:rsidRPr="00732EED" w14:paraId="100E8F3C"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69A764EE" w14:textId="77777777" w:rsidR="00E9589B" w:rsidRPr="00732EED" w:rsidRDefault="00E9589B" w:rsidP="00DC5B3C">
            <w:pPr>
              <w:rPr>
                <w:b w:val="0"/>
                <w:bCs w:val="0"/>
                <w:sz w:val="18"/>
                <w:szCs w:val="18"/>
              </w:rPr>
            </w:pPr>
            <w:r w:rsidRPr="00732EED">
              <w:rPr>
                <w:b w:val="0"/>
                <w:bCs w:val="0"/>
                <w:sz w:val="18"/>
                <w:szCs w:val="18"/>
              </w:rPr>
              <w:lastRenderedPageBreak/>
              <w:t>Future orientation and uncertainty</w:t>
            </w:r>
          </w:p>
        </w:tc>
        <w:tc>
          <w:tcPr>
            <w:tcW w:w="497" w:type="pct"/>
          </w:tcPr>
          <w:p w14:paraId="55D7FA5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Future orientation and uncertainty: Raw count: 8/94; Weight: 0.0851 (8.51%).</w:t>
            </w:r>
          </w:p>
        </w:tc>
        <w:tc>
          <w:tcPr>
            <w:tcW w:w="1019" w:type="pct"/>
          </w:tcPr>
          <w:p w14:paraId="59AAD8E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future decline; uncertain future; unrealized futures; waiting and hoping; fighting the future; future disorientation; searching for a way out</w:t>
            </w:r>
          </w:p>
        </w:tc>
        <w:tc>
          <w:tcPr>
            <w:tcW w:w="1034" w:type="pct"/>
          </w:tcPr>
          <w:p w14:paraId="0A5104B2" w14:textId="77777777" w:rsidR="00E9589B" w:rsidRPr="00732EED" w:rsidRDefault="00E9589B">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future decline: Count 1; Weight: 1/94: 0.0106 (1.06%)</w:t>
            </w:r>
          </w:p>
          <w:p w14:paraId="612DD929" w14:textId="77777777" w:rsidR="00E9589B" w:rsidRPr="00732EED" w:rsidRDefault="00E9589B">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Uncertain future: Count 1; Weight: 1/94: 0.0106 (1.06%)</w:t>
            </w:r>
          </w:p>
          <w:p w14:paraId="36F0D216" w14:textId="77777777" w:rsidR="00E9589B" w:rsidRPr="00732EED" w:rsidRDefault="00E9589B">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Unrealized futures: Count 1; Weight: 1/94: 0.0106 (1.06%)</w:t>
            </w:r>
          </w:p>
          <w:p w14:paraId="4FB867D0" w14:textId="77777777" w:rsidR="00E9589B" w:rsidRPr="00732EED" w:rsidRDefault="00E9589B">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Waiting and hoping: Count 1; Weight: 1/94: 0.0106 (1.06%)</w:t>
            </w:r>
          </w:p>
          <w:p w14:paraId="70737DE3" w14:textId="77777777" w:rsidR="00E9589B" w:rsidRPr="00732EED" w:rsidRDefault="00E9589B">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Fighting the future: Count 1; Weight: 1/94: 0.0106 (1.06%)</w:t>
            </w:r>
          </w:p>
          <w:p w14:paraId="19B159D0" w14:textId="77777777" w:rsidR="00E9589B" w:rsidRPr="00732EED" w:rsidRDefault="00E9589B">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Future disorientation: Count 1; Weight: 1/94: 0.0106 (1.06%)</w:t>
            </w:r>
          </w:p>
          <w:p w14:paraId="43CF4D37" w14:textId="77777777" w:rsidR="00E9589B" w:rsidRPr="00732EED" w:rsidRDefault="00E9589B">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Searching for a way out: Count 2; Weight: 2/94: 0.0213 (2.13%)</w:t>
            </w:r>
          </w:p>
          <w:p w14:paraId="02D209D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4ED0C5F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19, 22, 29, 32, 48, 41, 61, 64</w:t>
            </w:r>
          </w:p>
        </w:tc>
        <w:tc>
          <w:tcPr>
            <w:tcW w:w="803" w:type="pct"/>
          </w:tcPr>
          <w:p w14:paraId="3A4853E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future decline: Psychological (fear, anticipatory distress), Cognitive (future appraisal, uncertainty), Chronic Pain (expected worsening over time).</w:t>
            </w:r>
          </w:p>
          <w:p w14:paraId="03C893D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Uncertain future: Cognitive (uncertainty, illness expectations), Psychological (anxiety, insecurity), Existential (life trajectory disruption).</w:t>
            </w:r>
          </w:p>
          <w:p w14:paraId="40DCC32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Unrealized futures: Psychological (loss, grief, disappointment), Social (role and life-course disruption), Existential (thwarted aspirations).</w:t>
            </w:r>
          </w:p>
          <w:p w14:paraId="70366D8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Waiting and hoping: Psychological (hope, endurance, uncertainty), Healthcare/System (waiting for treatment/help), Cognitive (future-oriented coping).</w:t>
            </w:r>
          </w:p>
          <w:p w14:paraId="7315ACA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Fighting the future: Psychological (resistance, perseverance), Cognitive (control-oriented framing), Chronic Pain (ongoing threat management).</w:t>
            </w:r>
          </w:p>
          <w:p w14:paraId="218CD12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Future disorientation: Cognitive (difficulty imagining/planning ahead), Psychological (instability, distress), Existential (loss of temporal coherence).</w:t>
            </w:r>
          </w:p>
          <w:p w14:paraId="3240298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Searching for a way out: Psychological (desperation, need for relief), Cognitive (problem-solving/search), Healthcare/System (seeking solutions, treatment, support).</w:t>
            </w:r>
          </w:p>
          <w:p w14:paraId="6285AC2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729" w:type="pct"/>
          </w:tcPr>
          <w:p w14:paraId="3D2B4AE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Fear of future decline: Count 1; Weight: 0.0106 (1.06%); Psychological: 0.0043 (0.43%); Cognitive: 0.0032 (0.32%); </w:t>
            </w:r>
            <w:r w:rsidRPr="00732EED">
              <w:rPr>
                <w:sz w:val="18"/>
                <w:szCs w:val="18"/>
              </w:rPr>
              <w:lastRenderedPageBreak/>
              <w:t>Chronic Pain: 0.0032 (0.32%)</w:t>
            </w:r>
          </w:p>
          <w:p w14:paraId="40E4A8B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Uncertain future: Count 1; Weight: 0.0106 (1.06%); Cognitive: 0.0043 (0.43%); Psychological: 0.0032 (0.32%); Existential: 0.0032 (0.32%);</w:t>
            </w:r>
          </w:p>
          <w:p w14:paraId="1F28CAB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Unrealized futures: Count 1; Weight: 0.0106 (1.06%); Psychological: 0.0043 (0.43%); Social: 0.0032 (0.32%); Existential: 0.0032 (0.32%);</w:t>
            </w:r>
          </w:p>
          <w:p w14:paraId="7AF6D48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Waiting and hoping: Count 1; Weight: 0.0106 (1.06%); Psychological: 0.0043 (0.43%); Healthcare/System: 0.0032 (0.32%); Cognitive: 0.0032 (0.32%);</w:t>
            </w:r>
          </w:p>
          <w:p w14:paraId="6A453D4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Fighting the future: Count 1; Weight: 0.0106 (1.06%); Psychological: 0.0043 (0.43%); Cognitive: 0.0032 (0.32%); Chronic Pain: 0.0032 (0.32%)</w:t>
            </w:r>
          </w:p>
          <w:p w14:paraId="7D4BAF3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Future disorientation: Count 1; Weight: 0.0106 (1.06%); Cognitive: 0.0043 (0.43%); Psychological: 0.0032 (0.32%); Existential: 0.0032 (0.32%);</w:t>
            </w:r>
          </w:p>
          <w:p w14:paraId="5B8DD18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Searching for a way out: Count 2; Weight: 0.0213 (2.13%); Psychological: 0.0085 (0.85%); Cognitive: </w:t>
            </w:r>
            <w:r w:rsidRPr="00732EED">
              <w:rPr>
                <w:sz w:val="18"/>
                <w:szCs w:val="18"/>
              </w:rPr>
              <w:lastRenderedPageBreak/>
              <w:t>0.0064 (0.64%); Healthcare/System: 0.0064 (0.64%);</w:t>
            </w:r>
          </w:p>
          <w:p w14:paraId="6AAD291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Total: Count 8; Weight: 0.0851 (8.51%).</w:t>
            </w:r>
          </w:p>
        </w:tc>
      </w:tr>
      <w:tr w:rsidR="00E9589B" w:rsidRPr="00732EED" w14:paraId="24C63758"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19999A89" w14:textId="77777777" w:rsidR="00E9589B" w:rsidRPr="00732EED" w:rsidRDefault="00E9589B" w:rsidP="00DC5B3C">
            <w:pPr>
              <w:rPr>
                <w:b w:val="0"/>
                <w:bCs w:val="0"/>
                <w:sz w:val="18"/>
                <w:szCs w:val="18"/>
              </w:rPr>
            </w:pPr>
            <w:r w:rsidRPr="00732EED">
              <w:rPr>
                <w:b w:val="0"/>
                <w:bCs w:val="0"/>
                <w:sz w:val="18"/>
                <w:szCs w:val="18"/>
              </w:rPr>
              <w:lastRenderedPageBreak/>
              <w:t>Trauma and pain interconnection</w:t>
            </w:r>
          </w:p>
        </w:tc>
        <w:tc>
          <w:tcPr>
            <w:tcW w:w="497" w:type="pct"/>
          </w:tcPr>
          <w:p w14:paraId="34CA33E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and pain interconnection: Raw count: 5/94; Weight: 0.0532 (5.32%).</w:t>
            </w:r>
          </w:p>
        </w:tc>
        <w:tc>
          <w:tcPr>
            <w:tcW w:w="1019" w:type="pct"/>
          </w:tcPr>
          <w:p w14:paraId="4C36700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linked to intrusive memories; trauma preceding diagnosis; sexual trauma not reported; trauma reprocessing; pain as enemy following torture/trauma</w:t>
            </w:r>
          </w:p>
        </w:tc>
        <w:tc>
          <w:tcPr>
            <w:tcW w:w="1034" w:type="pct"/>
          </w:tcPr>
          <w:p w14:paraId="5F75669B" w14:textId="77777777" w:rsidR="00E9589B" w:rsidRPr="00732EED" w:rsidRDefault="00E9589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linked to intrusive memories: Count 1; Weight: 1/94: 0.0106 (1.06%)</w:t>
            </w:r>
          </w:p>
          <w:p w14:paraId="35EE37E1" w14:textId="77777777" w:rsidR="00E9589B" w:rsidRPr="00732EED" w:rsidRDefault="00E9589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preceding diagnosis: Count 1; Weight: 1/94: 0.0106 (1.06%)</w:t>
            </w:r>
          </w:p>
          <w:p w14:paraId="0EE277FA" w14:textId="77777777" w:rsidR="00E9589B" w:rsidRPr="00732EED" w:rsidRDefault="00E9589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Sexual trauma not reported: Count 1; Weight: 1/94: 0.0106 (1.06%)</w:t>
            </w:r>
          </w:p>
          <w:p w14:paraId="21215F01" w14:textId="77777777" w:rsidR="00E9589B" w:rsidRPr="00732EED" w:rsidRDefault="00E9589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reprocessing: Count 1; Weight: 1/94: 0.0106 (1.06%)</w:t>
            </w:r>
          </w:p>
          <w:p w14:paraId="18467126" w14:textId="77777777" w:rsidR="00E9589B" w:rsidRPr="00732EED" w:rsidRDefault="00E9589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enemy following torture/trauma: Count 1; Weight: 1/94: 0.0106 (1.06%)</w:t>
            </w:r>
          </w:p>
          <w:p w14:paraId="616F72B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0B91450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11, 70, 78, 86</w:t>
            </w:r>
          </w:p>
        </w:tc>
        <w:tc>
          <w:tcPr>
            <w:tcW w:w="803" w:type="pct"/>
          </w:tcPr>
          <w:p w14:paraId="5F12EAB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linked to intrusive memories: Psychological, Cognitive, Chronic Pain</w:t>
            </w:r>
          </w:p>
          <w:p w14:paraId="73C4983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preceding diagnosis: Psychological, Healthcare/System, Cognitive</w:t>
            </w:r>
          </w:p>
          <w:p w14:paraId="58109FB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Sexual trauma not reported: Psychological, Social, Cultural</w:t>
            </w:r>
          </w:p>
          <w:p w14:paraId="10CB332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reprocessing: Psychological, Healthcare/System, Cognitive</w:t>
            </w:r>
          </w:p>
          <w:p w14:paraId="5E77121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enemy following torture/trauma: Psychological, Chronic Pain, Cultural</w:t>
            </w:r>
          </w:p>
          <w:p w14:paraId="18FD3CB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p w14:paraId="461016B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729" w:type="pct"/>
          </w:tcPr>
          <w:p w14:paraId="7243840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linked to intrusive memories: Count 1; Weight: 0.0106 (1.06%); Psychological: 0.0043 (0.43%); Cognitive: 0.0032 (0.32%); Chronic Pain: 0.0032 (0.32%);</w:t>
            </w:r>
          </w:p>
          <w:p w14:paraId="232DDB5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preceding diagnosis: Count 1; Weight: 0.0106 (1.06%); Psychological: 0.0043 (0.43%); Healthcare/System: 0.0032 (0.32%); Cognitive: 0.0032 (0.32%);</w:t>
            </w:r>
          </w:p>
          <w:p w14:paraId="314357D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Sexual trauma not reported: Count 1; Weight: 0.0106 (1.06%); Psychological: 0.0043 (0.43%); Social: 0.0032 (0.32%); Cultural: 0.0032 (0.32%);</w:t>
            </w:r>
          </w:p>
          <w:p w14:paraId="7F8CB8E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reprocessing: Count 1; Weight: 0.0106 (1.06%); Psychological: 0.0043 (0.43%); Healthcare/System: 0.0032 (0.32%); Cognitive: 0.0032 (0.32%);</w:t>
            </w:r>
          </w:p>
          <w:p w14:paraId="549E56C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Pain as enemy following torture/trauma: Count 1; Weight: 0.0106 (1.06%); </w:t>
            </w:r>
            <w:r w:rsidRPr="00732EED">
              <w:rPr>
                <w:sz w:val="18"/>
                <w:szCs w:val="18"/>
              </w:rPr>
              <w:lastRenderedPageBreak/>
              <w:t>Psychological: 0.0043 (0.43%); Chronic Pain: 0.0032 (0.32%); Cultural: 0.0032 (0.32%);</w:t>
            </w:r>
          </w:p>
          <w:p w14:paraId="5974CB1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Total: Count 5; Weight: 0.0532 (5.32%).</w:t>
            </w:r>
          </w:p>
          <w:p w14:paraId="709F27C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r>
      <w:tr w:rsidR="00E9589B" w:rsidRPr="00732EED" w14:paraId="6B286818"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6345DF0B" w14:textId="77777777" w:rsidR="00E9589B" w:rsidRPr="00732EED" w:rsidRDefault="00E9589B" w:rsidP="00DC5B3C">
            <w:pPr>
              <w:rPr>
                <w:b w:val="0"/>
                <w:bCs w:val="0"/>
                <w:sz w:val="18"/>
                <w:szCs w:val="18"/>
              </w:rPr>
            </w:pPr>
            <w:r w:rsidRPr="00732EED">
              <w:rPr>
                <w:b w:val="0"/>
                <w:bCs w:val="0"/>
                <w:sz w:val="18"/>
                <w:szCs w:val="18"/>
              </w:rPr>
              <w:lastRenderedPageBreak/>
              <w:t>Communication and expression of pain</w:t>
            </w:r>
          </w:p>
        </w:tc>
        <w:tc>
          <w:tcPr>
            <w:tcW w:w="497" w:type="pct"/>
          </w:tcPr>
          <w:p w14:paraId="0A8A8C0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 and expression of pain: Raw count: 7/94; Weight: 0.0745 (7.45%).</w:t>
            </w:r>
          </w:p>
        </w:tc>
        <w:tc>
          <w:tcPr>
            <w:tcW w:w="1019" w:type="pct"/>
          </w:tcPr>
          <w:p w14:paraId="002BAD8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is hard to explain; analogies/personification; narratological distress; communication barriers; visual/artistic expression of pain; pain language and behavior; challenges to self-expression</w:t>
            </w:r>
          </w:p>
        </w:tc>
        <w:tc>
          <w:tcPr>
            <w:tcW w:w="1034" w:type="pct"/>
          </w:tcPr>
          <w:p w14:paraId="26AC2573" w14:textId="77777777" w:rsidR="00E9589B" w:rsidRPr="00732EED" w:rsidRDefault="00E9589B">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is hard to explain: Count 1; Weight: 1/94: 0.0106 (1.06%)</w:t>
            </w:r>
          </w:p>
          <w:p w14:paraId="352582B9" w14:textId="77777777" w:rsidR="00E9589B" w:rsidRPr="00732EED" w:rsidRDefault="00E9589B">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Analogies/personification: Count 1; Weight: 1/94: 0.0106 (1.06%)</w:t>
            </w:r>
          </w:p>
          <w:p w14:paraId="7B14C22E" w14:textId="77777777" w:rsidR="00E9589B" w:rsidRPr="00732EED" w:rsidRDefault="00E9589B">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Narratological distress: Count 1; Weight: 1/94: 0.0106 (1.06%)</w:t>
            </w:r>
          </w:p>
          <w:p w14:paraId="666A49C8" w14:textId="77777777" w:rsidR="00E9589B" w:rsidRPr="00732EED" w:rsidRDefault="00E9589B">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Communication barriers: Count 1; Weight: 1/94: 0.0106 (1.06%) </w:t>
            </w:r>
          </w:p>
          <w:p w14:paraId="169D6D3A" w14:textId="77777777" w:rsidR="00E9589B" w:rsidRPr="00732EED" w:rsidRDefault="00E9589B">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Visual/artistic expression of pain: Count 1; Weight: 1/94: 0.0106 (1.06%)</w:t>
            </w:r>
          </w:p>
          <w:p w14:paraId="30740F4E" w14:textId="77777777" w:rsidR="00E9589B" w:rsidRPr="00732EED" w:rsidRDefault="00E9589B">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language and behavior: Count 1; Weight: 1/94: 0.0106 (1.06%)</w:t>
            </w:r>
          </w:p>
          <w:p w14:paraId="6F7BF6E1" w14:textId="77777777" w:rsidR="00E9589B" w:rsidRPr="00732EED" w:rsidRDefault="00E9589B">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Challenges to self-expression: Count 1; Weight: 1/94: 0.0106 (1.06%)</w:t>
            </w:r>
          </w:p>
          <w:p w14:paraId="01BB03E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7E90CF8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7, 23, 30, 42, 75, 94</w:t>
            </w:r>
          </w:p>
        </w:tc>
        <w:tc>
          <w:tcPr>
            <w:tcW w:w="803" w:type="pct"/>
          </w:tcPr>
          <w:p w14:paraId="1476C43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is hard to explain: Cognitive, Psychological, Social; Analogies/personification: Cognitive, Chronic Pain, Cultural; Narratological distress: Psychological, Cognitive, Social; Communication barriers: Social, Healthcare/System, Cultural; Visual/artistic expression of pain: Psychological, Cognitive, Cultural; Pain language and behavior: Chronic Pain, Social, Cognitive; Challenges to self-expression: Psychological, Social, Cognitive.</w:t>
            </w:r>
          </w:p>
        </w:tc>
        <w:tc>
          <w:tcPr>
            <w:tcW w:w="729" w:type="pct"/>
          </w:tcPr>
          <w:p w14:paraId="2B515B4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Pain is hard to explain: Count 1; Weight: 0.0106 (1.06%); Cognitive: 0.0043 (0.43%); Psychological: 0.0032 (0.32%); Social: 0.0032 (0.32%); Analogies/personification: Count 1; Weight: 0.0106 (1.06%); Cognitive: 0.0043 (0.43%); Chronic Pain: 0.0032 (0.32%); Cultural: 0.0032 (0.32%); Narratological distress: Count 1; Weight: 0.0106 (1.06%); Psychological: 0.0043 (0.43%); Cognitive: 0.0032 (0.32%); Social: 0.0032 (0.32%); Communication barriers: Count 1; Weight: 0.0106 (1.06%); Social: 0.0043 (0.43%); Healthcare/System: 0.0032 (0.32%); Cultural: 0.0032 (0.32%); Visual/artistic expression of pain: Count 1; Weight: 0.0106 (1.06%); Psychological: 0.0043 (0.43%); Cognitive: 0.0032 (0.32%); </w:t>
            </w:r>
            <w:r w:rsidRPr="00732EED">
              <w:rPr>
                <w:sz w:val="18"/>
                <w:szCs w:val="18"/>
              </w:rPr>
              <w:lastRenderedPageBreak/>
              <w:t>Cultural: 0.0032 (0.32%); Pain language and behavior: Count 1; Weight: 0.0106 (1.06%); Chronic Pain: 0.0043 (0.43%); Social: 0.0032 (0.32%); Cognitive: 0.0032 (0.32%); Challenges to self-expression: Count 1; Weight: 0.0106 (1.06%); Psychological: 0.0043 (0.43%); Social: 0.0032 (0.32%); Cognitive: 0.0032 (0.32%); Total: Count 7; Weight: 0.0745 (7.45%).</w:t>
            </w:r>
          </w:p>
        </w:tc>
      </w:tr>
      <w:tr w:rsidR="00E9589B" w:rsidRPr="00732EED" w14:paraId="78CF3284"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082E59BB" w14:textId="77777777" w:rsidR="00E9589B" w:rsidRPr="00732EED" w:rsidRDefault="00E9589B" w:rsidP="00DC5B3C">
            <w:pPr>
              <w:rPr>
                <w:b w:val="0"/>
                <w:bCs w:val="0"/>
                <w:sz w:val="18"/>
                <w:szCs w:val="18"/>
              </w:rPr>
            </w:pPr>
            <w:r w:rsidRPr="00732EED">
              <w:rPr>
                <w:b w:val="0"/>
                <w:bCs w:val="0"/>
                <w:sz w:val="18"/>
                <w:szCs w:val="18"/>
              </w:rPr>
              <w:lastRenderedPageBreak/>
              <w:t>Independence, control, and agency</w:t>
            </w:r>
          </w:p>
        </w:tc>
        <w:tc>
          <w:tcPr>
            <w:tcW w:w="497" w:type="pct"/>
          </w:tcPr>
          <w:p w14:paraId="75351BE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Independence, control, and agency: Raw count: 8/94; Weight: 0.0851 (8.51%).</w:t>
            </w:r>
          </w:p>
        </w:tc>
        <w:tc>
          <w:tcPr>
            <w:tcW w:w="1019" w:type="pct"/>
          </w:tcPr>
          <w:p w14:paraId="117C0C8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Loss of control; fight for life control; need to take command; self-efficacy; internal locus of control; independence versus accepting support; disrupted agency</w:t>
            </w:r>
          </w:p>
        </w:tc>
        <w:tc>
          <w:tcPr>
            <w:tcW w:w="1034" w:type="pct"/>
          </w:tcPr>
          <w:p w14:paraId="5EF9D6C8" w14:textId="77777777" w:rsidR="00E9589B" w:rsidRPr="00732EED" w:rsidRDefault="00E9589B">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Loss of control: Count 1; Weight: 1/94 = 0.0106 (1.06%)</w:t>
            </w:r>
          </w:p>
          <w:p w14:paraId="31B1AFE4" w14:textId="77777777" w:rsidR="00E9589B" w:rsidRPr="00732EED" w:rsidRDefault="00E9589B">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Fight for life control: Count 1; Weight: 1/94 = 0.0106 (1.06%)</w:t>
            </w:r>
          </w:p>
          <w:p w14:paraId="08B593A0" w14:textId="77777777" w:rsidR="00E9589B" w:rsidRPr="00732EED" w:rsidRDefault="00E9589B">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to take command: Count 1; Weight: 1/94 = 0.0106 (1.06%)</w:t>
            </w:r>
          </w:p>
          <w:p w14:paraId="38ED13C7" w14:textId="77777777" w:rsidR="00E9589B" w:rsidRPr="00732EED" w:rsidRDefault="00E9589B">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Self-efficacy: Count 1; Weight: 1/94 = 0.0106 (1.06%)</w:t>
            </w:r>
          </w:p>
          <w:p w14:paraId="7A1C8B09" w14:textId="77777777" w:rsidR="00E9589B" w:rsidRPr="00732EED" w:rsidRDefault="00E9589B">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Internal locus of control: Count 1; Weight: 1/94 = 0.0106 (1.06%)</w:t>
            </w:r>
          </w:p>
          <w:p w14:paraId="340EDEFE" w14:textId="77777777" w:rsidR="00E9589B" w:rsidRPr="00732EED" w:rsidRDefault="00E9589B">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Independence versus accepting support: Count 1; Weight: 1/94 = 0.0106 (1.06%)</w:t>
            </w:r>
          </w:p>
          <w:p w14:paraId="398D8087" w14:textId="77777777" w:rsidR="00E9589B" w:rsidRPr="00732EED" w:rsidRDefault="00E9589B">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Disrupted agency: Count 2; Weight: 2/94 = 0.0213 (2.13%)</w:t>
            </w:r>
          </w:p>
          <w:p w14:paraId="0488951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06CD136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8, 22, 41, 63, 69, 77, 79, 93</w:t>
            </w:r>
          </w:p>
        </w:tc>
        <w:tc>
          <w:tcPr>
            <w:tcW w:w="803" w:type="pct"/>
          </w:tcPr>
          <w:p w14:paraId="046D89F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Loss of control: Psychological, Cognitive, Chronic Pain; Fight for life control: Psychological, Existential, Chronic Pain; Need to take command: Psychological, Cognitive, Healthcare/System; Self-efficacy: Psychological, Cognitive, Healthcare/System; Internal locus of control: Psychological, Cognitive, Cultural; Independence versus accepting support: Psychological, Social, Physical; Disrupted agency: Psychological, Cognitive, Social.</w:t>
            </w:r>
          </w:p>
          <w:p w14:paraId="7953A49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729" w:type="pct"/>
          </w:tcPr>
          <w:p w14:paraId="18DF4F5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Loss of control: Count 1; Weight: 0.0106 (1.06%); Psychological: 0.0043 (0.43%); Cognitive: 0.0032 (0.32%); Chronic Pain: 0.0032 (0.32%); Fight for life control: Count 1; Weight: 0.0106 (1.06%); Psychological: 0.0043 (0.43%); Existential: 0.0032 (0.32%); Chronic Pain: 0.0032 (0.32%); Need to take command: Count 1; Weight: 0.0106 (1.06%); Psychological: 0.0043 (0.43%); Cognitive: 0.0032 (0.32%); Healthcare/System: 0.0032 (0.32%); Self-efficacy: Count 1; Weight: 0.0106 (1.06%); Psychological: 0.0043 </w:t>
            </w:r>
            <w:r w:rsidRPr="00732EED">
              <w:rPr>
                <w:sz w:val="18"/>
                <w:szCs w:val="18"/>
              </w:rPr>
              <w:lastRenderedPageBreak/>
              <w:t>(0.43%); Cognitive: 0.0032 (0.32%); Healthcare/System: 0.0032 (0.32%); Internal locus of control: Count 1; Weight: 0.0106 (1.06%); Psychological: 0.0043 (0.43%); Cognitive: 0.0032 (0.32%); Cultural: 0.0032 (0.32%); Independence versus accepting support: Count 1; Weight: 0.0106 (1.06%); Psychological: 0.0043 (0.43%); Social: 0.0032 (0.32%); Physical: 0.0032 (0.32%); Disrupted agency: Count 2; Weight: 0.0213 (2.13%); Psychological: 0.0085 (0.85%); Cognitive: 0.0064 (0.64%); Social: 0.0064 (0.64%).</w:t>
            </w:r>
          </w:p>
          <w:p w14:paraId="49F28B1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Total: Count 8; Weight: 0.0851 (8.51%).</w:t>
            </w:r>
          </w:p>
        </w:tc>
      </w:tr>
      <w:tr w:rsidR="00E9589B" w:rsidRPr="00732EED" w14:paraId="16B91E33"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97" w:type="pct"/>
          </w:tcPr>
          <w:p w14:paraId="3FD1FC7F" w14:textId="77777777" w:rsidR="00E9589B" w:rsidRPr="00732EED" w:rsidRDefault="00E9589B" w:rsidP="00DC5B3C">
            <w:pPr>
              <w:rPr>
                <w:b w:val="0"/>
                <w:bCs w:val="0"/>
                <w:sz w:val="18"/>
                <w:szCs w:val="18"/>
              </w:rPr>
            </w:pPr>
            <w:r w:rsidRPr="00732EED">
              <w:rPr>
                <w:b w:val="0"/>
                <w:bCs w:val="0"/>
                <w:sz w:val="18"/>
                <w:szCs w:val="18"/>
              </w:rPr>
              <w:lastRenderedPageBreak/>
              <w:t>Diagnosis and legitimacy</w:t>
            </w:r>
          </w:p>
        </w:tc>
        <w:tc>
          <w:tcPr>
            <w:tcW w:w="497" w:type="pct"/>
          </w:tcPr>
          <w:p w14:paraId="75D0686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Diagnosis and legitimacy: Raw count: 5/94; Weight: 0.0532 (5.32%).</w:t>
            </w:r>
          </w:p>
        </w:tc>
        <w:tc>
          <w:tcPr>
            <w:tcW w:w="1019" w:type="pct"/>
          </w:tcPr>
          <w:p w14:paraId="57432B1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Quest for diagnosis; diagnosis as validation; making sense of bodily experiences; legitimation of sickness personally/socially; skepticism about treatment/diagnosis</w:t>
            </w:r>
          </w:p>
        </w:tc>
        <w:tc>
          <w:tcPr>
            <w:tcW w:w="1034" w:type="pct"/>
          </w:tcPr>
          <w:p w14:paraId="46D7DC41" w14:textId="77777777" w:rsidR="00E9589B" w:rsidRPr="00732EED" w:rsidRDefault="00E958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Quest for diagnosis: Count 1; Weight: 1/94 = 0.0106 (1.06%)</w:t>
            </w:r>
          </w:p>
          <w:p w14:paraId="6229827A" w14:textId="77777777" w:rsidR="00E9589B" w:rsidRPr="00732EED" w:rsidRDefault="00E958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Diagnosis as validation: Count 1; Weight: 1/94 = 0.0106 (1.06%)</w:t>
            </w:r>
          </w:p>
          <w:p w14:paraId="6D7F6C7E" w14:textId="77777777" w:rsidR="00E9589B" w:rsidRPr="00732EED" w:rsidRDefault="00E958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Making sense of bodily experiences: Count 1; Weight: 1/94 = 0.0106 (1.06%)</w:t>
            </w:r>
          </w:p>
          <w:p w14:paraId="4C72065F" w14:textId="77777777" w:rsidR="00E9589B" w:rsidRPr="00732EED" w:rsidRDefault="00E958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Legitimation of sickness personally/socially: Count 1; Weight: 1/94 = 0.0106 (1.06%)</w:t>
            </w:r>
          </w:p>
          <w:p w14:paraId="4D6B5A3B" w14:textId="77777777" w:rsidR="00E9589B" w:rsidRPr="00732EED" w:rsidRDefault="00E958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Skepticism about treatment/diagnosis: </w:t>
            </w:r>
            <w:r w:rsidRPr="00732EED">
              <w:rPr>
                <w:sz w:val="18"/>
                <w:szCs w:val="18"/>
              </w:rPr>
              <w:lastRenderedPageBreak/>
              <w:t>Count 1; Weight: 1/94 = 0.0106 (1.06%)</w:t>
            </w:r>
          </w:p>
          <w:p w14:paraId="2A715C9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423" w:type="pct"/>
          </w:tcPr>
          <w:p w14:paraId="59FA719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5, 37, 45, 81</w:t>
            </w:r>
          </w:p>
        </w:tc>
        <w:tc>
          <w:tcPr>
            <w:tcW w:w="803" w:type="pct"/>
          </w:tcPr>
          <w:p w14:paraId="77E55C9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Quest for diagnosis: Healthcare/System, Cognitive, Psychological; Diagnosis as validation: Healthcare/System, Psychological, Social; Making sense of bodily experiences: Cognitive, Psychological, Chronic Pain; Legitimation of sickness personally/socially: Social, Cultural, Psychological; Skepticism about treatment/diagnosis: </w:t>
            </w:r>
            <w:r w:rsidRPr="00732EED">
              <w:rPr>
                <w:sz w:val="18"/>
                <w:szCs w:val="18"/>
              </w:rPr>
              <w:lastRenderedPageBreak/>
              <w:t>Cognitive, Healthcare/System, Psychological.</w:t>
            </w:r>
          </w:p>
          <w:p w14:paraId="351CF9E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w:t>
            </w:r>
          </w:p>
          <w:p w14:paraId="33ACA51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p>
        </w:tc>
        <w:tc>
          <w:tcPr>
            <w:tcW w:w="729" w:type="pct"/>
          </w:tcPr>
          <w:p w14:paraId="0145E20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Quest for diagnosis: Count 1; Weight: 0.0106 (1.06%); Healthcare/System: 0.0043 (0.43%); Cognitive: 0.0032 (0.32%); Psychological: 0.0032 (0.32%); Diagnosis as validation: Count 1; Weight: 0.0106 (1.06%); Healthcare/System: 0.0043 (0.43%); Psychological: 0.0032 (0.32%); Social: </w:t>
            </w:r>
            <w:r w:rsidRPr="00732EED">
              <w:rPr>
                <w:sz w:val="18"/>
                <w:szCs w:val="18"/>
              </w:rPr>
              <w:lastRenderedPageBreak/>
              <w:t>0.0032 (0.32%); Making sense of bodily experiences: Count 1; Weight: 0.0106 (1.06%); Cognitive: 0.0043 (0.43%); Psychological: 0.0032 (0.32%); Chronic Pain: 0.0032 (0.32%); Legitimation of sickness personally/socially: Count 1; Weight: 0.0106 (1.06%); Social: 0.0043 (0.43%); Cultural: 0.0032 (0.32%); Psychological: 0.0032 (0.32%);  Skepticism about treatment/diagnosis: Count 1; Weight: 0.0106 (1.06%); Cognitive: 0.0043 (0.43%); Healthcare/System: 0.0032 (0.32%); Psychological: 0.0032 (0.32%)</w:t>
            </w:r>
          </w:p>
          <w:p w14:paraId="70FC363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Total: Count 5; Weight: 0.0532 (5.32%).</w:t>
            </w:r>
          </w:p>
        </w:tc>
      </w:tr>
      <w:tr w:rsidR="00E9589B" w:rsidRPr="00732EED" w14:paraId="7B6868E9"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pct"/>
          </w:tcPr>
          <w:p w14:paraId="56C84259" w14:textId="77777777" w:rsidR="00E9589B" w:rsidRPr="00732EED" w:rsidRDefault="00E9589B" w:rsidP="00DC5B3C">
            <w:pPr>
              <w:rPr>
                <w:b w:val="0"/>
                <w:bCs w:val="0"/>
                <w:sz w:val="18"/>
                <w:szCs w:val="18"/>
              </w:rPr>
            </w:pPr>
            <w:r w:rsidRPr="00732EED">
              <w:rPr>
                <w:b w:val="0"/>
                <w:bCs w:val="0"/>
                <w:sz w:val="18"/>
                <w:szCs w:val="18"/>
              </w:rPr>
              <w:lastRenderedPageBreak/>
              <w:t>Environmental and structural context</w:t>
            </w:r>
          </w:p>
        </w:tc>
        <w:tc>
          <w:tcPr>
            <w:tcW w:w="497" w:type="pct"/>
          </w:tcPr>
          <w:p w14:paraId="5BA6368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Environmental and structural context: Raw count: 8/94; Weight: 0.0851 (8.51%).</w:t>
            </w:r>
          </w:p>
        </w:tc>
        <w:tc>
          <w:tcPr>
            <w:tcW w:w="1019" w:type="pct"/>
          </w:tcPr>
          <w:p w14:paraId="1286F65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 barriers; transport/access issues; healthcare infrastructure shortages; location-related disadvantage; home/environment adaptations; community-level barriers</w:t>
            </w:r>
          </w:p>
        </w:tc>
        <w:tc>
          <w:tcPr>
            <w:tcW w:w="1034" w:type="pct"/>
          </w:tcPr>
          <w:p w14:paraId="5EA46561" w14:textId="77777777" w:rsidR="00E9589B" w:rsidRPr="00732EED" w:rsidRDefault="00E9589B">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 barriers: Count 1; Weight: 1/94 = 0.0106 (1.06%)</w:t>
            </w:r>
          </w:p>
          <w:p w14:paraId="63D21FEA" w14:textId="77777777" w:rsidR="00E9589B" w:rsidRPr="00732EED" w:rsidRDefault="00E9589B">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Transport/access issues: Count 1; Weight: 1/94 = 0.0106 (1.06%)</w:t>
            </w:r>
          </w:p>
          <w:p w14:paraId="0F1F4082" w14:textId="77777777" w:rsidR="00E9589B" w:rsidRPr="00732EED" w:rsidRDefault="00E9589B">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 infrastructure shortages: Count 1; Weight: 1/94 = 0.0106 (1.06%)</w:t>
            </w:r>
          </w:p>
          <w:p w14:paraId="3CFA6F4D" w14:textId="77777777" w:rsidR="00E9589B" w:rsidRPr="00732EED" w:rsidRDefault="00E9589B">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Location-related disadvantage: Count 1; Weight: 1/94 = 0.0106 (1.06%)</w:t>
            </w:r>
          </w:p>
          <w:p w14:paraId="6E8CC006" w14:textId="77777777" w:rsidR="00E9589B" w:rsidRPr="00732EED" w:rsidRDefault="00E9589B">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Home/environment adaptations: Count 2; </w:t>
            </w:r>
            <w:r w:rsidRPr="00732EED">
              <w:rPr>
                <w:sz w:val="18"/>
                <w:szCs w:val="18"/>
              </w:rPr>
              <w:lastRenderedPageBreak/>
              <w:t>Weight: 2/94 = 0.0213 (2.13%)</w:t>
            </w:r>
          </w:p>
          <w:p w14:paraId="28AFAB54" w14:textId="77777777" w:rsidR="00E9589B" w:rsidRPr="00732EED" w:rsidRDefault="00E9589B">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Community-level barriers: Count 2; Weight: 2/94 = 0.0213 (2.13%)</w:t>
            </w:r>
          </w:p>
          <w:p w14:paraId="764C86C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423" w:type="pct"/>
          </w:tcPr>
          <w:p w14:paraId="70DCB67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6, 49, 52, 67, 68, 71, 87, 88</w:t>
            </w:r>
          </w:p>
        </w:tc>
        <w:tc>
          <w:tcPr>
            <w:tcW w:w="803" w:type="pct"/>
          </w:tcPr>
          <w:p w14:paraId="5E5122C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 barriers: Environmental, Healthcare/System, Social;</w:t>
            </w:r>
          </w:p>
          <w:p w14:paraId="69B0695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Transport/access issues: Environmental, Healthcare/System, Economic/Structural;</w:t>
            </w:r>
          </w:p>
          <w:p w14:paraId="2FC5ECC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 infrastructure shortages: Healthcare/System, Environmental, Ecological/Structural;</w:t>
            </w:r>
          </w:p>
          <w:p w14:paraId="571A1EC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Location-related disadvantage: </w:t>
            </w:r>
            <w:r w:rsidRPr="00732EED">
              <w:rPr>
                <w:sz w:val="18"/>
                <w:szCs w:val="18"/>
              </w:rPr>
              <w:lastRenderedPageBreak/>
              <w:t>Environmental, Social, Economic/Structural;</w:t>
            </w:r>
          </w:p>
          <w:p w14:paraId="201CB6B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Home/environment adaptations: Environmental, Physical, Social;</w:t>
            </w:r>
          </w:p>
          <w:p w14:paraId="089ADB0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Community-level barriers: Social, Environmental, Healthcare/System.</w:t>
            </w:r>
          </w:p>
          <w:p w14:paraId="37D0A29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c>
          <w:tcPr>
            <w:tcW w:w="729" w:type="pct"/>
          </w:tcPr>
          <w:p w14:paraId="59FB0E1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Rural barriers: Count 1; Weight: 0.0106 (1.06%); Environmental: 0.0043 (0.43%); Healthcare/System: 0.0032 (0.32%); Social: 0.0032 (0.32%); Transport/access issues: Count 1; Weight: 0.0106 (1.06%); Environmental: 0.0043 (0.43%); Healthcare/System: </w:t>
            </w:r>
            <w:r w:rsidRPr="00732EED">
              <w:rPr>
                <w:sz w:val="18"/>
                <w:szCs w:val="18"/>
              </w:rPr>
              <w:lastRenderedPageBreak/>
              <w:t>0.0032 (0.32%); Economic/Structural: 0.0032 (0.32%); Healthcare infrastructure shortages: Count 1; Weight: 0.0106 (1.06%); Healthcare/System: 0.0043 (0.43%); Environmental: 0.0032 (0.32%); Ecological/Structural: 0.0032 (0.32%); Location-related disadvantage: Count 1; Weight: 0.0106 (1.06%); Environmental: 0.0043 (0.43%); Social: 0.0032 (0.32%); Economic/Structural: 0.0032 (0.32%); Home/environment adaptations: Count 2; Weight: 0.0213 (2.13%); Environmental: 0.0085 (0.85%); Physical: 0.0064 (0.64%); Social: 0.0064 (0.64%); Community-level barriers: Count 2; Weight: 0.0213 (2.13%); Social: 0.0085 (0.85%); Environmental: 0.0064 (0.64%); Healthcare/System: 0.0064 (0.64%).</w:t>
            </w:r>
          </w:p>
          <w:p w14:paraId="0F57826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Total: Count 8; Weight: 0.0851 (8.51%).</w:t>
            </w:r>
          </w:p>
          <w:p w14:paraId="2B31CC2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p w14:paraId="307108B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p>
        </w:tc>
      </w:tr>
    </w:tbl>
    <w:p w14:paraId="6F8DAC53" w14:textId="77777777" w:rsidR="00E9589B" w:rsidRPr="00732EED" w:rsidRDefault="00E9589B" w:rsidP="00E9589B">
      <w:pPr>
        <w:snapToGrid w:val="0"/>
        <w:contextualSpacing/>
        <w:rPr>
          <w:sz w:val="18"/>
          <w:szCs w:val="18"/>
        </w:rPr>
      </w:pPr>
      <w:r w:rsidRPr="00732EED">
        <w:rPr>
          <w:sz w:val="18"/>
          <w:szCs w:val="18"/>
        </w:rPr>
        <w:lastRenderedPageBreak/>
        <w:t>*a. Counts refer to study</w:t>
      </w:r>
      <w:r w:rsidRPr="00732EED">
        <w:rPr>
          <w:sz w:val="18"/>
          <w:szCs w:val="18"/>
        </w:rPr>
        <w:noBreakHyphen/>
        <w:t xml:space="preserve">level code occurrences across the 94 included studies; Subtheme/Domain counts are the number of studies in which the subtheme was assigned (as primary, secondary, or tertiary). </w:t>
      </w:r>
    </w:p>
    <w:p w14:paraId="2918EBC2" w14:textId="77777777" w:rsidR="00E9589B" w:rsidRPr="00732EED" w:rsidRDefault="00E9589B" w:rsidP="00E9589B">
      <w:pPr>
        <w:snapToGrid w:val="0"/>
        <w:contextualSpacing/>
        <w:rPr>
          <w:sz w:val="18"/>
          <w:szCs w:val="18"/>
        </w:rPr>
      </w:pPr>
      <w:proofErr w:type="gramStart"/>
      <w:r w:rsidRPr="00732EED">
        <w:rPr>
          <w:sz w:val="18"/>
          <w:szCs w:val="18"/>
        </w:rPr>
        <w:lastRenderedPageBreak/>
        <w:t>Weights :</w:t>
      </w:r>
      <w:proofErr w:type="gramEnd"/>
      <w:r w:rsidRPr="00732EED">
        <w:rPr>
          <w:sz w:val="18"/>
          <w:szCs w:val="18"/>
        </w:rPr>
        <w:t xml:space="preserve"> count ÷ 94 (decimal) with percentage in parentheses; N : 94 for all weight calculations. Domain totals may exceed 94 (or 100%) because studies could receive multiple domain</w:t>
      </w:r>
      <w:r w:rsidRPr="00732EED">
        <w:rPr>
          <w:sz w:val="18"/>
          <w:szCs w:val="18"/>
        </w:rPr>
        <w:noBreakHyphen/>
        <w:t>level codes per the hermeneutic coding procedure. Representative study IDs show illustrative examples where the code was applied; they are not exclusive and studies may appear under multiple codes. Heuristic Domains list the primary interpretive domain for each subtheme and plausible secondary domains where relevant. Alternative Weighing allocates each subtheme’s weight across heuristic domains proportionally using the aggregate domain counts from the principal codebook (see Methods/Supplementary Methods for the allocation algorithm). Inter</w:t>
      </w:r>
      <w:r w:rsidRPr="00732EED">
        <w:rPr>
          <w:sz w:val="18"/>
          <w:szCs w:val="18"/>
        </w:rPr>
        <w:noBreakHyphen/>
        <w:t>rater reliability: two reviewers independently coded studies; Cohen’s kappa (pre</w:t>
      </w:r>
      <w:r w:rsidRPr="00732EED">
        <w:rPr>
          <w:sz w:val="18"/>
          <w:szCs w:val="18"/>
        </w:rPr>
        <w:noBreakHyphen/>
        <w:t>consensus) and consensus procedures are reported in Methods/Supplementary Methods. Use caution interpreting small counts/weights (especially single</w:t>
      </w:r>
      <w:r w:rsidRPr="00732EED">
        <w:rPr>
          <w:sz w:val="18"/>
          <w:szCs w:val="18"/>
        </w:rPr>
        <w:noBreakHyphen/>
        <w:t>study items); these indicate low prevalence in the dataset but may still have substantive significance.</w:t>
      </w:r>
    </w:p>
    <w:p w14:paraId="4564A37B" w14:textId="77777777" w:rsidR="001F2CA8" w:rsidRPr="00732EED" w:rsidRDefault="001F2CA8" w:rsidP="00E9589B">
      <w:pPr>
        <w:snapToGrid w:val="0"/>
        <w:contextualSpacing/>
        <w:rPr>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1C46DDE6" w14:textId="6F2A50A4" w:rsidR="004D095B" w:rsidRPr="00732EED" w:rsidRDefault="004D095B" w:rsidP="00E9589B">
      <w:pPr>
        <w:snapToGrid w:val="0"/>
        <w:contextualSpacing/>
        <w:rPr>
          <w:sz w:val="18"/>
          <w:szCs w:val="18"/>
        </w:rPr>
      </w:pPr>
    </w:p>
    <w:p w14:paraId="498FC69A" w14:textId="000DB93C" w:rsidR="004D095B" w:rsidRPr="00732EED" w:rsidRDefault="004D095B" w:rsidP="004D095B">
      <w:pPr>
        <w:rPr>
          <w:b/>
          <w:bCs/>
          <w:sz w:val="18"/>
          <w:szCs w:val="18"/>
        </w:rPr>
      </w:pPr>
      <w:r w:rsidRPr="00732EED">
        <w:rPr>
          <w:b/>
          <w:bCs/>
          <w:sz w:val="18"/>
          <w:szCs w:val="18"/>
        </w:rPr>
        <w:t>Supplementary Table S</w:t>
      </w:r>
      <w:r w:rsidR="000F2A82" w:rsidRPr="00732EED">
        <w:rPr>
          <w:b/>
          <w:bCs/>
          <w:sz w:val="18"/>
          <w:szCs w:val="18"/>
        </w:rPr>
        <w:t>10</w:t>
      </w:r>
      <w:r w:rsidRPr="00732EED">
        <w:rPr>
          <w:b/>
          <w:bCs/>
          <w:sz w:val="18"/>
          <w:szCs w:val="18"/>
        </w:rPr>
        <w:t>. Codebook development: mapping study findings to domains, subthemes, and heuristics</w:t>
      </w:r>
      <w:r w:rsidR="000F2A82" w:rsidRPr="00732EED">
        <w:rPr>
          <w:b/>
          <w:bCs/>
          <w:sz w:val="18"/>
          <w:szCs w:val="18"/>
        </w:rPr>
        <w:t>*</w:t>
      </w:r>
    </w:p>
    <w:tbl>
      <w:tblPr>
        <w:tblStyle w:val="PlainTable1"/>
        <w:tblW w:w="4635" w:type="pct"/>
        <w:tblLook w:val="04A0" w:firstRow="1" w:lastRow="0" w:firstColumn="1" w:lastColumn="0" w:noHBand="0" w:noVBand="1"/>
      </w:tblPr>
      <w:tblGrid>
        <w:gridCol w:w="667"/>
        <w:gridCol w:w="4347"/>
        <w:gridCol w:w="2878"/>
        <w:gridCol w:w="1981"/>
        <w:gridCol w:w="2699"/>
      </w:tblGrid>
      <w:tr w:rsidR="00F34D15" w:rsidRPr="00732EED" w14:paraId="12822D0C" w14:textId="77777777" w:rsidTr="00F34D15">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BC2D14C" w14:textId="77777777" w:rsidR="00F34D15" w:rsidRPr="00732EED" w:rsidRDefault="00F34D15" w:rsidP="00F34D15">
            <w:pPr>
              <w:spacing w:after="160"/>
              <w:rPr>
                <w:sz w:val="18"/>
                <w:szCs w:val="18"/>
              </w:rPr>
            </w:pPr>
            <w:r w:rsidRPr="00732EED">
              <w:rPr>
                <w:sz w:val="18"/>
                <w:szCs w:val="18"/>
              </w:rPr>
              <w:t>Study</w:t>
            </w:r>
          </w:p>
        </w:tc>
        <w:tc>
          <w:tcPr>
            <w:tcW w:w="0" w:type="auto"/>
            <w:hideMark/>
          </w:tcPr>
          <w:p w14:paraId="6BE411CB" w14:textId="77777777" w:rsidR="00F34D15" w:rsidRPr="00732EED" w:rsidRDefault="00F34D15" w:rsidP="00F34D15">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Hermeneutic finding</w:t>
            </w:r>
          </w:p>
          <w:p w14:paraId="278B9A00" w14:textId="77777777" w:rsidR="00F34D15" w:rsidRPr="00732EED" w:rsidRDefault="00F34D15" w:rsidP="00F34D15">
            <w:pPr>
              <w:spacing w:after="160"/>
              <w:cnfStyle w:val="100000000000" w:firstRow="1" w:lastRow="0" w:firstColumn="0" w:lastColumn="0" w:oddVBand="0" w:evenVBand="0" w:oddHBand="0" w:evenHBand="0" w:firstRowFirstColumn="0" w:firstRowLastColumn="0" w:lastRowFirstColumn="0" w:lastRowLastColumn="0"/>
              <w:rPr>
                <w:sz w:val="18"/>
                <w:szCs w:val="18"/>
              </w:rPr>
            </w:pPr>
          </w:p>
        </w:tc>
        <w:tc>
          <w:tcPr>
            <w:tcW w:w="0" w:type="auto"/>
          </w:tcPr>
          <w:p w14:paraId="3DE3123E" w14:textId="7568576F" w:rsidR="00F34D15" w:rsidRPr="00732EED" w:rsidRDefault="00F34D15" w:rsidP="00F34D15">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Code development </w:t>
            </w:r>
          </w:p>
        </w:tc>
        <w:tc>
          <w:tcPr>
            <w:tcW w:w="0" w:type="auto"/>
            <w:hideMark/>
          </w:tcPr>
          <w:p w14:paraId="319FB237" w14:textId="6387BF79" w:rsidR="00F34D15" w:rsidRPr="00732EED" w:rsidRDefault="00F34D15" w:rsidP="00F34D15">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Principal heuristic domain</w:t>
            </w:r>
          </w:p>
          <w:p w14:paraId="5684B501" w14:textId="77777777" w:rsidR="00F34D15" w:rsidRPr="00732EED" w:rsidRDefault="00F34D15" w:rsidP="00F34D15">
            <w:pPr>
              <w:spacing w:after="160"/>
              <w:cnfStyle w:val="100000000000" w:firstRow="1" w:lastRow="0" w:firstColumn="0" w:lastColumn="0" w:oddVBand="0" w:evenVBand="0" w:oddHBand="0" w:evenHBand="0" w:firstRowFirstColumn="0" w:firstRowLastColumn="0" w:lastRowFirstColumn="0" w:lastRowLastColumn="0"/>
              <w:rPr>
                <w:sz w:val="18"/>
                <w:szCs w:val="18"/>
              </w:rPr>
            </w:pPr>
          </w:p>
        </w:tc>
        <w:tc>
          <w:tcPr>
            <w:tcW w:w="0" w:type="auto"/>
            <w:hideMark/>
          </w:tcPr>
          <w:p w14:paraId="3C20DD14" w14:textId="02CF2BB5" w:rsidR="00F34D15" w:rsidRPr="00732EED" w:rsidRDefault="00F34D15" w:rsidP="00F34D15">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Heuristic Subtheme/ subdomain</w:t>
            </w:r>
          </w:p>
          <w:p w14:paraId="53CE0974" w14:textId="77777777" w:rsidR="00F34D15" w:rsidRPr="00732EED" w:rsidRDefault="00F34D15" w:rsidP="00F34D15">
            <w:pPr>
              <w:spacing w:after="160"/>
              <w:cnfStyle w:val="100000000000" w:firstRow="1" w:lastRow="0" w:firstColumn="0" w:lastColumn="0" w:oddVBand="0" w:evenVBand="0" w:oddHBand="0" w:evenHBand="0" w:firstRowFirstColumn="0" w:firstRowLastColumn="0" w:lastRowFirstColumn="0" w:lastRowLastColumn="0"/>
              <w:rPr>
                <w:sz w:val="18"/>
                <w:szCs w:val="18"/>
              </w:rPr>
            </w:pPr>
          </w:p>
        </w:tc>
      </w:tr>
      <w:tr w:rsidR="00F34D15" w:rsidRPr="00732EED" w14:paraId="129985E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706EB6B" w14:textId="77777777" w:rsidR="00F34D15" w:rsidRPr="00732EED" w:rsidRDefault="00F34D15" w:rsidP="00F34D15">
            <w:pPr>
              <w:spacing w:after="160"/>
              <w:rPr>
                <w:sz w:val="18"/>
                <w:szCs w:val="18"/>
              </w:rPr>
            </w:pPr>
            <w:r w:rsidRPr="00732EED">
              <w:rPr>
                <w:sz w:val="18"/>
                <w:szCs w:val="18"/>
              </w:rPr>
              <w:t>1</w:t>
            </w:r>
          </w:p>
        </w:tc>
        <w:tc>
          <w:tcPr>
            <w:tcW w:w="0" w:type="auto"/>
            <w:hideMark/>
          </w:tcPr>
          <w:p w14:paraId="4F823B57"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Activity, rest, social withdrawal; fluctuating symptoms</w:t>
            </w:r>
          </w:p>
        </w:tc>
        <w:tc>
          <w:tcPr>
            <w:tcW w:w="0" w:type="auto"/>
          </w:tcPr>
          <w:p w14:paraId="3EEF22B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Activity-rest balancing</w:t>
            </w:r>
          </w:p>
          <w:p w14:paraId="66FC8157"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p>
        </w:tc>
        <w:tc>
          <w:tcPr>
            <w:tcW w:w="0" w:type="auto"/>
            <w:hideMark/>
          </w:tcPr>
          <w:p w14:paraId="522B5FC8" w14:textId="6F856FEA"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65065A1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Activity &amp; pacing</w:t>
            </w:r>
          </w:p>
          <w:p w14:paraId="3FBA12E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p>
        </w:tc>
      </w:tr>
      <w:tr w:rsidR="00F34D15" w:rsidRPr="00732EED" w14:paraId="33081E4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6B250E0" w14:textId="77777777" w:rsidR="00F34D15" w:rsidRPr="00732EED" w:rsidRDefault="00F34D15" w:rsidP="00F34D15">
            <w:pPr>
              <w:spacing w:after="160"/>
              <w:rPr>
                <w:sz w:val="18"/>
                <w:szCs w:val="18"/>
              </w:rPr>
            </w:pPr>
            <w:r w:rsidRPr="00732EED">
              <w:rPr>
                <w:sz w:val="18"/>
                <w:szCs w:val="18"/>
              </w:rPr>
              <w:t>1</w:t>
            </w:r>
          </w:p>
        </w:tc>
        <w:tc>
          <w:tcPr>
            <w:tcW w:w="0" w:type="auto"/>
            <w:hideMark/>
          </w:tcPr>
          <w:p w14:paraId="21D55B12"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withdrawal</w:t>
            </w:r>
          </w:p>
        </w:tc>
        <w:tc>
          <w:tcPr>
            <w:tcW w:w="0" w:type="auto"/>
          </w:tcPr>
          <w:p w14:paraId="5544DE17" w14:textId="77132416"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withdrawal</w:t>
            </w:r>
          </w:p>
        </w:tc>
        <w:tc>
          <w:tcPr>
            <w:tcW w:w="0" w:type="auto"/>
            <w:hideMark/>
          </w:tcPr>
          <w:p w14:paraId="11139623" w14:textId="7EEE1E36"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377372F7"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Isolation</w:t>
            </w:r>
          </w:p>
        </w:tc>
      </w:tr>
      <w:tr w:rsidR="00F34D15" w:rsidRPr="00732EED" w14:paraId="5AB8CDA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97F4C0F" w14:textId="77777777" w:rsidR="00F34D15" w:rsidRPr="00732EED" w:rsidRDefault="00F34D15" w:rsidP="00F34D15">
            <w:pPr>
              <w:spacing w:after="160"/>
              <w:rPr>
                <w:sz w:val="18"/>
                <w:szCs w:val="18"/>
              </w:rPr>
            </w:pPr>
            <w:r w:rsidRPr="00732EED">
              <w:rPr>
                <w:sz w:val="18"/>
                <w:szCs w:val="18"/>
              </w:rPr>
              <w:t>1</w:t>
            </w:r>
          </w:p>
        </w:tc>
        <w:tc>
          <w:tcPr>
            <w:tcW w:w="0" w:type="auto"/>
            <w:hideMark/>
          </w:tcPr>
          <w:p w14:paraId="0395BE5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Variable symptoms</w:t>
            </w:r>
          </w:p>
        </w:tc>
        <w:tc>
          <w:tcPr>
            <w:tcW w:w="0" w:type="auto"/>
          </w:tcPr>
          <w:p w14:paraId="47E43DF9" w14:textId="345C51E2"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Symptom fluctuation</w:t>
            </w:r>
          </w:p>
        </w:tc>
        <w:tc>
          <w:tcPr>
            <w:tcW w:w="0" w:type="auto"/>
            <w:hideMark/>
          </w:tcPr>
          <w:p w14:paraId="22B479E9" w14:textId="673C16FD"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00B592C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Fluctuation/unpredictability</w:t>
            </w:r>
          </w:p>
          <w:p w14:paraId="50CB7E94"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p>
        </w:tc>
      </w:tr>
      <w:tr w:rsidR="00F34D15" w:rsidRPr="00732EED" w14:paraId="075A0E26"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EB67B5F" w14:textId="77777777" w:rsidR="00F34D15" w:rsidRPr="00732EED" w:rsidRDefault="00F34D15" w:rsidP="00F34D15">
            <w:pPr>
              <w:spacing w:after="160"/>
              <w:rPr>
                <w:sz w:val="18"/>
                <w:szCs w:val="18"/>
              </w:rPr>
            </w:pPr>
            <w:r w:rsidRPr="00732EED">
              <w:rPr>
                <w:sz w:val="18"/>
                <w:szCs w:val="18"/>
              </w:rPr>
              <w:t>2</w:t>
            </w:r>
          </w:p>
        </w:tc>
        <w:tc>
          <w:tcPr>
            <w:tcW w:w="0" w:type="auto"/>
            <w:hideMark/>
          </w:tcPr>
          <w:p w14:paraId="39A7E772"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Painful body and eager mind</w:t>
            </w:r>
          </w:p>
        </w:tc>
        <w:tc>
          <w:tcPr>
            <w:tcW w:w="0" w:type="auto"/>
          </w:tcPr>
          <w:p w14:paraId="673D0016" w14:textId="54BE2889"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Body-mind conflict in activity</w:t>
            </w:r>
          </w:p>
        </w:tc>
        <w:tc>
          <w:tcPr>
            <w:tcW w:w="0" w:type="auto"/>
            <w:hideMark/>
          </w:tcPr>
          <w:p w14:paraId="7966C4AC" w14:textId="5A289239"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7693E68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Activity &amp; pacing</w:t>
            </w:r>
          </w:p>
          <w:p w14:paraId="22FFC68D"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p>
        </w:tc>
      </w:tr>
      <w:tr w:rsidR="00F34D15" w:rsidRPr="00732EED" w14:paraId="4DEA251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4DD846C" w14:textId="77777777" w:rsidR="00F34D15" w:rsidRPr="00732EED" w:rsidRDefault="00F34D15" w:rsidP="00F34D15">
            <w:pPr>
              <w:spacing w:after="160"/>
              <w:rPr>
                <w:sz w:val="18"/>
                <w:szCs w:val="18"/>
              </w:rPr>
            </w:pPr>
            <w:r w:rsidRPr="00732EED">
              <w:rPr>
                <w:sz w:val="18"/>
                <w:szCs w:val="18"/>
              </w:rPr>
              <w:t>2</w:t>
            </w:r>
          </w:p>
        </w:tc>
        <w:tc>
          <w:tcPr>
            <w:tcW w:w="0" w:type="auto"/>
            <w:hideMark/>
          </w:tcPr>
          <w:p w14:paraId="612DFB0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Transformation of self-image</w:t>
            </w:r>
          </w:p>
        </w:tc>
        <w:tc>
          <w:tcPr>
            <w:tcW w:w="0" w:type="auto"/>
          </w:tcPr>
          <w:p w14:paraId="70B48849" w14:textId="1E25FD04"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Altered self-image</w:t>
            </w:r>
          </w:p>
        </w:tc>
        <w:tc>
          <w:tcPr>
            <w:tcW w:w="0" w:type="auto"/>
            <w:hideMark/>
          </w:tcPr>
          <w:p w14:paraId="3C04F711" w14:textId="4B5257CC"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25871CB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Self-esteem &amp; identity threat</w:t>
            </w:r>
          </w:p>
          <w:p w14:paraId="4B668F7F"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p>
        </w:tc>
      </w:tr>
      <w:tr w:rsidR="00F34D15" w:rsidRPr="00732EED" w14:paraId="4157D021"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A9EEAEF" w14:textId="77777777" w:rsidR="00F34D15" w:rsidRPr="00732EED" w:rsidRDefault="00F34D15" w:rsidP="00F34D15">
            <w:pPr>
              <w:spacing w:after="160"/>
              <w:rPr>
                <w:sz w:val="18"/>
                <w:szCs w:val="18"/>
              </w:rPr>
            </w:pPr>
            <w:r w:rsidRPr="00732EED">
              <w:rPr>
                <w:sz w:val="18"/>
                <w:szCs w:val="18"/>
              </w:rPr>
              <w:t>2</w:t>
            </w:r>
          </w:p>
        </w:tc>
        <w:tc>
          <w:tcPr>
            <w:tcW w:w="0" w:type="auto"/>
            <w:hideMark/>
          </w:tcPr>
          <w:p w14:paraId="2DA7900B"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Affirmation through social engagement and enjoyment</w:t>
            </w:r>
          </w:p>
        </w:tc>
        <w:tc>
          <w:tcPr>
            <w:tcW w:w="0" w:type="auto"/>
          </w:tcPr>
          <w:p w14:paraId="3C73DC0B" w14:textId="326855D9"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affirmation</w:t>
            </w:r>
          </w:p>
        </w:tc>
        <w:tc>
          <w:tcPr>
            <w:tcW w:w="0" w:type="auto"/>
            <w:hideMark/>
          </w:tcPr>
          <w:p w14:paraId="104DB8D6" w14:textId="4324C52A"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10B89E1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system</w:t>
            </w:r>
          </w:p>
          <w:p w14:paraId="1596BD77"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p>
        </w:tc>
      </w:tr>
      <w:tr w:rsidR="00F34D15" w:rsidRPr="00732EED" w14:paraId="2D401AE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0D849D8" w14:textId="77777777" w:rsidR="00F34D15" w:rsidRPr="00732EED" w:rsidRDefault="00F34D15" w:rsidP="00F34D15">
            <w:pPr>
              <w:spacing w:after="160"/>
              <w:rPr>
                <w:sz w:val="18"/>
                <w:szCs w:val="18"/>
              </w:rPr>
            </w:pPr>
            <w:r w:rsidRPr="00732EED">
              <w:rPr>
                <w:sz w:val="18"/>
                <w:szCs w:val="18"/>
              </w:rPr>
              <w:t>2</w:t>
            </w:r>
          </w:p>
        </w:tc>
        <w:tc>
          <w:tcPr>
            <w:tcW w:w="0" w:type="auto"/>
            <w:hideMark/>
          </w:tcPr>
          <w:p w14:paraId="6495C4B9"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Occupational perspective / role adjustment</w:t>
            </w:r>
          </w:p>
        </w:tc>
        <w:tc>
          <w:tcPr>
            <w:tcW w:w="0" w:type="auto"/>
          </w:tcPr>
          <w:p w14:paraId="3ABD21C5" w14:textId="67B2460A"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Disrupted roles</w:t>
            </w:r>
          </w:p>
        </w:tc>
        <w:tc>
          <w:tcPr>
            <w:tcW w:w="0" w:type="auto"/>
            <w:hideMark/>
          </w:tcPr>
          <w:p w14:paraId="60A8E491" w14:textId="20E6CDDA"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4A55761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Expectations &amp; roles</w:t>
            </w:r>
          </w:p>
          <w:p w14:paraId="4B9FAA37"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p>
        </w:tc>
      </w:tr>
      <w:tr w:rsidR="00F34D15" w:rsidRPr="00732EED" w14:paraId="0D8E631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F540441" w14:textId="77777777" w:rsidR="00F34D15" w:rsidRPr="00732EED" w:rsidRDefault="00F34D15" w:rsidP="00F34D15">
            <w:pPr>
              <w:spacing w:after="160"/>
              <w:rPr>
                <w:sz w:val="18"/>
                <w:szCs w:val="18"/>
              </w:rPr>
            </w:pPr>
            <w:r w:rsidRPr="00732EED">
              <w:rPr>
                <w:sz w:val="18"/>
                <w:szCs w:val="18"/>
              </w:rPr>
              <w:t>3</w:t>
            </w:r>
          </w:p>
        </w:tc>
        <w:tc>
          <w:tcPr>
            <w:tcW w:w="0" w:type="auto"/>
            <w:hideMark/>
          </w:tcPr>
          <w:p w14:paraId="2533F547"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Desperation before treatment</w:t>
            </w:r>
          </w:p>
        </w:tc>
        <w:tc>
          <w:tcPr>
            <w:tcW w:w="0" w:type="auto"/>
          </w:tcPr>
          <w:p w14:paraId="1F4F17CC" w14:textId="3D35D02A"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Desperation</w:t>
            </w:r>
          </w:p>
        </w:tc>
        <w:tc>
          <w:tcPr>
            <w:tcW w:w="0" w:type="auto"/>
            <w:hideMark/>
          </w:tcPr>
          <w:p w14:paraId="55555918" w14:textId="65846360"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4647BF5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Depression &amp; hopelessness</w:t>
            </w:r>
          </w:p>
          <w:p w14:paraId="498358D9"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p>
        </w:tc>
      </w:tr>
      <w:tr w:rsidR="00F34D15" w:rsidRPr="00732EED" w14:paraId="38E13B1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A7C38DB" w14:textId="77777777" w:rsidR="00F34D15" w:rsidRPr="00732EED" w:rsidRDefault="00F34D15" w:rsidP="00F34D15">
            <w:pPr>
              <w:spacing w:after="160"/>
              <w:rPr>
                <w:sz w:val="18"/>
                <w:szCs w:val="18"/>
              </w:rPr>
            </w:pPr>
            <w:r w:rsidRPr="00732EED">
              <w:rPr>
                <w:sz w:val="18"/>
                <w:szCs w:val="18"/>
              </w:rPr>
              <w:t>3</w:t>
            </w:r>
          </w:p>
        </w:tc>
        <w:tc>
          <w:tcPr>
            <w:tcW w:w="0" w:type="auto"/>
            <w:hideMark/>
          </w:tcPr>
          <w:p w14:paraId="7A9DF8AE"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Inability to function</w:t>
            </w:r>
          </w:p>
        </w:tc>
        <w:tc>
          <w:tcPr>
            <w:tcW w:w="0" w:type="auto"/>
          </w:tcPr>
          <w:p w14:paraId="092D40A8" w14:textId="547FAFA0"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Functional incapacity</w:t>
            </w:r>
          </w:p>
        </w:tc>
        <w:tc>
          <w:tcPr>
            <w:tcW w:w="0" w:type="auto"/>
            <w:hideMark/>
          </w:tcPr>
          <w:p w14:paraId="195A2439" w14:textId="53110AB2"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322C5FA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Limitations &amp; Disability</w:t>
            </w:r>
          </w:p>
        </w:tc>
      </w:tr>
      <w:tr w:rsidR="00F34D15" w:rsidRPr="00732EED" w14:paraId="0E56B23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3A4F318" w14:textId="77777777" w:rsidR="00F34D15" w:rsidRPr="00732EED" w:rsidRDefault="00F34D15" w:rsidP="00F34D15">
            <w:pPr>
              <w:spacing w:after="160"/>
              <w:rPr>
                <w:sz w:val="18"/>
                <w:szCs w:val="18"/>
              </w:rPr>
            </w:pPr>
            <w:r w:rsidRPr="00732EED">
              <w:rPr>
                <w:sz w:val="18"/>
                <w:szCs w:val="18"/>
              </w:rPr>
              <w:t>3</w:t>
            </w:r>
          </w:p>
        </w:tc>
        <w:tc>
          <w:tcPr>
            <w:tcW w:w="0" w:type="auto"/>
            <w:hideMark/>
          </w:tcPr>
          <w:p w14:paraId="5A0E9E5C"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Living a secret life</w:t>
            </w:r>
          </w:p>
        </w:tc>
        <w:tc>
          <w:tcPr>
            <w:tcW w:w="0" w:type="auto"/>
          </w:tcPr>
          <w:p w14:paraId="765F7093" w14:textId="41817B32"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Secrecy about treatment/pain</w:t>
            </w:r>
          </w:p>
        </w:tc>
        <w:tc>
          <w:tcPr>
            <w:tcW w:w="0" w:type="auto"/>
            <w:hideMark/>
          </w:tcPr>
          <w:p w14:paraId="7DDE0390" w14:textId="1BA0D1D4"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493BAAD7"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Avoidance &amp; Silence</w:t>
            </w:r>
          </w:p>
        </w:tc>
      </w:tr>
      <w:tr w:rsidR="00F34D15" w:rsidRPr="00732EED" w14:paraId="2D08481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F00B723" w14:textId="77777777" w:rsidR="00F34D15" w:rsidRPr="00732EED" w:rsidRDefault="00F34D15" w:rsidP="00F34D15">
            <w:pPr>
              <w:spacing w:after="160"/>
              <w:rPr>
                <w:sz w:val="18"/>
                <w:szCs w:val="18"/>
              </w:rPr>
            </w:pPr>
            <w:r w:rsidRPr="00732EED">
              <w:rPr>
                <w:sz w:val="18"/>
                <w:szCs w:val="18"/>
              </w:rPr>
              <w:t>3</w:t>
            </w:r>
          </w:p>
        </w:tc>
        <w:tc>
          <w:tcPr>
            <w:tcW w:w="0" w:type="auto"/>
            <w:hideMark/>
          </w:tcPr>
          <w:p w14:paraId="497E7F8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Fear of losing pain regimen</w:t>
            </w:r>
          </w:p>
        </w:tc>
        <w:tc>
          <w:tcPr>
            <w:tcW w:w="0" w:type="auto"/>
          </w:tcPr>
          <w:p w14:paraId="1D700A8C" w14:textId="1F60007D"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Fear of loss of treatment</w:t>
            </w:r>
          </w:p>
        </w:tc>
        <w:tc>
          <w:tcPr>
            <w:tcW w:w="0" w:type="auto"/>
            <w:hideMark/>
          </w:tcPr>
          <w:p w14:paraId="14F002CA" w14:textId="6F775B22"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56A7CC8F"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Anxiety &amp; Fear</w:t>
            </w:r>
          </w:p>
        </w:tc>
      </w:tr>
      <w:tr w:rsidR="00F34D15" w:rsidRPr="00732EED" w14:paraId="635FC57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C30F72" w14:textId="77777777" w:rsidR="00F34D15" w:rsidRPr="00732EED" w:rsidRDefault="00F34D15" w:rsidP="00F34D15">
            <w:pPr>
              <w:spacing w:after="160"/>
              <w:rPr>
                <w:sz w:val="18"/>
                <w:szCs w:val="18"/>
              </w:rPr>
            </w:pPr>
            <w:r w:rsidRPr="00732EED">
              <w:rPr>
                <w:sz w:val="18"/>
                <w:szCs w:val="18"/>
              </w:rPr>
              <w:t>3</w:t>
            </w:r>
          </w:p>
        </w:tc>
        <w:tc>
          <w:tcPr>
            <w:tcW w:w="0" w:type="auto"/>
            <w:hideMark/>
          </w:tcPr>
          <w:p w14:paraId="233467E0"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Stigmatization</w:t>
            </w:r>
          </w:p>
        </w:tc>
        <w:tc>
          <w:tcPr>
            <w:tcW w:w="0" w:type="auto"/>
          </w:tcPr>
          <w:p w14:paraId="438EC1DE" w14:textId="40FF6E49"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of opioid use</w:t>
            </w:r>
          </w:p>
        </w:tc>
        <w:tc>
          <w:tcPr>
            <w:tcW w:w="0" w:type="auto"/>
            <w:hideMark/>
          </w:tcPr>
          <w:p w14:paraId="2C81BF96" w14:textId="23E035BD"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089FB4B6"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&amp; Malingering</w:t>
            </w:r>
          </w:p>
        </w:tc>
      </w:tr>
      <w:tr w:rsidR="00F34D15" w:rsidRPr="00732EED" w14:paraId="676B844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C264150" w14:textId="77777777" w:rsidR="00F34D15" w:rsidRPr="00732EED" w:rsidRDefault="00F34D15" w:rsidP="00F34D15">
            <w:pPr>
              <w:spacing w:after="160"/>
              <w:rPr>
                <w:sz w:val="18"/>
                <w:szCs w:val="18"/>
              </w:rPr>
            </w:pPr>
            <w:r w:rsidRPr="00732EED">
              <w:rPr>
                <w:sz w:val="18"/>
                <w:szCs w:val="18"/>
              </w:rPr>
              <w:t>3</w:t>
            </w:r>
          </w:p>
        </w:tc>
        <w:tc>
          <w:tcPr>
            <w:tcW w:w="0" w:type="auto"/>
            <w:hideMark/>
          </w:tcPr>
          <w:p w14:paraId="12A47BE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Improvement in function/self-care</w:t>
            </w:r>
          </w:p>
        </w:tc>
        <w:tc>
          <w:tcPr>
            <w:tcW w:w="0" w:type="auto"/>
          </w:tcPr>
          <w:p w14:paraId="4134C41A" w14:textId="2236CD2C"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Improved function with treatment</w:t>
            </w:r>
          </w:p>
        </w:tc>
        <w:tc>
          <w:tcPr>
            <w:tcW w:w="0" w:type="auto"/>
            <w:hideMark/>
          </w:tcPr>
          <w:p w14:paraId="4B32C8E7" w14:textId="4E35ADCF"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76521A49"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Mobility &amp; Function</w:t>
            </w:r>
          </w:p>
        </w:tc>
      </w:tr>
      <w:tr w:rsidR="00F34D15" w:rsidRPr="00732EED" w14:paraId="3388864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2BD6B76" w14:textId="77777777" w:rsidR="00F34D15" w:rsidRPr="00732EED" w:rsidRDefault="00F34D15" w:rsidP="00F34D15">
            <w:pPr>
              <w:spacing w:after="160"/>
              <w:rPr>
                <w:sz w:val="18"/>
                <w:szCs w:val="18"/>
              </w:rPr>
            </w:pPr>
            <w:r w:rsidRPr="00732EED">
              <w:rPr>
                <w:sz w:val="18"/>
                <w:szCs w:val="18"/>
              </w:rPr>
              <w:t>4</w:t>
            </w:r>
          </w:p>
        </w:tc>
        <w:tc>
          <w:tcPr>
            <w:tcW w:w="0" w:type="auto"/>
            <w:hideMark/>
          </w:tcPr>
          <w:p w14:paraId="57D04A09"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Dismissive attitudes from healthcare providers</w:t>
            </w:r>
          </w:p>
        </w:tc>
        <w:tc>
          <w:tcPr>
            <w:tcW w:w="0" w:type="auto"/>
          </w:tcPr>
          <w:p w14:paraId="4DA3A078" w14:textId="2B69E4FB"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Clinician dismissal</w:t>
            </w:r>
          </w:p>
        </w:tc>
        <w:tc>
          <w:tcPr>
            <w:tcW w:w="0" w:type="auto"/>
            <w:hideMark/>
          </w:tcPr>
          <w:p w14:paraId="6CB50FA3" w14:textId="174CBC73"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7925CE48"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4CBD61B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794AE62" w14:textId="77777777" w:rsidR="00F34D15" w:rsidRPr="00732EED" w:rsidRDefault="00F34D15" w:rsidP="00F34D15">
            <w:pPr>
              <w:spacing w:after="160"/>
              <w:rPr>
                <w:sz w:val="18"/>
                <w:szCs w:val="18"/>
              </w:rPr>
            </w:pPr>
            <w:r w:rsidRPr="00732EED">
              <w:rPr>
                <w:sz w:val="18"/>
                <w:szCs w:val="18"/>
              </w:rPr>
              <w:t>4</w:t>
            </w:r>
          </w:p>
        </w:tc>
        <w:tc>
          <w:tcPr>
            <w:tcW w:w="0" w:type="auto"/>
            <w:hideMark/>
          </w:tcPr>
          <w:p w14:paraId="3DF2B5DA"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Feeling discredited/questioned</w:t>
            </w:r>
          </w:p>
        </w:tc>
        <w:tc>
          <w:tcPr>
            <w:tcW w:w="0" w:type="auto"/>
          </w:tcPr>
          <w:p w14:paraId="2D649F88" w14:textId="18823C6A"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Disbelief by clinicians</w:t>
            </w:r>
          </w:p>
        </w:tc>
        <w:tc>
          <w:tcPr>
            <w:tcW w:w="0" w:type="auto"/>
            <w:hideMark/>
          </w:tcPr>
          <w:p w14:paraId="23373447" w14:textId="1BDB0588"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17DD5798"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0957926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85AB899" w14:textId="77777777" w:rsidR="00F34D15" w:rsidRPr="00732EED" w:rsidRDefault="00F34D15" w:rsidP="00F34D15">
            <w:pPr>
              <w:spacing w:after="160"/>
              <w:rPr>
                <w:sz w:val="18"/>
                <w:szCs w:val="18"/>
              </w:rPr>
            </w:pPr>
            <w:r w:rsidRPr="00732EED">
              <w:rPr>
                <w:sz w:val="18"/>
                <w:szCs w:val="18"/>
              </w:rPr>
              <w:t>5</w:t>
            </w:r>
          </w:p>
        </w:tc>
        <w:tc>
          <w:tcPr>
            <w:tcW w:w="0" w:type="auto"/>
            <w:hideMark/>
          </w:tcPr>
          <w:p w14:paraId="6B687682"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Quest to find diagnosis</w:t>
            </w:r>
          </w:p>
        </w:tc>
        <w:tc>
          <w:tcPr>
            <w:tcW w:w="0" w:type="auto"/>
          </w:tcPr>
          <w:p w14:paraId="6E74C06D" w14:textId="57547012"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Diagnostic quest</w:t>
            </w:r>
          </w:p>
        </w:tc>
        <w:tc>
          <w:tcPr>
            <w:tcW w:w="0" w:type="auto"/>
            <w:hideMark/>
          </w:tcPr>
          <w:p w14:paraId="21974A85" w14:textId="2BDE6042"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44129C5E"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7DC8ACF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F982912" w14:textId="77777777" w:rsidR="00F34D15" w:rsidRPr="00732EED" w:rsidRDefault="00F34D15" w:rsidP="00F34D15">
            <w:pPr>
              <w:spacing w:after="160"/>
              <w:rPr>
                <w:sz w:val="18"/>
                <w:szCs w:val="18"/>
              </w:rPr>
            </w:pPr>
            <w:r w:rsidRPr="00732EED">
              <w:rPr>
                <w:sz w:val="18"/>
                <w:szCs w:val="18"/>
              </w:rPr>
              <w:t>5</w:t>
            </w:r>
          </w:p>
        </w:tc>
        <w:tc>
          <w:tcPr>
            <w:tcW w:w="0" w:type="auto"/>
            <w:hideMark/>
          </w:tcPr>
          <w:p w14:paraId="0B6C8576"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Quest for treatment</w:t>
            </w:r>
          </w:p>
        </w:tc>
        <w:tc>
          <w:tcPr>
            <w:tcW w:w="0" w:type="auto"/>
          </w:tcPr>
          <w:p w14:paraId="7761134F" w14:textId="5D5C39E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Treatment seeking</w:t>
            </w:r>
          </w:p>
        </w:tc>
        <w:tc>
          <w:tcPr>
            <w:tcW w:w="0" w:type="auto"/>
            <w:hideMark/>
          </w:tcPr>
          <w:p w14:paraId="5D48C553" w14:textId="0E6C89D4"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4BC6E99A"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5892B01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6A10A1A" w14:textId="77777777" w:rsidR="00F34D15" w:rsidRPr="00732EED" w:rsidRDefault="00F34D15" w:rsidP="00F34D15">
            <w:pPr>
              <w:spacing w:after="160"/>
              <w:rPr>
                <w:sz w:val="18"/>
                <w:szCs w:val="18"/>
              </w:rPr>
            </w:pPr>
            <w:r w:rsidRPr="00732EED">
              <w:rPr>
                <w:sz w:val="18"/>
                <w:szCs w:val="18"/>
              </w:rPr>
              <w:lastRenderedPageBreak/>
              <w:t>5</w:t>
            </w:r>
          </w:p>
        </w:tc>
        <w:tc>
          <w:tcPr>
            <w:tcW w:w="0" w:type="auto"/>
            <w:hideMark/>
          </w:tcPr>
          <w:p w14:paraId="3B0D5718"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Learn to live with pain</w:t>
            </w:r>
          </w:p>
        </w:tc>
        <w:tc>
          <w:tcPr>
            <w:tcW w:w="0" w:type="auto"/>
          </w:tcPr>
          <w:p w14:paraId="332D1BA3" w14:textId="36264B2E"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Learning to live with pain</w:t>
            </w:r>
          </w:p>
        </w:tc>
        <w:tc>
          <w:tcPr>
            <w:tcW w:w="0" w:type="auto"/>
            <w:hideMark/>
          </w:tcPr>
          <w:p w14:paraId="09D310C9" w14:textId="40FACADB"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01379310"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2CA730A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E7B21C7" w14:textId="77777777" w:rsidR="00F34D15" w:rsidRPr="00732EED" w:rsidRDefault="00F34D15" w:rsidP="00F34D15">
            <w:pPr>
              <w:spacing w:after="160"/>
              <w:rPr>
                <w:sz w:val="18"/>
                <w:szCs w:val="18"/>
              </w:rPr>
            </w:pPr>
            <w:r w:rsidRPr="00732EED">
              <w:rPr>
                <w:sz w:val="18"/>
                <w:szCs w:val="18"/>
              </w:rPr>
              <w:t>5</w:t>
            </w:r>
          </w:p>
        </w:tc>
        <w:tc>
          <w:tcPr>
            <w:tcW w:w="0" w:type="auto"/>
            <w:hideMark/>
          </w:tcPr>
          <w:p w14:paraId="24CB8F95"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Quest for support and connection</w:t>
            </w:r>
          </w:p>
        </w:tc>
        <w:tc>
          <w:tcPr>
            <w:tcW w:w="0" w:type="auto"/>
          </w:tcPr>
          <w:p w14:paraId="210F822A" w14:textId="761EEBA4"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for support/connection</w:t>
            </w:r>
          </w:p>
        </w:tc>
        <w:tc>
          <w:tcPr>
            <w:tcW w:w="0" w:type="auto"/>
            <w:hideMark/>
          </w:tcPr>
          <w:p w14:paraId="30501B20" w14:textId="26533A61"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0C2D65DB"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488160B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5016263" w14:textId="77777777" w:rsidR="00F34D15" w:rsidRPr="00732EED" w:rsidRDefault="00F34D15" w:rsidP="00F34D15">
            <w:pPr>
              <w:spacing w:after="160"/>
              <w:rPr>
                <w:sz w:val="18"/>
                <w:szCs w:val="18"/>
              </w:rPr>
            </w:pPr>
            <w:r w:rsidRPr="00732EED">
              <w:rPr>
                <w:sz w:val="18"/>
                <w:szCs w:val="18"/>
              </w:rPr>
              <w:t>5</w:t>
            </w:r>
          </w:p>
        </w:tc>
        <w:tc>
          <w:tcPr>
            <w:tcW w:w="0" w:type="auto"/>
            <w:hideMark/>
          </w:tcPr>
          <w:p w14:paraId="412837E5"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Quest for normalcy</w:t>
            </w:r>
          </w:p>
        </w:tc>
        <w:tc>
          <w:tcPr>
            <w:tcW w:w="0" w:type="auto"/>
          </w:tcPr>
          <w:p w14:paraId="2BD89437" w14:textId="1B42DACE"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Restoring normal roles</w:t>
            </w:r>
          </w:p>
        </w:tc>
        <w:tc>
          <w:tcPr>
            <w:tcW w:w="0" w:type="auto"/>
            <w:hideMark/>
          </w:tcPr>
          <w:p w14:paraId="3EF5346B" w14:textId="53835613"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5FE8B9BF"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Expectations &amp; Roles</w:t>
            </w:r>
          </w:p>
        </w:tc>
      </w:tr>
      <w:tr w:rsidR="00F34D15" w:rsidRPr="00732EED" w14:paraId="4F9801D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6671A14" w14:textId="77777777" w:rsidR="00F34D15" w:rsidRPr="00732EED" w:rsidRDefault="00F34D15" w:rsidP="00F34D15">
            <w:pPr>
              <w:spacing w:after="160"/>
              <w:rPr>
                <w:sz w:val="18"/>
                <w:szCs w:val="18"/>
              </w:rPr>
            </w:pPr>
            <w:r w:rsidRPr="00732EED">
              <w:rPr>
                <w:sz w:val="18"/>
                <w:szCs w:val="18"/>
              </w:rPr>
              <w:t>5</w:t>
            </w:r>
          </w:p>
        </w:tc>
        <w:tc>
          <w:tcPr>
            <w:tcW w:w="0" w:type="auto"/>
            <w:hideMark/>
          </w:tcPr>
          <w:p w14:paraId="5C603872"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Quest for dignity</w:t>
            </w:r>
          </w:p>
        </w:tc>
        <w:tc>
          <w:tcPr>
            <w:tcW w:w="0" w:type="auto"/>
          </w:tcPr>
          <w:p w14:paraId="514ADC10" w14:textId="6ED0DDC9"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Dignity seeking</w:t>
            </w:r>
          </w:p>
        </w:tc>
        <w:tc>
          <w:tcPr>
            <w:tcW w:w="0" w:type="auto"/>
            <w:hideMark/>
          </w:tcPr>
          <w:p w14:paraId="72625CAE" w14:textId="79581E80"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428A754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6B833E62"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58C3D4D" w14:textId="77777777" w:rsidR="00F34D15" w:rsidRPr="00732EED" w:rsidRDefault="00F34D15" w:rsidP="00F34D15">
            <w:pPr>
              <w:spacing w:after="160"/>
              <w:rPr>
                <w:sz w:val="18"/>
                <w:szCs w:val="18"/>
              </w:rPr>
            </w:pPr>
            <w:r w:rsidRPr="00732EED">
              <w:rPr>
                <w:sz w:val="18"/>
                <w:szCs w:val="18"/>
              </w:rPr>
              <w:t>5</w:t>
            </w:r>
          </w:p>
        </w:tc>
        <w:tc>
          <w:tcPr>
            <w:tcW w:w="0" w:type="auto"/>
            <w:hideMark/>
          </w:tcPr>
          <w:p w14:paraId="4018676C"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Avoidance of isolation/loneliness</w:t>
            </w:r>
          </w:p>
        </w:tc>
        <w:tc>
          <w:tcPr>
            <w:tcW w:w="0" w:type="auto"/>
          </w:tcPr>
          <w:p w14:paraId="727E11D5" w14:textId="5DD956C3"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Loneliness avoidance</w:t>
            </w:r>
          </w:p>
        </w:tc>
        <w:tc>
          <w:tcPr>
            <w:tcW w:w="0" w:type="auto"/>
            <w:hideMark/>
          </w:tcPr>
          <w:p w14:paraId="034479C6" w14:textId="7089AB96"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750044BE"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Isolation</w:t>
            </w:r>
          </w:p>
        </w:tc>
      </w:tr>
      <w:tr w:rsidR="00F34D15" w:rsidRPr="00732EED" w14:paraId="7DEC1C3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4FD1F8D" w14:textId="77777777" w:rsidR="00F34D15" w:rsidRPr="00732EED" w:rsidRDefault="00F34D15" w:rsidP="00F34D15">
            <w:pPr>
              <w:spacing w:after="160"/>
              <w:rPr>
                <w:sz w:val="18"/>
                <w:szCs w:val="18"/>
              </w:rPr>
            </w:pPr>
            <w:r w:rsidRPr="00732EED">
              <w:rPr>
                <w:sz w:val="18"/>
                <w:szCs w:val="18"/>
              </w:rPr>
              <w:t>5</w:t>
            </w:r>
          </w:p>
        </w:tc>
        <w:tc>
          <w:tcPr>
            <w:tcW w:w="0" w:type="auto"/>
            <w:hideMark/>
          </w:tcPr>
          <w:p w14:paraId="1DB03812"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for family support</w:t>
            </w:r>
          </w:p>
        </w:tc>
        <w:tc>
          <w:tcPr>
            <w:tcW w:w="0" w:type="auto"/>
          </w:tcPr>
          <w:p w14:paraId="4AED68BD" w14:textId="75E262A9"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support need</w:t>
            </w:r>
          </w:p>
        </w:tc>
        <w:tc>
          <w:tcPr>
            <w:tcW w:w="0" w:type="auto"/>
            <w:hideMark/>
          </w:tcPr>
          <w:p w14:paraId="0C63C7D5" w14:textId="4E5AC08C"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6AF6002E"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Dynamics</w:t>
            </w:r>
          </w:p>
        </w:tc>
      </w:tr>
      <w:tr w:rsidR="00F34D15" w:rsidRPr="00732EED" w14:paraId="2D51392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6044160" w14:textId="77777777" w:rsidR="00F34D15" w:rsidRPr="00732EED" w:rsidRDefault="00F34D15" w:rsidP="00F34D15">
            <w:pPr>
              <w:spacing w:after="160"/>
              <w:rPr>
                <w:sz w:val="18"/>
                <w:szCs w:val="18"/>
              </w:rPr>
            </w:pPr>
            <w:r w:rsidRPr="00732EED">
              <w:rPr>
                <w:sz w:val="18"/>
                <w:szCs w:val="18"/>
              </w:rPr>
              <w:t>5</w:t>
            </w:r>
          </w:p>
        </w:tc>
        <w:tc>
          <w:tcPr>
            <w:tcW w:w="0" w:type="auto"/>
            <w:hideMark/>
          </w:tcPr>
          <w:p w14:paraId="4C4CEB66"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Need for financial support</w:t>
            </w:r>
          </w:p>
        </w:tc>
        <w:tc>
          <w:tcPr>
            <w:tcW w:w="0" w:type="auto"/>
          </w:tcPr>
          <w:p w14:paraId="48E8375E" w14:textId="08EFD5D9"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Financial vulnerability</w:t>
            </w:r>
          </w:p>
        </w:tc>
        <w:tc>
          <w:tcPr>
            <w:tcW w:w="0" w:type="auto"/>
            <w:hideMark/>
          </w:tcPr>
          <w:p w14:paraId="3DEF74A2" w14:textId="42155B40"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265A36C1"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 Inequities</w:t>
            </w:r>
          </w:p>
        </w:tc>
      </w:tr>
      <w:tr w:rsidR="00F34D15" w:rsidRPr="00732EED" w14:paraId="0A7C062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00B956B" w14:textId="77777777" w:rsidR="00F34D15" w:rsidRPr="00732EED" w:rsidRDefault="00F34D15" w:rsidP="00F34D15">
            <w:pPr>
              <w:spacing w:after="160"/>
              <w:rPr>
                <w:sz w:val="18"/>
                <w:szCs w:val="18"/>
              </w:rPr>
            </w:pPr>
            <w:r w:rsidRPr="00732EED">
              <w:rPr>
                <w:sz w:val="18"/>
                <w:szCs w:val="18"/>
              </w:rPr>
              <w:t>6</w:t>
            </w:r>
          </w:p>
        </w:tc>
        <w:tc>
          <w:tcPr>
            <w:tcW w:w="0" w:type="auto"/>
            <w:hideMark/>
          </w:tcPr>
          <w:p w14:paraId="776FFF70"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silence</w:t>
            </w:r>
          </w:p>
        </w:tc>
        <w:tc>
          <w:tcPr>
            <w:tcW w:w="0" w:type="auto"/>
          </w:tcPr>
          <w:p w14:paraId="2D6C062D" w14:textId="73EBA166"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silence</w:t>
            </w:r>
          </w:p>
        </w:tc>
        <w:tc>
          <w:tcPr>
            <w:tcW w:w="0" w:type="auto"/>
            <w:hideMark/>
          </w:tcPr>
          <w:p w14:paraId="1EA7562A" w14:textId="51E2902F"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14A14115"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Avoidance &amp; Silence</w:t>
            </w:r>
          </w:p>
        </w:tc>
      </w:tr>
      <w:tr w:rsidR="00F34D15" w:rsidRPr="00732EED" w14:paraId="5918A71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3047708" w14:textId="77777777" w:rsidR="00F34D15" w:rsidRPr="00732EED" w:rsidRDefault="00F34D15" w:rsidP="00F34D15">
            <w:pPr>
              <w:spacing w:after="160"/>
              <w:rPr>
                <w:sz w:val="18"/>
                <w:szCs w:val="18"/>
              </w:rPr>
            </w:pPr>
            <w:r w:rsidRPr="00732EED">
              <w:rPr>
                <w:sz w:val="18"/>
                <w:szCs w:val="18"/>
              </w:rPr>
              <w:t>6</w:t>
            </w:r>
          </w:p>
        </w:tc>
        <w:tc>
          <w:tcPr>
            <w:tcW w:w="0" w:type="auto"/>
            <w:hideMark/>
          </w:tcPr>
          <w:p w14:paraId="6D575395"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Privacy as protection</w:t>
            </w:r>
          </w:p>
        </w:tc>
        <w:tc>
          <w:tcPr>
            <w:tcW w:w="0" w:type="auto"/>
          </w:tcPr>
          <w:p w14:paraId="3B632F3E" w14:textId="319BAF68"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Protective privacy</w:t>
            </w:r>
          </w:p>
        </w:tc>
        <w:tc>
          <w:tcPr>
            <w:tcW w:w="0" w:type="auto"/>
            <w:hideMark/>
          </w:tcPr>
          <w:p w14:paraId="4A2E67A0" w14:textId="64F340FD"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714A3F90"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Avoidance &amp; Silence</w:t>
            </w:r>
          </w:p>
        </w:tc>
      </w:tr>
      <w:tr w:rsidR="00F34D15" w:rsidRPr="00732EED" w14:paraId="58CC749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1CEAFCA" w14:textId="77777777" w:rsidR="00F34D15" w:rsidRPr="00732EED" w:rsidRDefault="00F34D15" w:rsidP="00F34D15">
            <w:pPr>
              <w:spacing w:after="160"/>
              <w:rPr>
                <w:sz w:val="18"/>
                <w:szCs w:val="18"/>
              </w:rPr>
            </w:pPr>
            <w:r w:rsidRPr="00732EED">
              <w:rPr>
                <w:sz w:val="18"/>
                <w:szCs w:val="18"/>
              </w:rPr>
              <w:t>6</w:t>
            </w:r>
          </w:p>
        </w:tc>
        <w:tc>
          <w:tcPr>
            <w:tcW w:w="0" w:type="auto"/>
            <w:hideMark/>
          </w:tcPr>
          <w:p w14:paraId="113AA616"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No avenue to receive support</w:t>
            </w:r>
          </w:p>
        </w:tc>
        <w:tc>
          <w:tcPr>
            <w:tcW w:w="0" w:type="auto"/>
          </w:tcPr>
          <w:p w14:paraId="272A9B4B" w14:textId="3CA4EB3E"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Absent support</w:t>
            </w:r>
          </w:p>
        </w:tc>
        <w:tc>
          <w:tcPr>
            <w:tcW w:w="0" w:type="auto"/>
            <w:hideMark/>
          </w:tcPr>
          <w:p w14:paraId="12025B55" w14:textId="20509CD6"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7F768E56"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5047F2C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6A238AD" w14:textId="77777777" w:rsidR="00F34D15" w:rsidRPr="00732EED" w:rsidRDefault="00F34D15" w:rsidP="00F34D15">
            <w:pPr>
              <w:spacing w:after="160"/>
              <w:rPr>
                <w:sz w:val="18"/>
                <w:szCs w:val="18"/>
              </w:rPr>
            </w:pPr>
            <w:r w:rsidRPr="00732EED">
              <w:rPr>
                <w:sz w:val="18"/>
                <w:szCs w:val="18"/>
              </w:rPr>
              <w:t>6</w:t>
            </w:r>
          </w:p>
        </w:tc>
        <w:tc>
          <w:tcPr>
            <w:tcW w:w="0" w:type="auto"/>
            <w:hideMark/>
          </w:tcPr>
          <w:p w14:paraId="08651194"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 professionals do not understand</w:t>
            </w:r>
          </w:p>
        </w:tc>
        <w:tc>
          <w:tcPr>
            <w:tcW w:w="0" w:type="auto"/>
          </w:tcPr>
          <w:p w14:paraId="603CCA3D" w14:textId="1DE187C9"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Lack of professional understanding</w:t>
            </w:r>
          </w:p>
        </w:tc>
        <w:tc>
          <w:tcPr>
            <w:tcW w:w="0" w:type="auto"/>
            <w:hideMark/>
          </w:tcPr>
          <w:p w14:paraId="28600E3E" w14:textId="683AE9ED"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080F3233"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0D42791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33AE150" w14:textId="77777777" w:rsidR="00F34D15" w:rsidRPr="00732EED" w:rsidRDefault="00F34D15" w:rsidP="00F34D15">
            <w:pPr>
              <w:spacing w:after="160"/>
              <w:rPr>
                <w:sz w:val="18"/>
                <w:szCs w:val="18"/>
              </w:rPr>
            </w:pPr>
            <w:r w:rsidRPr="00732EED">
              <w:rPr>
                <w:sz w:val="18"/>
                <w:szCs w:val="18"/>
              </w:rPr>
              <w:t>6</w:t>
            </w:r>
          </w:p>
        </w:tc>
        <w:tc>
          <w:tcPr>
            <w:tcW w:w="0" w:type="auto"/>
            <w:hideMark/>
          </w:tcPr>
          <w:p w14:paraId="34E2AC67"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 patient experience</w:t>
            </w:r>
          </w:p>
        </w:tc>
        <w:tc>
          <w:tcPr>
            <w:tcW w:w="0" w:type="auto"/>
          </w:tcPr>
          <w:p w14:paraId="613DDC42" w14:textId="7022F0D3"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 context barrier</w:t>
            </w:r>
          </w:p>
        </w:tc>
        <w:tc>
          <w:tcPr>
            <w:tcW w:w="0" w:type="auto"/>
            <w:hideMark/>
          </w:tcPr>
          <w:p w14:paraId="76FCCC72" w14:textId="55B0F908"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Environmental</w:t>
            </w:r>
          </w:p>
        </w:tc>
        <w:tc>
          <w:tcPr>
            <w:tcW w:w="0" w:type="auto"/>
            <w:hideMark/>
          </w:tcPr>
          <w:p w14:paraId="5B3C3A3B"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&amp; Geography</w:t>
            </w:r>
          </w:p>
        </w:tc>
      </w:tr>
      <w:tr w:rsidR="00F34D15" w:rsidRPr="00732EED" w14:paraId="02919D22"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A2C7EC9" w14:textId="77777777" w:rsidR="00F34D15" w:rsidRPr="00732EED" w:rsidRDefault="00F34D15" w:rsidP="00F34D15">
            <w:pPr>
              <w:spacing w:after="160"/>
              <w:rPr>
                <w:sz w:val="18"/>
                <w:szCs w:val="18"/>
              </w:rPr>
            </w:pPr>
            <w:r w:rsidRPr="00732EED">
              <w:rPr>
                <w:sz w:val="18"/>
                <w:szCs w:val="18"/>
              </w:rPr>
              <w:t>7</w:t>
            </w:r>
          </w:p>
        </w:tc>
        <w:tc>
          <w:tcPr>
            <w:tcW w:w="0" w:type="auto"/>
            <w:hideMark/>
          </w:tcPr>
          <w:p w14:paraId="2808C288"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Double-faced pain phenomenon</w:t>
            </w:r>
          </w:p>
        </w:tc>
        <w:tc>
          <w:tcPr>
            <w:tcW w:w="0" w:type="auto"/>
          </w:tcPr>
          <w:p w14:paraId="7F0F7F57" w14:textId="077DC172"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Elusive pain experience</w:t>
            </w:r>
          </w:p>
        </w:tc>
        <w:tc>
          <w:tcPr>
            <w:tcW w:w="0" w:type="auto"/>
            <w:hideMark/>
          </w:tcPr>
          <w:p w14:paraId="731BA941" w14:textId="3AD199B3"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07391841"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Variability &amp; Mystery</w:t>
            </w:r>
          </w:p>
        </w:tc>
      </w:tr>
      <w:tr w:rsidR="00F34D15" w:rsidRPr="00732EED" w14:paraId="377ED85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745D8E0" w14:textId="77777777" w:rsidR="00F34D15" w:rsidRPr="00732EED" w:rsidRDefault="00F34D15" w:rsidP="00F34D15">
            <w:pPr>
              <w:spacing w:after="160"/>
              <w:rPr>
                <w:sz w:val="18"/>
                <w:szCs w:val="18"/>
              </w:rPr>
            </w:pPr>
            <w:r w:rsidRPr="00732EED">
              <w:rPr>
                <w:sz w:val="18"/>
                <w:szCs w:val="18"/>
              </w:rPr>
              <w:t>7</w:t>
            </w:r>
          </w:p>
        </w:tc>
        <w:tc>
          <w:tcPr>
            <w:tcW w:w="0" w:type="auto"/>
            <w:hideMark/>
          </w:tcPr>
          <w:p w14:paraId="3D9DD3B5"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Delegitimization by medical/public discourse</w:t>
            </w:r>
          </w:p>
        </w:tc>
        <w:tc>
          <w:tcPr>
            <w:tcW w:w="0" w:type="auto"/>
          </w:tcPr>
          <w:p w14:paraId="4449C55D" w14:textId="7E72F060"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Delegitimized pain</w:t>
            </w:r>
          </w:p>
        </w:tc>
        <w:tc>
          <w:tcPr>
            <w:tcW w:w="0" w:type="auto"/>
            <w:hideMark/>
          </w:tcPr>
          <w:p w14:paraId="6ACF986C" w14:textId="6DABD58B"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391766FD"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r>
      <w:tr w:rsidR="00F34D15" w:rsidRPr="00732EED" w14:paraId="53DB9BF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83E4977" w14:textId="77777777" w:rsidR="00F34D15" w:rsidRPr="00732EED" w:rsidRDefault="00F34D15" w:rsidP="00F34D15">
            <w:pPr>
              <w:spacing w:after="160"/>
              <w:rPr>
                <w:sz w:val="18"/>
                <w:szCs w:val="18"/>
              </w:rPr>
            </w:pPr>
            <w:r w:rsidRPr="00732EED">
              <w:rPr>
                <w:sz w:val="18"/>
                <w:szCs w:val="18"/>
              </w:rPr>
              <w:t>7</w:t>
            </w:r>
          </w:p>
        </w:tc>
        <w:tc>
          <w:tcPr>
            <w:tcW w:w="0" w:type="auto"/>
            <w:hideMark/>
          </w:tcPr>
          <w:p w14:paraId="28951520"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Narratological distress</w:t>
            </w:r>
          </w:p>
        </w:tc>
        <w:tc>
          <w:tcPr>
            <w:tcW w:w="0" w:type="auto"/>
          </w:tcPr>
          <w:p w14:paraId="7F1506A5" w14:textId="1A7C9B66"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Distress in expressing pain</w:t>
            </w:r>
          </w:p>
        </w:tc>
        <w:tc>
          <w:tcPr>
            <w:tcW w:w="0" w:type="auto"/>
            <w:hideMark/>
          </w:tcPr>
          <w:p w14:paraId="7A583D9F" w14:textId="5D461AAB"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2640E42A"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w:t>
            </w:r>
          </w:p>
        </w:tc>
      </w:tr>
      <w:tr w:rsidR="00F34D15" w:rsidRPr="00732EED" w14:paraId="2D1C24A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AFC714F" w14:textId="77777777" w:rsidR="00F34D15" w:rsidRPr="00732EED" w:rsidRDefault="00F34D15" w:rsidP="00F34D15">
            <w:pPr>
              <w:spacing w:after="160"/>
              <w:rPr>
                <w:sz w:val="18"/>
                <w:szCs w:val="18"/>
              </w:rPr>
            </w:pPr>
            <w:r w:rsidRPr="00732EED">
              <w:rPr>
                <w:sz w:val="18"/>
                <w:szCs w:val="18"/>
              </w:rPr>
              <w:t>7</w:t>
            </w:r>
          </w:p>
        </w:tc>
        <w:tc>
          <w:tcPr>
            <w:tcW w:w="0" w:type="auto"/>
            <w:hideMark/>
          </w:tcPr>
          <w:p w14:paraId="3193BE37"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Questioning own experiences</w:t>
            </w:r>
          </w:p>
        </w:tc>
        <w:tc>
          <w:tcPr>
            <w:tcW w:w="0" w:type="auto"/>
          </w:tcPr>
          <w:p w14:paraId="56F11505" w14:textId="396249BC"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Uncertainty about pain reality</w:t>
            </w:r>
          </w:p>
        </w:tc>
        <w:tc>
          <w:tcPr>
            <w:tcW w:w="0" w:type="auto"/>
            <w:hideMark/>
          </w:tcPr>
          <w:p w14:paraId="0BF507A5" w14:textId="1518631B"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5232F93E"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Illness Representations / Models</w:t>
            </w:r>
          </w:p>
        </w:tc>
      </w:tr>
      <w:tr w:rsidR="00F34D15" w:rsidRPr="00732EED" w14:paraId="7FE4277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BB81FEC" w14:textId="77777777" w:rsidR="00F34D15" w:rsidRPr="00732EED" w:rsidRDefault="00F34D15" w:rsidP="00F34D15">
            <w:pPr>
              <w:spacing w:after="160"/>
              <w:rPr>
                <w:sz w:val="18"/>
                <w:szCs w:val="18"/>
              </w:rPr>
            </w:pPr>
            <w:r w:rsidRPr="00732EED">
              <w:rPr>
                <w:sz w:val="18"/>
                <w:szCs w:val="18"/>
              </w:rPr>
              <w:t>8</w:t>
            </w:r>
          </w:p>
        </w:tc>
        <w:tc>
          <w:tcPr>
            <w:tcW w:w="0" w:type="auto"/>
            <w:hideMark/>
          </w:tcPr>
          <w:p w14:paraId="51AD6C1D"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is what the person says it is</w:t>
            </w:r>
          </w:p>
        </w:tc>
        <w:tc>
          <w:tcPr>
            <w:tcW w:w="0" w:type="auto"/>
          </w:tcPr>
          <w:p w14:paraId="5FBF2362" w14:textId="0AB3752F"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Need to believe pain report</w:t>
            </w:r>
          </w:p>
        </w:tc>
        <w:tc>
          <w:tcPr>
            <w:tcW w:w="0" w:type="auto"/>
            <w:hideMark/>
          </w:tcPr>
          <w:p w14:paraId="0519640A" w14:textId="5CA10AB9"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3A1F7C65"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60A3278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ECBF226" w14:textId="77777777" w:rsidR="00F34D15" w:rsidRPr="00732EED" w:rsidRDefault="00F34D15" w:rsidP="00F34D15">
            <w:pPr>
              <w:spacing w:after="160"/>
              <w:rPr>
                <w:sz w:val="18"/>
                <w:szCs w:val="18"/>
              </w:rPr>
            </w:pPr>
            <w:r w:rsidRPr="00732EED">
              <w:rPr>
                <w:sz w:val="18"/>
                <w:szCs w:val="18"/>
              </w:rPr>
              <w:t>8</w:t>
            </w:r>
          </w:p>
        </w:tc>
        <w:tc>
          <w:tcPr>
            <w:tcW w:w="0" w:type="auto"/>
            <w:hideMark/>
          </w:tcPr>
          <w:p w14:paraId="211592DE"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Staff response integral to pain process</w:t>
            </w:r>
          </w:p>
        </w:tc>
        <w:tc>
          <w:tcPr>
            <w:tcW w:w="0" w:type="auto"/>
          </w:tcPr>
          <w:p w14:paraId="70F0C5A2" w14:textId="21A35548"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Staff response shapes pain</w:t>
            </w:r>
          </w:p>
        </w:tc>
        <w:tc>
          <w:tcPr>
            <w:tcW w:w="0" w:type="auto"/>
            <w:hideMark/>
          </w:tcPr>
          <w:p w14:paraId="53B01A40" w14:textId="1456D4B0"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25EBEDA8"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76298F61"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E2FCFA3" w14:textId="77777777" w:rsidR="00F34D15" w:rsidRPr="00732EED" w:rsidRDefault="00F34D15" w:rsidP="00F34D15">
            <w:pPr>
              <w:spacing w:after="160"/>
              <w:rPr>
                <w:sz w:val="18"/>
                <w:szCs w:val="18"/>
              </w:rPr>
            </w:pPr>
            <w:r w:rsidRPr="00732EED">
              <w:rPr>
                <w:sz w:val="18"/>
                <w:szCs w:val="18"/>
              </w:rPr>
              <w:t>8</w:t>
            </w:r>
          </w:p>
        </w:tc>
        <w:tc>
          <w:tcPr>
            <w:tcW w:w="0" w:type="auto"/>
            <w:hideMark/>
          </w:tcPr>
          <w:p w14:paraId="3B3D9481"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 of control</w:t>
            </w:r>
          </w:p>
        </w:tc>
        <w:tc>
          <w:tcPr>
            <w:tcW w:w="0" w:type="auto"/>
          </w:tcPr>
          <w:p w14:paraId="6A06DE2D" w14:textId="120B7065"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 of control</w:t>
            </w:r>
          </w:p>
        </w:tc>
        <w:tc>
          <w:tcPr>
            <w:tcW w:w="0" w:type="auto"/>
            <w:hideMark/>
          </w:tcPr>
          <w:p w14:paraId="4476EF1B" w14:textId="0615B50F"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21BFBB46"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Autonomy &amp; Independence</w:t>
            </w:r>
          </w:p>
        </w:tc>
      </w:tr>
      <w:tr w:rsidR="00F34D15" w:rsidRPr="00732EED" w14:paraId="127716F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36E7DF1" w14:textId="77777777" w:rsidR="00F34D15" w:rsidRPr="00732EED" w:rsidRDefault="00F34D15" w:rsidP="00F34D15">
            <w:pPr>
              <w:spacing w:after="160"/>
              <w:rPr>
                <w:sz w:val="18"/>
                <w:szCs w:val="18"/>
              </w:rPr>
            </w:pPr>
            <w:r w:rsidRPr="00732EED">
              <w:rPr>
                <w:sz w:val="18"/>
                <w:szCs w:val="18"/>
              </w:rPr>
              <w:t>8</w:t>
            </w:r>
          </w:p>
        </w:tc>
        <w:tc>
          <w:tcPr>
            <w:tcW w:w="0" w:type="auto"/>
            <w:hideMark/>
          </w:tcPr>
          <w:p w14:paraId="30E24A36"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Unbearable sensations</w:t>
            </w:r>
          </w:p>
        </w:tc>
        <w:tc>
          <w:tcPr>
            <w:tcW w:w="0" w:type="auto"/>
          </w:tcPr>
          <w:p w14:paraId="4ECA1510" w14:textId="5BE37FDF"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Unbearable sensory pain</w:t>
            </w:r>
          </w:p>
        </w:tc>
        <w:tc>
          <w:tcPr>
            <w:tcW w:w="0" w:type="auto"/>
            <w:hideMark/>
          </w:tcPr>
          <w:p w14:paraId="7445D447" w14:textId="01DFC9A2"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35ED9FC1"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Sensory Qualities &amp; Metaphors</w:t>
            </w:r>
          </w:p>
        </w:tc>
      </w:tr>
      <w:tr w:rsidR="00F34D15" w:rsidRPr="00732EED" w14:paraId="00A5235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DB9AF2A" w14:textId="77777777" w:rsidR="00F34D15" w:rsidRPr="00732EED" w:rsidRDefault="00F34D15" w:rsidP="00F34D15">
            <w:pPr>
              <w:spacing w:after="160"/>
              <w:rPr>
                <w:sz w:val="18"/>
                <w:szCs w:val="18"/>
              </w:rPr>
            </w:pPr>
            <w:r w:rsidRPr="00732EED">
              <w:rPr>
                <w:sz w:val="18"/>
                <w:szCs w:val="18"/>
              </w:rPr>
              <w:t>9</w:t>
            </w:r>
          </w:p>
        </w:tc>
        <w:tc>
          <w:tcPr>
            <w:tcW w:w="0" w:type="auto"/>
            <w:hideMark/>
          </w:tcPr>
          <w:p w14:paraId="5781D47E"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w:t>
            </w:r>
          </w:p>
        </w:tc>
        <w:tc>
          <w:tcPr>
            <w:tcW w:w="0" w:type="auto"/>
          </w:tcPr>
          <w:p w14:paraId="6E2681F7" w14:textId="41AD7C28"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w:t>
            </w:r>
          </w:p>
        </w:tc>
        <w:tc>
          <w:tcPr>
            <w:tcW w:w="0" w:type="auto"/>
            <w:hideMark/>
          </w:tcPr>
          <w:p w14:paraId="2AC1D7E4" w14:textId="1C42453E"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698411CE"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&amp; Growth</w:t>
            </w:r>
          </w:p>
        </w:tc>
      </w:tr>
      <w:tr w:rsidR="00F34D15" w:rsidRPr="00732EED" w14:paraId="3654A92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A4A7C6D" w14:textId="77777777" w:rsidR="00F34D15" w:rsidRPr="00732EED" w:rsidRDefault="00F34D15" w:rsidP="00F34D15">
            <w:pPr>
              <w:spacing w:after="160"/>
              <w:rPr>
                <w:sz w:val="18"/>
                <w:szCs w:val="18"/>
              </w:rPr>
            </w:pPr>
            <w:r w:rsidRPr="00732EED">
              <w:rPr>
                <w:sz w:val="18"/>
                <w:szCs w:val="18"/>
              </w:rPr>
              <w:t>9</w:t>
            </w:r>
          </w:p>
        </w:tc>
        <w:tc>
          <w:tcPr>
            <w:tcW w:w="0" w:type="auto"/>
            <w:hideMark/>
          </w:tcPr>
          <w:p w14:paraId="7694530A"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Positivity despite illness</w:t>
            </w:r>
          </w:p>
        </w:tc>
        <w:tc>
          <w:tcPr>
            <w:tcW w:w="0" w:type="auto"/>
          </w:tcPr>
          <w:p w14:paraId="0DD94A18" w14:textId="3780E4D2"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Positive adaptation</w:t>
            </w:r>
          </w:p>
        </w:tc>
        <w:tc>
          <w:tcPr>
            <w:tcW w:w="0" w:type="auto"/>
            <w:hideMark/>
          </w:tcPr>
          <w:p w14:paraId="33428C16" w14:textId="516E805B"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1B04FFBC"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69A360E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8EAE715" w14:textId="77777777" w:rsidR="00F34D15" w:rsidRPr="00732EED" w:rsidRDefault="00F34D15" w:rsidP="00F34D15">
            <w:pPr>
              <w:spacing w:after="160"/>
              <w:rPr>
                <w:sz w:val="18"/>
                <w:szCs w:val="18"/>
              </w:rPr>
            </w:pPr>
            <w:r w:rsidRPr="00732EED">
              <w:rPr>
                <w:sz w:val="18"/>
                <w:szCs w:val="18"/>
              </w:rPr>
              <w:lastRenderedPageBreak/>
              <w:t>9</w:t>
            </w:r>
          </w:p>
        </w:tc>
        <w:tc>
          <w:tcPr>
            <w:tcW w:w="0" w:type="auto"/>
            <w:hideMark/>
          </w:tcPr>
          <w:p w14:paraId="16AFF243"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Transcendence</w:t>
            </w:r>
          </w:p>
        </w:tc>
        <w:tc>
          <w:tcPr>
            <w:tcW w:w="0" w:type="auto"/>
          </w:tcPr>
          <w:p w14:paraId="5D2E9E34" w14:textId="66D72168"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Transcendence</w:t>
            </w:r>
          </w:p>
        </w:tc>
        <w:tc>
          <w:tcPr>
            <w:tcW w:w="0" w:type="auto"/>
            <w:hideMark/>
          </w:tcPr>
          <w:p w14:paraId="76EDC1D0" w14:textId="697852B2"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1A3141B9"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&amp; Growth</w:t>
            </w:r>
          </w:p>
        </w:tc>
      </w:tr>
      <w:tr w:rsidR="00F34D15" w:rsidRPr="00732EED" w14:paraId="5D86339E"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BC9BE42" w14:textId="77777777" w:rsidR="00F34D15" w:rsidRPr="00732EED" w:rsidRDefault="00F34D15" w:rsidP="00F34D15">
            <w:pPr>
              <w:spacing w:after="160"/>
              <w:rPr>
                <w:sz w:val="18"/>
                <w:szCs w:val="18"/>
              </w:rPr>
            </w:pPr>
            <w:r w:rsidRPr="00732EED">
              <w:rPr>
                <w:sz w:val="18"/>
                <w:szCs w:val="18"/>
              </w:rPr>
              <w:t>10</w:t>
            </w:r>
          </w:p>
        </w:tc>
        <w:tc>
          <w:tcPr>
            <w:tcW w:w="0" w:type="auto"/>
            <w:hideMark/>
          </w:tcPr>
          <w:p w14:paraId="4594CE3B"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as support and strain</w:t>
            </w:r>
          </w:p>
        </w:tc>
        <w:tc>
          <w:tcPr>
            <w:tcW w:w="0" w:type="auto"/>
          </w:tcPr>
          <w:p w14:paraId="7BFDAE89" w14:textId="662979CE"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Ambivalent family role</w:t>
            </w:r>
          </w:p>
        </w:tc>
        <w:tc>
          <w:tcPr>
            <w:tcW w:w="0" w:type="auto"/>
            <w:hideMark/>
          </w:tcPr>
          <w:p w14:paraId="78B8889E" w14:textId="2A25823C"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5A5E17C6"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Dynamics</w:t>
            </w:r>
          </w:p>
        </w:tc>
      </w:tr>
      <w:tr w:rsidR="00F34D15" w:rsidRPr="00732EED" w14:paraId="55226F7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0770D7E" w14:textId="77777777" w:rsidR="00F34D15" w:rsidRPr="00732EED" w:rsidRDefault="00F34D15" w:rsidP="00F34D15">
            <w:pPr>
              <w:spacing w:after="160"/>
              <w:rPr>
                <w:sz w:val="18"/>
                <w:szCs w:val="18"/>
              </w:rPr>
            </w:pPr>
            <w:r w:rsidRPr="00732EED">
              <w:rPr>
                <w:sz w:val="18"/>
                <w:szCs w:val="18"/>
              </w:rPr>
              <w:t>10</w:t>
            </w:r>
          </w:p>
        </w:tc>
        <w:tc>
          <w:tcPr>
            <w:tcW w:w="0" w:type="auto"/>
            <w:hideMark/>
          </w:tcPr>
          <w:p w14:paraId="724D4D1F"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Seeking recognition and legitimacy</w:t>
            </w:r>
          </w:p>
        </w:tc>
        <w:tc>
          <w:tcPr>
            <w:tcW w:w="0" w:type="auto"/>
          </w:tcPr>
          <w:p w14:paraId="674CDCEC" w14:textId="6032CAAC"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 for legitimacy</w:t>
            </w:r>
          </w:p>
        </w:tc>
        <w:tc>
          <w:tcPr>
            <w:tcW w:w="0" w:type="auto"/>
            <w:hideMark/>
          </w:tcPr>
          <w:p w14:paraId="1A94A0DE" w14:textId="7160C5F4"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52EC1460"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49DC0EA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51B0A17" w14:textId="77777777" w:rsidR="00F34D15" w:rsidRPr="00732EED" w:rsidRDefault="00F34D15" w:rsidP="00F34D15">
            <w:pPr>
              <w:spacing w:after="160"/>
              <w:rPr>
                <w:sz w:val="18"/>
                <w:szCs w:val="18"/>
              </w:rPr>
            </w:pPr>
            <w:r w:rsidRPr="00732EED">
              <w:rPr>
                <w:sz w:val="18"/>
                <w:szCs w:val="18"/>
              </w:rPr>
              <w:t>10</w:t>
            </w:r>
          </w:p>
        </w:tc>
        <w:tc>
          <w:tcPr>
            <w:tcW w:w="0" w:type="auto"/>
            <w:hideMark/>
          </w:tcPr>
          <w:p w14:paraId="195ED060"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Managing everyday function</w:t>
            </w:r>
          </w:p>
        </w:tc>
        <w:tc>
          <w:tcPr>
            <w:tcW w:w="0" w:type="auto"/>
          </w:tcPr>
          <w:p w14:paraId="240B13C1" w14:textId="17960579"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Daily adaptation practices</w:t>
            </w:r>
          </w:p>
        </w:tc>
        <w:tc>
          <w:tcPr>
            <w:tcW w:w="0" w:type="auto"/>
            <w:hideMark/>
          </w:tcPr>
          <w:p w14:paraId="656CB94E" w14:textId="448220B0"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Ecological</w:t>
            </w:r>
          </w:p>
        </w:tc>
        <w:tc>
          <w:tcPr>
            <w:tcW w:w="0" w:type="auto"/>
            <w:hideMark/>
          </w:tcPr>
          <w:p w14:paraId="170DDBA7" w14:textId="77777777" w:rsidR="00F34D15" w:rsidRPr="00732EED" w:rsidRDefault="00F34D15" w:rsidP="00F34D15">
            <w:pPr>
              <w:spacing w:after="160"/>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Ecosystem</w:t>
            </w:r>
          </w:p>
        </w:tc>
      </w:tr>
      <w:tr w:rsidR="00F34D15" w:rsidRPr="00732EED" w14:paraId="1A8812E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A2B2C88" w14:textId="77777777" w:rsidR="00F34D15" w:rsidRPr="00732EED" w:rsidRDefault="00F34D15" w:rsidP="00F34D15">
            <w:pPr>
              <w:spacing w:after="160"/>
              <w:rPr>
                <w:sz w:val="18"/>
                <w:szCs w:val="18"/>
              </w:rPr>
            </w:pPr>
            <w:r w:rsidRPr="00732EED">
              <w:rPr>
                <w:sz w:val="18"/>
                <w:szCs w:val="18"/>
              </w:rPr>
              <w:t>10</w:t>
            </w:r>
          </w:p>
        </w:tc>
        <w:tc>
          <w:tcPr>
            <w:tcW w:w="0" w:type="auto"/>
            <w:hideMark/>
          </w:tcPr>
          <w:p w14:paraId="05582DA9"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Emotional exhaustion of long-term pain</w:t>
            </w:r>
          </w:p>
        </w:tc>
        <w:tc>
          <w:tcPr>
            <w:tcW w:w="0" w:type="auto"/>
          </w:tcPr>
          <w:p w14:paraId="503E61E0" w14:textId="715CB664"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Emotional depletion</w:t>
            </w:r>
          </w:p>
        </w:tc>
        <w:tc>
          <w:tcPr>
            <w:tcW w:w="0" w:type="auto"/>
            <w:hideMark/>
          </w:tcPr>
          <w:p w14:paraId="22DC4E1D" w14:textId="063B5E03"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78AD7E55" w14:textId="77777777" w:rsidR="00F34D15" w:rsidRPr="00732EED" w:rsidRDefault="00F34D15" w:rsidP="00F34D15">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0A4A901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149EA4D" w14:textId="77777777" w:rsidR="00F34D15" w:rsidRPr="00732EED" w:rsidRDefault="00F34D15" w:rsidP="00F34D15">
            <w:pPr>
              <w:rPr>
                <w:sz w:val="18"/>
                <w:szCs w:val="18"/>
              </w:rPr>
            </w:pPr>
            <w:r w:rsidRPr="00732EED">
              <w:rPr>
                <w:sz w:val="18"/>
                <w:szCs w:val="18"/>
              </w:rPr>
              <w:t>11</w:t>
            </w:r>
          </w:p>
        </w:tc>
        <w:tc>
          <w:tcPr>
            <w:tcW w:w="0" w:type="auto"/>
            <w:hideMark/>
          </w:tcPr>
          <w:p w14:paraId="3BAE89A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is the enemy</w:t>
            </w:r>
          </w:p>
        </w:tc>
        <w:tc>
          <w:tcPr>
            <w:tcW w:w="0" w:type="auto"/>
          </w:tcPr>
          <w:p w14:paraId="4F76149B" w14:textId="0CCE067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enemy</w:t>
            </w:r>
          </w:p>
        </w:tc>
        <w:tc>
          <w:tcPr>
            <w:tcW w:w="0" w:type="auto"/>
            <w:hideMark/>
          </w:tcPr>
          <w:p w14:paraId="31E2B07E" w14:textId="3E95BC9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6099A4C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Dominance / “Pain is the master”</w:t>
            </w:r>
          </w:p>
        </w:tc>
      </w:tr>
      <w:tr w:rsidR="00F34D15" w:rsidRPr="00732EED" w14:paraId="6F66294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986BB37" w14:textId="77777777" w:rsidR="00F34D15" w:rsidRPr="00732EED" w:rsidRDefault="00F34D15" w:rsidP="00F34D15">
            <w:pPr>
              <w:rPr>
                <w:sz w:val="18"/>
                <w:szCs w:val="18"/>
              </w:rPr>
            </w:pPr>
            <w:r w:rsidRPr="00732EED">
              <w:rPr>
                <w:sz w:val="18"/>
                <w:szCs w:val="18"/>
              </w:rPr>
              <w:t>11</w:t>
            </w:r>
          </w:p>
        </w:tc>
        <w:tc>
          <w:tcPr>
            <w:tcW w:w="0" w:type="auto"/>
            <w:hideMark/>
          </w:tcPr>
          <w:p w14:paraId="70C911C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and intrusive memories are connected</w:t>
            </w:r>
          </w:p>
        </w:tc>
        <w:tc>
          <w:tcPr>
            <w:tcW w:w="0" w:type="auto"/>
          </w:tcPr>
          <w:p w14:paraId="4DEA63A0" w14:textId="56DA47D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Pain-trauma link</w:t>
            </w:r>
          </w:p>
        </w:tc>
        <w:tc>
          <w:tcPr>
            <w:tcW w:w="0" w:type="auto"/>
            <w:hideMark/>
          </w:tcPr>
          <w:p w14:paraId="6CBC94FA" w14:textId="1E7D84E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19AC1AF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Trauma/PTSD &amp; Abuse</w:t>
            </w:r>
          </w:p>
        </w:tc>
      </w:tr>
      <w:tr w:rsidR="00F34D15" w:rsidRPr="00732EED" w14:paraId="4B6BCBD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D4965F9" w14:textId="77777777" w:rsidR="00F34D15" w:rsidRPr="00732EED" w:rsidRDefault="00F34D15" w:rsidP="00F34D15">
            <w:pPr>
              <w:rPr>
                <w:sz w:val="18"/>
                <w:szCs w:val="18"/>
              </w:rPr>
            </w:pPr>
            <w:r w:rsidRPr="00732EED">
              <w:rPr>
                <w:sz w:val="18"/>
                <w:szCs w:val="18"/>
              </w:rPr>
              <w:t>11</w:t>
            </w:r>
          </w:p>
        </w:tc>
        <w:tc>
          <w:tcPr>
            <w:tcW w:w="0" w:type="auto"/>
            <w:hideMark/>
          </w:tcPr>
          <w:p w14:paraId="43D9E6A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Changed identity</w:t>
            </w:r>
          </w:p>
        </w:tc>
        <w:tc>
          <w:tcPr>
            <w:tcW w:w="0" w:type="auto"/>
          </w:tcPr>
          <w:p w14:paraId="029BF56F" w14:textId="0F01CED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Changed identity</w:t>
            </w:r>
          </w:p>
        </w:tc>
        <w:tc>
          <w:tcPr>
            <w:tcW w:w="0" w:type="auto"/>
            <w:hideMark/>
          </w:tcPr>
          <w:p w14:paraId="1973B0A0" w14:textId="02EF1BB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064BB6E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33D9833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1778426" w14:textId="77777777" w:rsidR="00F34D15" w:rsidRPr="00732EED" w:rsidRDefault="00F34D15" w:rsidP="00F34D15">
            <w:pPr>
              <w:rPr>
                <w:sz w:val="18"/>
                <w:szCs w:val="18"/>
              </w:rPr>
            </w:pPr>
            <w:r w:rsidRPr="00732EED">
              <w:rPr>
                <w:sz w:val="18"/>
                <w:szCs w:val="18"/>
              </w:rPr>
              <w:t>11</w:t>
            </w:r>
          </w:p>
        </w:tc>
        <w:tc>
          <w:tcPr>
            <w:tcW w:w="0" w:type="auto"/>
            <w:hideMark/>
          </w:tcPr>
          <w:p w14:paraId="61154A2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and resources</w:t>
            </w:r>
          </w:p>
        </w:tc>
        <w:tc>
          <w:tcPr>
            <w:tcW w:w="0" w:type="auto"/>
          </w:tcPr>
          <w:p w14:paraId="4AE286DA" w14:textId="536873C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Resilience/resources</w:t>
            </w:r>
          </w:p>
        </w:tc>
        <w:tc>
          <w:tcPr>
            <w:tcW w:w="0" w:type="auto"/>
            <w:hideMark/>
          </w:tcPr>
          <w:p w14:paraId="08CA4AF5" w14:textId="01A3AC4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53AA4BF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&amp; Growth</w:t>
            </w:r>
          </w:p>
        </w:tc>
      </w:tr>
      <w:tr w:rsidR="00F34D15" w:rsidRPr="00732EED" w14:paraId="0DE55D33"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A8BA095" w14:textId="77777777" w:rsidR="00F34D15" w:rsidRPr="00732EED" w:rsidRDefault="00F34D15" w:rsidP="00F34D15">
            <w:pPr>
              <w:rPr>
                <w:sz w:val="18"/>
                <w:szCs w:val="18"/>
              </w:rPr>
            </w:pPr>
            <w:r w:rsidRPr="00732EED">
              <w:rPr>
                <w:sz w:val="18"/>
                <w:szCs w:val="18"/>
              </w:rPr>
              <w:t>12</w:t>
            </w:r>
          </w:p>
        </w:tc>
        <w:tc>
          <w:tcPr>
            <w:tcW w:w="0" w:type="auto"/>
            <w:hideMark/>
          </w:tcPr>
          <w:p w14:paraId="199C588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Group processes</w:t>
            </w:r>
          </w:p>
        </w:tc>
        <w:tc>
          <w:tcPr>
            <w:tcW w:w="0" w:type="auto"/>
          </w:tcPr>
          <w:p w14:paraId="4212AFEE" w14:textId="692F890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Therapeutic group support</w:t>
            </w:r>
          </w:p>
        </w:tc>
        <w:tc>
          <w:tcPr>
            <w:tcW w:w="0" w:type="auto"/>
            <w:hideMark/>
          </w:tcPr>
          <w:p w14:paraId="1DFD4288" w14:textId="0B92F70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17EE2F2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Peer &amp; Online Communities</w:t>
            </w:r>
          </w:p>
        </w:tc>
      </w:tr>
      <w:tr w:rsidR="00F34D15" w:rsidRPr="00732EED" w14:paraId="6649B37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3351D68" w14:textId="77777777" w:rsidR="00F34D15" w:rsidRPr="00732EED" w:rsidRDefault="00F34D15" w:rsidP="00F34D15">
            <w:pPr>
              <w:rPr>
                <w:sz w:val="18"/>
                <w:szCs w:val="18"/>
              </w:rPr>
            </w:pPr>
            <w:r w:rsidRPr="00732EED">
              <w:rPr>
                <w:sz w:val="18"/>
                <w:szCs w:val="18"/>
              </w:rPr>
              <w:t>12</w:t>
            </w:r>
          </w:p>
        </w:tc>
        <w:tc>
          <w:tcPr>
            <w:tcW w:w="0" w:type="auto"/>
            <w:hideMark/>
          </w:tcPr>
          <w:p w14:paraId="17B5FB3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Increased self-understanding</w:t>
            </w:r>
          </w:p>
        </w:tc>
        <w:tc>
          <w:tcPr>
            <w:tcW w:w="0" w:type="auto"/>
          </w:tcPr>
          <w:p w14:paraId="6AAD87F9" w14:textId="5FA9315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Self-understanding</w:t>
            </w:r>
          </w:p>
        </w:tc>
        <w:tc>
          <w:tcPr>
            <w:tcW w:w="0" w:type="auto"/>
            <w:hideMark/>
          </w:tcPr>
          <w:p w14:paraId="3B7458E8" w14:textId="6D59198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79839EE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6FC727F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477E9CD" w14:textId="77777777" w:rsidR="00F34D15" w:rsidRPr="00732EED" w:rsidRDefault="00F34D15" w:rsidP="00F34D15">
            <w:pPr>
              <w:rPr>
                <w:sz w:val="18"/>
                <w:szCs w:val="18"/>
              </w:rPr>
            </w:pPr>
            <w:r w:rsidRPr="00732EED">
              <w:rPr>
                <w:sz w:val="18"/>
                <w:szCs w:val="18"/>
              </w:rPr>
              <w:t>12</w:t>
            </w:r>
          </w:p>
        </w:tc>
        <w:tc>
          <w:tcPr>
            <w:tcW w:w="0" w:type="auto"/>
            <w:hideMark/>
          </w:tcPr>
          <w:p w14:paraId="77512F1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Improvement/alleviated suffering</w:t>
            </w:r>
          </w:p>
        </w:tc>
        <w:tc>
          <w:tcPr>
            <w:tcW w:w="0" w:type="auto"/>
          </w:tcPr>
          <w:p w14:paraId="08AADCF0" w14:textId="78D7390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Beneficial program experience</w:t>
            </w:r>
          </w:p>
        </w:tc>
        <w:tc>
          <w:tcPr>
            <w:tcW w:w="0" w:type="auto"/>
            <w:hideMark/>
          </w:tcPr>
          <w:p w14:paraId="008797F7" w14:textId="125914E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6CDD8AB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2BA0F28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654D671" w14:textId="77777777" w:rsidR="00F34D15" w:rsidRPr="00732EED" w:rsidRDefault="00F34D15" w:rsidP="00F34D15">
            <w:pPr>
              <w:rPr>
                <w:sz w:val="18"/>
                <w:szCs w:val="18"/>
              </w:rPr>
            </w:pPr>
            <w:r w:rsidRPr="00732EED">
              <w:rPr>
                <w:sz w:val="18"/>
                <w:szCs w:val="18"/>
              </w:rPr>
              <w:t>13</w:t>
            </w:r>
          </w:p>
        </w:tc>
        <w:tc>
          <w:tcPr>
            <w:tcW w:w="0" w:type="auto"/>
            <w:hideMark/>
          </w:tcPr>
          <w:p w14:paraId="3FB3916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Active involvement gaining insight</w:t>
            </w:r>
          </w:p>
        </w:tc>
        <w:tc>
          <w:tcPr>
            <w:tcW w:w="0" w:type="auto"/>
          </w:tcPr>
          <w:p w14:paraId="4B410DD4" w14:textId="73B40B5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Active involvement</w:t>
            </w:r>
          </w:p>
        </w:tc>
        <w:tc>
          <w:tcPr>
            <w:tcW w:w="0" w:type="auto"/>
            <w:hideMark/>
          </w:tcPr>
          <w:p w14:paraId="66DD1864" w14:textId="2F3FB56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4AFDB29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&amp; Agency</w:t>
            </w:r>
          </w:p>
        </w:tc>
      </w:tr>
      <w:tr w:rsidR="00F34D15" w:rsidRPr="00732EED" w14:paraId="5CA70BDE"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883DCFC" w14:textId="77777777" w:rsidR="00F34D15" w:rsidRPr="00732EED" w:rsidRDefault="00F34D15" w:rsidP="00F34D15">
            <w:pPr>
              <w:rPr>
                <w:sz w:val="18"/>
                <w:szCs w:val="18"/>
              </w:rPr>
            </w:pPr>
            <w:r w:rsidRPr="00732EED">
              <w:rPr>
                <w:sz w:val="18"/>
                <w:szCs w:val="18"/>
              </w:rPr>
              <w:t>13</w:t>
            </w:r>
          </w:p>
        </w:tc>
        <w:tc>
          <w:tcPr>
            <w:tcW w:w="0" w:type="auto"/>
            <w:hideMark/>
          </w:tcPr>
          <w:p w14:paraId="55C1A12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Community and group support</w:t>
            </w:r>
          </w:p>
        </w:tc>
        <w:tc>
          <w:tcPr>
            <w:tcW w:w="0" w:type="auto"/>
          </w:tcPr>
          <w:p w14:paraId="67725606" w14:textId="5D234F2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Group/community support</w:t>
            </w:r>
          </w:p>
        </w:tc>
        <w:tc>
          <w:tcPr>
            <w:tcW w:w="0" w:type="auto"/>
            <w:hideMark/>
          </w:tcPr>
          <w:p w14:paraId="004FA3A5" w14:textId="78A7EFB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0A45A1F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Peer &amp; Online Communities</w:t>
            </w:r>
          </w:p>
        </w:tc>
      </w:tr>
      <w:tr w:rsidR="00F34D15" w:rsidRPr="00732EED" w14:paraId="46B4B6B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F7F3E32" w14:textId="77777777" w:rsidR="00F34D15" w:rsidRPr="00732EED" w:rsidRDefault="00F34D15" w:rsidP="00F34D15">
            <w:pPr>
              <w:rPr>
                <w:sz w:val="18"/>
                <w:szCs w:val="18"/>
              </w:rPr>
            </w:pPr>
            <w:r w:rsidRPr="00732EED">
              <w:rPr>
                <w:sz w:val="18"/>
                <w:szCs w:val="18"/>
              </w:rPr>
              <w:t>14</w:t>
            </w:r>
          </w:p>
        </w:tc>
        <w:tc>
          <w:tcPr>
            <w:tcW w:w="0" w:type="auto"/>
            <w:hideMark/>
          </w:tcPr>
          <w:p w14:paraId="1F81CD9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Being seen as a malingerer</w:t>
            </w:r>
          </w:p>
        </w:tc>
        <w:tc>
          <w:tcPr>
            <w:tcW w:w="0" w:type="auto"/>
          </w:tcPr>
          <w:p w14:paraId="4A256591" w14:textId="2E9FBF6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Malingering stigma</w:t>
            </w:r>
          </w:p>
        </w:tc>
        <w:tc>
          <w:tcPr>
            <w:tcW w:w="0" w:type="auto"/>
            <w:hideMark/>
          </w:tcPr>
          <w:p w14:paraId="51B91A5B" w14:textId="005CF7A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4535029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&amp; Malingering</w:t>
            </w:r>
          </w:p>
        </w:tc>
      </w:tr>
      <w:tr w:rsidR="00F34D15" w:rsidRPr="00732EED" w14:paraId="0D4D27E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DD1FB6C" w14:textId="77777777" w:rsidR="00F34D15" w:rsidRPr="00732EED" w:rsidRDefault="00F34D15" w:rsidP="00F34D15">
            <w:pPr>
              <w:rPr>
                <w:sz w:val="18"/>
                <w:szCs w:val="18"/>
              </w:rPr>
            </w:pPr>
            <w:r w:rsidRPr="00732EED">
              <w:rPr>
                <w:sz w:val="18"/>
                <w:szCs w:val="18"/>
              </w:rPr>
              <w:t>14</w:t>
            </w:r>
          </w:p>
        </w:tc>
        <w:tc>
          <w:tcPr>
            <w:tcW w:w="0" w:type="auto"/>
            <w:hideMark/>
          </w:tcPr>
          <w:p w14:paraId="1BA7248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acknowledged</w:t>
            </w:r>
          </w:p>
        </w:tc>
        <w:tc>
          <w:tcPr>
            <w:tcW w:w="0" w:type="auto"/>
          </w:tcPr>
          <w:p w14:paraId="499807F7" w14:textId="417F2D3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Acknowledgment</w:t>
            </w:r>
          </w:p>
        </w:tc>
        <w:tc>
          <w:tcPr>
            <w:tcW w:w="0" w:type="auto"/>
            <w:hideMark/>
          </w:tcPr>
          <w:p w14:paraId="7630C453" w14:textId="2E300D5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47E8A55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5761950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4009C03" w14:textId="77777777" w:rsidR="00F34D15" w:rsidRPr="00732EED" w:rsidRDefault="00F34D15" w:rsidP="00F34D15">
            <w:pPr>
              <w:rPr>
                <w:sz w:val="18"/>
                <w:szCs w:val="18"/>
              </w:rPr>
            </w:pPr>
            <w:r w:rsidRPr="00732EED">
              <w:rPr>
                <w:sz w:val="18"/>
                <w:szCs w:val="18"/>
              </w:rPr>
              <w:t>15</w:t>
            </w:r>
          </w:p>
        </w:tc>
        <w:tc>
          <w:tcPr>
            <w:tcW w:w="0" w:type="auto"/>
            <w:hideMark/>
          </w:tcPr>
          <w:p w14:paraId="066E09C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w:t>
            </w:r>
          </w:p>
        </w:tc>
        <w:tc>
          <w:tcPr>
            <w:tcW w:w="0" w:type="auto"/>
          </w:tcPr>
          <w:p w14:paraId="22BBAD86" w14:textId="46F6331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Sense of loss</w:t>
            </w:r>
          </w:p>
        </w:tc>
        <w:tc>
          <w:tcPr>
            <w:tcW w:w="0" w:type="auto"/>
            <w:hideMark/>
          </w:tcPr>
          <w:p w14:paraId="467A5709" w14:textId="1126FF5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5E69C72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467988D6"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59EFF4A" w14:textId="77777777" w:rsidR="00F34D15" w:rsidRPr="00732EED" w:rsidRDefault="00F34D15" w:rsidP="00F34D15">
            <w:pPr>
              <w:rPr>
                <w:sz w:val="18"/>
                <w:szCs w:val="18"/>
              </w:rPr>
            </w:pPr>
            <w:r w:rsidRPr="00732EED">
              <w:rPr>
                <w:sz w:val="18"/>
                <w:szCs w:val="18"/>
              </w:rPr>
              <w:t>15</w:t>
            </w:r>
          </w:p>
        </w:tc>
        <w:tc>
          <w:tcPr>
            <w:tcW w:w="0" w:type="auto"/>
            <w:hideMark/>
          </w:tcPr>
          <w:p w14:paraId="4FB49A3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Anger and frustration</w:t>
            </w:r>
          </w:p>
        </w:tc>
        <w:tc>
          <w:tcPr>
            <w:tcW w:w="0" w:type="auto"/>
          </w:tcPr>
          <w:p w14:paraId="3AED4B22" w14:textId="6E12648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Frustration/anger</w:t>
            </w:r>
          </w:p>
        </w:tc>
        <w:tc>
          <w:tcPr>
            <w:tcW w:w="0" w:type="auto"/>
            <w:hideMark/>
          </w:tcPr>
          <w:p w14:paraId="5E8E06A0" w14:textId="2BD7EF9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09A11A9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Anxiety &amp; Fear</w:t>
            </w:r>
          </w:p>
        </w:tc>
      </w:tr>
      <w:tr w:rsidR="00F34D15" w:rsidRPr="00732EED" w14:paraId="3D37BC5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F835023" w14:textId="77777777" w:rsidR="00F34D15" w:rsidRPr="00732EED" w:rsidRDefault="00F34D15" w:rsidP="00F34D15">
            <w:pPr>
              <w:rPr>
                <w:sz w:val="18"/>
                <w:szCs w:val="18"/>
              </w:rPr>
            </w:pPr>
            <w:r w:rsidRPr="00732EED">
              <w:rPr>
                <w:sz w:val="18"/>
                <w:szCs w:val="18"/>
              </w:rPr>
              <w:t>15</w:t>
            </w:r>
          </w:p>
        </w:tc>
        <w:tc>
          <w:tcPr>
            <w:tcW w:w="0" w:type="auto"/>
            <w:hideMark/>
          </w:tcPr>
          <w:p w14:paraId="2BA612C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Uncertainty and stress</w:t>
            </w:r>
          </w:p>
        </w:tc>
        <w:tc>
          <w:tcPr>
            <w:tcW w:w="0" w:type="auto"/>
          </w:tcPr>
          <w:p w14:paraId="05C0A4A1" w14:textId="52A755D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Uncertainty/stress</w:t>
            </w:r>
          </w:p>
        </w:tc>
        <w:tc>
          <w:tcPr>
            <w:tcW w:w="0" w:type="auto"/>
            <w:hideMark/>
          </w:tcPr>
          <w:p w14:paraId="1D2A26E5" w14:textId="6AEB394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7522DC2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Anxiety &amp; Fear</w:t>
            </w:r>
          </w:p>
        </w:tc>
      </w:tr>
      <w:tr w:rsidR="00F34D15" w:rsidRPr="00732EED" w14:paraId="7E4F4A7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E409A90" w14:textId="77777777" w:rsidR="00F34D15" w:rsidRPr="00732EED" w:rsidRDefault="00F34D15" w:rsidP="00F34D15">
            <w:pPr>
              <w:rPr>
                <w:sz w:val="18"/>
                <w:szCs w:val="18"/>
              </w:rPr>
            </w:pPr>
            <w:r w:rsidRPr="00732EED">
              <w:rPr>
                <w:sz w:val="18"/>
                <w:szCs w:val="18"/>
              </w:rPr>
              <w:t>15</w:t>
            </w:r>
          </w:p>
        </w:tc>
        <w:tc>
          <w:tcPr>
            <w:tcW w:w="0" w:type="auto"/>
            <w:hideMark/>
          </w:tcPr>
          <w:p w14:paraId="2F765B0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Adaptation to new life</w:t>
            </w:r>
          </w:p>
        </w:tc>
        <w:tc>
          <w:tcPr>
            <w:tcW w:w="0" w:type="auto"/>
          </w:tcPr>
          <w:p w14:paraId="092AB58B" w14:textId="789558B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Adaptation to new life</w:t>
            </w:r>
          </w:p>
        </w:tc>
        <w:tc>
          <w:tcPr>
            <w:tcW w:w="0" w:type="auto"/>
            <w:hideMark/>
          </w:tcPr>
          <w:p w14:paraId="6A9012A2" w14:textId="2149E29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Ecological</w:t>
            </w:r>
          </w:p>
        </w:tc>
        <w:tc>
          <w:tcPr>
            <w:tcW w:w="0" w:type="auto"/>
            <w:hideMark/>
          </w:tcPr>
          <w:p w14:paraId="3427B5E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Ecosystem</w:t>
            </w:r>
          </w:p>
        </w:tc>
      </w:tr>
      <w:tr w:rsidR="00F34D15" w:rsidRPr="00732EED" w14:paraId="0F0135B2"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2E7D78C" w14:textId="77777777" w:rsidR="00F34D15" w:rsidRPr="00732EED" w:rsidRDefault="00F34D15" w:rsidP="00F34D15">
            <w:pPr>
              <w:rPr>
                <w:sz w:val="18"/>
                <w:szCs w:val="18"/>
              </w:rPr>
            </w:pPr>
            <w:r w:rsidRPr="00732EED">
              <w:rPr>
                <w:sz w:val="18"/>
                <w:szCs w:val="18"/>
              </w:rPr>
              <w:t>16</w:t>
            </w:r>
          </w:p>
        </w:tc>
        <w:tc>
          <w:tcPr>
            <w:tcW w:w="0" w:type="auto"/>
            <w:hideMark/>
          </w:tcPr>
          <w:p w14:paraId="5344F17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I’m not alone</w:t>
            </w:r>
          </w:p>
        </w:tc>
        <w:tc>
          <w:tcPr>
            <w:tcW w:w="0" w:type="auto"/>
          </w:tcPr>
          <w:p w14:paraId="355F8C75" w14:textId="14788FF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Loneliness/ support</w:t>
            </w:r>
          </w:p>
        </w:tc>
        <w:tc>
          <w:tcPr>
            <w:tcW w:w="0" w:type="auto"/>
            <w:hideMark/>
          </w:tcPr>
          <w:p w14:paraId="16F17499" w14:textId="5A0DF3A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4812D4C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Peer &amp; Online Communities</w:t>
            </w:r>
          </w:p>
        </w:tc>
      </w:tr>
      <w:tr w:rsidR="00F34D15" w:rsidRPr="00732EED" w14:paraId="6788F36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C759779" w14:textId="77777777" w:rsidR="00F34D15" w:rsidRPr="00732EED" w:rsidRDefault="00F34D15" w:rsidP="00F34D15">
            <w:pPr>
              <w:rPr>
                <w:sz w:val="18"/>
                <w:szCs w:val="18"/>
              </w:rPr>
            </w:pPr>
            <w:r w:rsidRPr="00732EED">
              <w:rPr>
                <w:sz w:val="18"/>
                <w:szCs w:val="18"/>
              </w:rPr>
              <w:t>16</w:t>
            </w:r>
          </w:p>
        </w:tc>
        <w:tc>
          <w:tcPr>
            <w:tcW w:w="0" w:type="auto"/>
            <w:hideMark/>
          </w:tcPr>
          <w:p w14:paraId="0640E47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Others understand my pain</w:t>
            </w:r>
          </w:p>
        </w:tc>
        <w:tc>
          <w:tcPr>
            <w:tcW w:w="0" w:type="auto"/>
          </w:tcPr>
          <w:p w14:paraId="5D9D8CD0" w14:textId="7037AE6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Understood by others</w:t>
            </w:r>
          </w:p>
        </w:tc>
        <w:tc>
          <w:tcPr>
            <w:tcW w:w="0" w:type="auto"/>
            <w:hideMark/>
          </w:tcPr>
          <w:p w14:paraId="02884A3F" w14:textId="7A90E52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4195172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4EA2BF0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BEEA923" w14:textId="77777777" w:rsidR="00F34D15" w:rsidRPr="00732EED" w:rsidRDefault="00F34D15" w:rsidP="00F34D15">
            <w:pPr>
              <w:rPr>
                <w:sz w:val="18"/>
                <w:szCs w:val="18"/>
              </w:rPr>
            </w:pPr>
            <w:r w:rsidRPr="00732EED">
              <w:rPr>
                <w:sz w:val="18"/>
                <w:szCs w:val="18"/>
              </w:rPr>
              <w:lastRenderedPageBreak/>
              <w:t>16</w:t>
            </w:r>
          </w:p>
        </w:tc>
        <w:tc>
          <w:tcPr>
            <w:tcW w:w="0" w:type="auto"/>
            <w:hideMark/>
          </w:tcPr>
          <w:p w14:paraId="5DDB5AB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Freedom from pain taking over</w:t>
            </w:r>
          </w:p>
        </w:tc>
        <w:tc>
          <w:tcPr>
            <w:tcW w:w="0" w:type="auto"/>
          </w:tcPr>
          <w:p w14:paraId="498AAB35" w14:textId="232A7DB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Reduced pain intrusiveness</w:t>
            </w:r>
          </w:p>
        </w:tc>
        <w:tc>
          <w:tcPr>
            <w:tcW w:w="0" w:type="auto"/>
            <w:hideMark/>
          </w:tcPr>
          <w:p w14:paraId="4333DE65" w14:textId="49269DE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37E7A03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Disease Intrusiveness</w:t>
            </w:r>
          </w:p>
        </w:tc>
      </w:tr>
      <w:tr w:rsidR="00F34D15" w:rsidRPr="00732EED" w14:paraId="7C2C31F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487F1F8" w14:textId="77777777" w:rsidR="00F34D15" w:rsidRPr="00732EED" w:rsidRDefault="00F34D15" w:rsidP="00F34D15">
            <w:pPr>
              <w:rPr>
                <w:sz w:val="18"/>
                <w:szCs w:val="18"/>
              </w:rPr>
            </w:pPr>
            <w:r w:rsidRPr="00732EED">
              <w:rPr>
                <w:sz w:val="18"/>
                <w:szCs w:val="18"/>
              </w:rPr>
              <w:t>16</w:t>
            </w:r>
          </w:p>
        </w:tc>
        <w:tc>
          <w:tcPr>
            <w:tcW w:w="0" w:type="auto"/>
            <w:hideMark/>
          </w:tcPr>
          <w:p w14:paraId="7E5AA34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 new self, one with pain</w:t>
            </w:r>
          </w:p>
        </w:tc>
        <w:tc>
          <w:tcPr>
            <w:tcW w:w="0" w:type="auto"/>
          </w:tcPr>
          <w:p w14:paraId="3C9FE69A" w14:textId="30247B8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Reconstructed self</w:t>
            </w:r>
          </w:p>
        </w:tc>
        <w:tc>
          <w:tcPr>
            <w:tcW w:w="0" w:type="auto"/>
            <w:hideMark/>
          </w:tcPr>
          <w:p w14:paraId="763732CF" w14:textId="7CCA638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3EA522D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7C75327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6866870" w14:textId="77777777" w:rsidR="00F34D15" w:rsidRPr="00732EED" w:rsidRDefault="00F34D15" w:rsidP="00F34D15">
            <w:pPr>
              <w:rPr>
                <w:sz w:val="18"/>
                <w:szCs w:val="18"/>
              </w:rPr>
            </w:pPr>
            <w:r w:rsidRPr="00732EED">
              <w:rPr>
                <w:sz w:val="18"/>
                <w:szCs w:val="18"/>
              </w:rPr>
              <w:t>16</w:t>
            </w:r>
          </w:p>
        </w:tc>
        <w:tc>
          <w:tcPr>
            <w:tcW w:w="0" w:type="auto"/>
            <w:hideMark/>
          </w:tcPr>
          <w:p w14:paraId="2D616D1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Facilitated change with exercise possible</w:t>
            </w:r>
          </w:p>
        </w:tc>
        <w:tc>
          <w:tcPr>
            <w:tcW w:w="0" w:type="auto"/>
          </w:tcPr>
          <w:p w14:paraId="0D5AD8B6" w14:textId="02A341B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Exercise-enabled change</w:t>
            </w:r>
          </w:p>
        </w:tc>
        <w:tc>
          <w:tcPr>
            <w:tcW w:w="0" w:type="auto"/>
            <w:hideMark/>
          </w:tcPr>
          <w:p w14:paraId="0DA24A52" w14:textId="2152187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2609EC2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Activity &amp; Pacing</w:t>
            </w:r>
          </w:p>
        </w:tc>
      </w:tr>
      <w:tr w:rsidR="00F34D15" w:rsidRPr="00732EED" w14:paraId="67B2D34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71D9ACE" w14:textId="77777777" w:rsidR="00F34D15" w:rsidRPr="00732EED" w:rsidRDefault="00F34D15" w:rsidP="00F34D15">
            <w:pPr>
              <w:rPr>
                <w:sz w:val="18"/>
                <w:szCs w:val="18"/>
              </w:rPr>
            </w:pPr>
            <w:r w:rsidRPr="00732EED">
              <w:rPr>
                <w:sz w:val="18"/>
                <w:szCs w:val="18"/>
              </w:rPr>
              <w:t>17</w:t>
            </w:r>
          </w:p>
        </w:tc>
        <w:tc>
          <w:tcPr>
            <w:tcW w:w="0" w:type="auto"/>
            <w:hideMark/>
          </w:tcPr>
          <w:p w14:paraId="05C8A4A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Exploration/information seeking</w:t>
            </w:r>
          </w:p>
        </w:tc>
        <w:tc>
          <w:tcPr>
            <w:tcW w:w="0" w:type="auto"/>
          </w:tcPr>
          <w:p w14:paraId="1E7E997A" w14:textId="4C1D876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Online information seeking</w:t>
            </w:r>
          </w:p>
        </w:tc>
        <w:tc>
          <w:tcPr>
            <w:tcW w:w="0" w:type="auto"/>
            <w:hideMark/>
          </w:tcPr>
          <w:p w14:paraId="7D628ADD" w14:textId="3C2067A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4876307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Peer &amp; Online Communities</w:t>
            </w:r>
          </w:p>
        </w:tc>
      </w:tr>
      <w:tr w:rsidR="00F34D15" w:rsidRPr="00732EED" w14:paraId="42AF5F3A"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260848A" w14:textId="77777777" w:rsidR="00F34D15" w:rsidRPr="00732EED" w:rsidRDefault="00F34D15" w:rsidP="00F34D15">
            <w:pPr>
              <w:rPr>
                <w:sz w:val="18"/>
                <w:szCs w:val="18"/>
              </w:rPr>
            </w:pPr>
            <w:r w:rsidRPr="00732EED">
              <w:rPr>
                <w:sz w:val="18"/>
                <w:szCs w:val="18"/>
              </w:rPr>
              <w:t>17</w:t>
            </w:r>
          </w:p>
        </w:tc>
        <w:tc>
          <w:tcPr>
            <w:tcW w:w="0" w:type="auto"/>
            <w:hideMark/>
          </w:tcPr>
          <w:p w14:paraId="5BC986F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Connection/mitigating isolation</w:t>
            </w:r>
          </w:p>
        </w:tc>
        <w:tc>
          <w:tcPr>
            <w:tcW w:w="0" w:type="auto"/>
          </w:tcPr>
          <w:p w14:paraId="21F206C7" w14:textId="23E0B73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Online connection</w:t>
            </w:r>
          </w:p>
        </w:tc>
        <w:tc>
          <w:tcPr>
            <w:tcW w:w="0" w:type="auto"/>
            <w:hideMark/>
          </w:tcPr>
          <w:p w14:paraId="5D4C5E1E" w14:textId="3678A37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55C3864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Peer &amp; Online Communities</w:t>
            </w:r>
          </w:p>
        </w:tc>
      </w:tr>
      <w:tr w:rsidR="00F34D15" w:rsidRPr="00732EED" w14:paraId="60489ADE"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CE501C5" w14:textId="77777777" w:rsidR="00F34D15" w:rsidRPr="00732EED" w:rsidRDefault="00F34D15" w:rsidP="00F34D15">
            <w:pPr>
              <w:rPr>
                <w:sz w:val="18"/>
                <w:szCs w:val="18"/>
              </w:rPr>
            </w:pPr>
            <w:r w:rsidRPr="00732EED">
              <w:rPr>
                <w:sz w:val="18"/>
                <w:szCs w:val="18"/>
              </w:rPr>
              <w:t>17</w:t>
            </w:r>
          </w:p>
        </w:tc>
        <w:tc>
          <w:tcPr>
            <w:tcW w:w="0" w:type="auto"/>
            <w:hideMark/>
          </w:tcPr>
          <w:p w14:paraId="5881CA4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Narration/shared experiences</w:t>
            </w:r>
          </w:p>
        </w:tc>
        <w:tc>
          <w:tcPr>
            <w:tcW w:w="0" w:type="auto"/>
          </w:tcPr>
          <w:p w14:paraId="1C5035E4" w14:textId="7EE285C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Shared illness narration</w:t>
            </w:r>
          </w:p>
        </w:tc>
        <w:tc>
          <w:tcPr>
            <w:tcW w:w="0" w:type="auto"/>
            <w:hideMark/>
          </w:tcPr>
          <w:p w14:paraId="06397B88" w14:textId="60B77E9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6644C84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Communication</w:t>
            </w:r>
          </w:p>
        </w:tc>
      </w:tr>
      <w:tr w:rsidR="00F34D15" w:rsidRPr="00732EED" w14:paraId="47D2058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C6A1AFA" w14:textId="77777777" w:rsidR="00F34D15" w:rsidRPr="00732EED" w:rsidRDefault="00F34D15" w:rsidP="00F34D15">
            <w:pPr>
              <w:rPr>
                <w:sz w:val="18"/>
                <w:szCs w:val="18"/>
              </w:rPr>
            </w:pPr>
            <w:r w:rsidRPr="00732EED">
              <w:rPr>
                <w:sz w:val="18"/>
                <w:szCs w:val="18"/>
              </w:rPr>
              <w:t>17</w:t>
            </w:r>
          </w:p>
        </w:tc>
        <w:tc>
          <w:tcPr>
            <w:tcW w:w="0" w:type="auto"/>
            <w:hideMark/>
          </w:tcPr>
          <w:p w14:paraId="6D99CAF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Adaptation/self-management</w:t>
            </w:r>
          </w:p>
        </w:tc>
        <w:tc>
          <w:tcPr>
            <w:tcW w:w="0" w:type="auto"/>
          </w:tcPr>
          <w:p w14:paraId="6FE565B5" w14:textId="5334508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Digital self-management</w:t>
            </w:r>
          </w:p>
        </w:tc>
        <w:tc>
          <w:tcPr>
            <w:tcW w:w="0" w:type="auto"/>
            <w:hideMark/>
          </w:tcPr>
          <w:p w14:paraId="400CB0B6" w14:textId="4F88174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41E4128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412C18D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F2A9A47" w14:textId="77777777" w:rsidR="00F34D15" w:rsidRPr="00732EED" w:rsidRDefault="00F34D15" w:rsidP="00F34D15">
            <w:pPr>
              <w:rPr>
                <w:sz w:val="18"/>
                <w:szCs w:val="18"/>
              </w:rPr>
            </w:pPr>
            <w:r w:rsidRPr="00732EED">
              <w:rPr>
                <w:sz w:val="18"/>
                <w:szCs w:val="18"/>
              </w:rPr>
              <w:t>17</w:t>
            </w:r>
          </w:p>
        </w:tc>
        <w:tc>
          <w:tcPr>
            <w:tcW w:w="0" w:type="auto"/>
            <w:hideMark/>
          </w:tcPr>
          <w:p w14:paraId="006D834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Self-presentation/identity control</w:t>
            </w:r>
          </w:p>
        </w:tc>
        <w:tc>
          <w:tcPr>
            <w:tcW w:w="0" w:type="auto"/>
          </w:tcPr>
          <w:p w14:paraId="7F009944" w14:textId="1903494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Controlled online identity</w:t>
            </w:r>
          </w:p>
        </w:tc>
        <w:tc>
          <w:tcPr>
            <w:tcW w:w="0" w:type="auto"/>
            <w:hideMark/>
          </w:tcPr>
          <w:p w14:paraId="045189A5" w14:textId="1C936AB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471A2C6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Peer &amp; Online Communities</w:t>
            </w:r>
          </w:p>
        </w:tc>
      </w:tr>
      <w:tr w:rsidR="00F34D15" w:rsidRPr="00732EED" w14:paraId="6AE5A2FA"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3C0BD07" w14:textId="77777777" w:rsidR="00F34D15" w:rsidRPr="00732EED" w:rsidRDefault="00F34D15" w:rsidP="00F34D15">
            <w:pPr>
              <w:rPr>
                <w:sz w:val="18"/>
                <w:szCs w:val="18"/>
              </w:rPr>
            </w:pPr>
            <w:r w:rsidRPr="00732EED">
              <w:rPr>
                <w:sz w:val="18"/>
                <w:szCs w:val="18"/>
              </w:rPr>
              <w:t>18</w:t>
            </w:r>
          </w:p>
        </w:tc>
        <w:tc>
          <w:tcPr>
            <w:tcW w:w="0" w:type="auto"/>
            <w:hideMark/>
          </w:tcPr>
          <w:p w14:paraId="24208AB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Loneliness</w:t>
            </w:r>
          </w:p>
        </w:tc>
        <w:tc>
          <w:tcPr>
            <w:tcW w:w="0" w:type="auto"/>
          </w:tcPr>
          <w:p w14:paraId="30DBE19E" w14:textId="2E1E0B2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Loneliness</w:t>
            </w:r>
          </w:p>
        </w:tc>
        <w:tc>
          <w:tcPr>
            <w:tcW w:w="0" w:type="auto"/>
            <w:hideMark/>
          </w:tcPr>
          <w:p w14:paraId="0F773C4B" w14:textId="30F2D37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6C50D59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Isolation</w:t>
            </w:r>
          </w:p>
        </w:tc>
      </w:tr>
      <w:tr w:rsidR="00F34D15" w:rsidRPr="00732EED" w14:paraId="0D092C3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6AA365A" w14:textId="77777777" w:rsidR="00F34D15" w:rsidRPr="00732EED" w:rsidRDefault="00F34D15" w:rsidP="00F34D15">
            <w:pPr>
              <w:rPr>
                <w:sz w:val="18"/>
                <w:szCs w:val="18"/>
              </w:rPr>
            </w:pPr>
            <w:r w:rsidRPr="00732EED">
              <w:rPr>
                <w:sz w:val="18"/>
                <w:szCs w:val="18"/>
              </w:rPr>
              <w:t>18</w:t>
            </w:r>
          </w:p>
        </w:tc>
        <w:tc>
          <w:tcPr>
            <w:tcW w:w="0" w:type="auto"/>
            <w:hideMark/>
          </w:tcPr>
          <w:p w14:paraId="4AF3D2F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Fear of stigmatization</w:t>
            </w:r>
          </w:p>
        </w:tc>
        <w:tc>
          <w:tcPr>
            <w:tcW w:w="0" w:type="auto"/>
          </w:tcPr>
          <w:p w14:paraId="708AF358" w14:textId="519E5DB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Anticipated stigma</w:t>
            </w:r>
          </w:p>
        </w:tc>
        <w:tc>
          <w:tcPr>
            <w:tcW w:w="0" w:type="auto"/>
            <w:hideMark/>
          </w:tcPr>
          <w:p w14:paraId="06F13762" w14:textId="0E06466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6EE6626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r>
      <w:tr w:rsidR="00F34D15" w:rsidRPr="00732EED" w14:paraId="324CDF4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3F2DDC1" w14:textId="77777777" w:rsidR="00F34D15" w:rsidRPr="00732EED" w:rsidRDefault="00F34D15" w:rsidP="00F34D15">
            <w:pPr>
              <w:rPr>
                <w:sz w:val="18"/>
                <w:szCs w:val="18"/>
              </w:rPr>
            </w:pPr>
            <w:r w:rsidRPr="00732EED">
              <w:rPr>
                <w:sz w:val="18"/>
                <w:szCs w:val="18"/>
              </w:rPr>
              <w:t>18</w:t>
            </w:r>
          </w:p>
        </w:tc>
        <w:tc>
          <w:tcPr>
            <w:tcW w:w="0" w:type="auto"/>
            <w:hideMark/>
          </w:tcPr>
          <w:p w14:paraId="0731F46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Despair</w:t>
            </w:r>
          </w:p>
        </w:tc>
        <w:tc>
          <w:tcPr>
            <w:tcW w:w="0" w:type="auto"/>
          </w:tcPr>
          <w:p w14:paraId="132E87A7" w14:textId="437CFB3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Despair</w:t>
            </w:r>
          </w:p>
        </w:tc>
        <w:tc>
          <w:tcPr>
            <w:tcW w:w="0" w:type="auto"/>
            <w:hideMark/>
          </w:tcPr>
          <w:p w14:paraId="227AE619" w14:textId="17C561B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5FDA012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6C3BF4B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A1E7804" w14:textId="77777777" w:rsidR="00F34D15" w:rsidRPr="00732EED" w:rsidRDefault="00F34D15" w:rsidP="00F34D15">
            <w:pPr>
              <w:rPr>
                <w:sz w:val="18"/>
                <w:szCs w:val="18"/>
              </w:rPr>
            </w:pPr>
            <w:r w:rsidRPr="00732EED">
              <w:rPr>
                <w:sz w:val="18"/>
                <w:szCs w:val="18"/>
              </w:rPr>
              <w:t>18</w:t>
            </w:r>
          </w:p>
        </w:tc>
        <w:tc>
          <w:tcPr>
            <w:tcW w:w="0" w:type="auto"/>
            <w:hideMark/>
          </w:tcPr>
          <w:p w14:paraId="0DEF076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Motivation to return to normal daily life/work</w:t>
            </w:r>
          </w:p>
        </w:tc>
        <w:tc>
          <w:tcPr>
            <w:tcW w:w="0" w:type="auto"/>
          </w:tcPr>
          <w:p w14:paraId="3495C29B" w14:textId="2CBE0B0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Drive for normality/work</w:t>
            </w:r>
          </w:p>
        </w:tc>
        <w:tc>
          <w:tcPr>
            <w:tcW w:w="0" w:type="auto"/>
            <w:hideMark/>
          </w:tcPr>
          <w:p w14:paraId="25FB94A5" w14:textId="469AA45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3F82477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&amp; Return to Work</w:t>
            </w:r>
          </w:p>
        </w:tc>
      </w:tr>
      <w:tr w:rsidR="00F34D15" w:rsidRPr="00732EED" w14:paraId="63C2B80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328E64D" w14:textId="77777777" w:rsidR="00F34D15" w:rsidRPr="00732EED" w:rsidRDefault="00F34D15" w:rsidP="00F34D15">
            <w:pPr>
              <w:rPr>
                <w:sz w:val="18"/>
                <w:szCs w:val="18"/>
              </w:rPr>
            </w:pPr>
            <w:r w:rsidRPr="00732EED">
              <w:rPr>
                <w:sz w:val="18"/>
                <w:szCs w:val="18"/>
              </w:rPr>
              <w:t>19</w:t>
            </w:r>
          </w:p>
        </w:tc>
        <w:tc>
          <w:tcPr>
            <w:tcW w:w="0" w:type="auto"/>
            <w:hideMark/>
          </w:tcPr>
          <w:p w14:paraId="63180AB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Dominance of chronic pain</w:t>
            </w:r>
          </w:p>
        </w:tc>
        <w:tc>
          <w:tcPr>
            <w:tcW w:w="0" w:type="auto"/>
          </w:tcPr>
          <w:p w14:paraId="66ADBF3D" w14:textId="11B9DF2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dominance</w:t>
            </w:r>
          </w:p>
        </w:tc>
        <w:tc>
          <w:tcPr>
            <w:tcW w:w="0" w:type="auto"/>
            <w:hideMark/>
          </w:tcPr>
          <w:p w14:paraId="2C5EDF4D" w14:textId="1DD33F6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4EA94CE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Dominance / “Pain is the master”</w:t>
            </w:r>
          </w:p>
        </w:tc>
      </w:tr>
      <w:tr w:rsidR="00F34D15" w:rsidRPr="00732EED" w14:paraId="5618370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01A5781" w14:textId="77777777" w:rsidR="00F34D15" w:rsidRPr="00732EED" w:rsidRDefault="00F34D15" w:rsidP="00F34D15">
            <w:pPr>
              <w:rPr>
                <w:sz w:val="18"/>
                <w:szCs w:val="18"/>
              </w:rPr>
            </w:pPr>
            <w:r w:rsidRPr="00732EED">
              <w:rPr>
                <w:sz w:val="18"/>
                <w:szCs w:val="18"/>
              </w:rPr>
              <w:t>19</w:t>
            </w:r>
          </w:p>
        </w:tc>
        <w:tc>
          <w:tcPr>
            <w:tcW w:w="0" w:type="auto"/>
            <w:hideMark/>
          </w:tcPr>
          <w:p w14:paraId="4D9BD8D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is the master</w:t>
            </w:r>
          </w:p>
        </w:tc>
        <w:tc>
          <w:tcPr>
            <w:tcW w:w="0" w:type="auto"/>
          </w:tcPr>
          <w:p w14:paraId="1D3CF6E1" w14:textId="22B31D0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master</w:t>
            </w:r>
          </w:p>
        </w:tc>
        <w:tc>
          <w:tcPr>
            <w:tcW w:w="0" w:type="auto"/>
            <w:hideMark/>
          </w:tcPr>
          <w:p w14:paraId="6EDA75F0" w14:textId="15D858C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4DEB5D1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Dominance / “Pain is the master”</w:t>
            </w:r>
          </w:p>
        </w:tc>
      </w:tr>
      <w:tr w:rsidR="00F34D15" w:rsidRPr="00732EED" w14:paraId="3A72C9D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A0515A2" w14:textId="77777777" w:rsidR="00F34D15" w:rsidRPr="00732EED" w:rsidRDefault="00F34D15" w:rsidP="00F34D15">
            <w:pPr>
              <w:rPr>
                <w:sz w:val="18"/>
                <w:szCs w:val="18"/>
              </w:rPr>
            </w:pPr>
            <w:r w:rsidRPr="00732EED">
              <w:rPr>
                <w:sz w:val="18"/>
                <w:szCs w:val="18"/>
              </w:rPr>
              <w:t>19</w:t>
            </w:r>
          </w:p>
        </w:tc>
        <w:tc>
          <w:tcPr>
            <w:tcW w:w="0" w:type="auto"/>
            <w:hideMark/>
          </w:tcPr>
          <w:p w14:paraId="301BEA3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Life is not worth living</w:t>
            </w:r>
          </w:p>
        </w:tc>
        <w:tc>
          <w:tcPr>
            <w:tcW w:w="0" w:type="auto"/>
          </w:tcPr>
          <w:p w14:paraId="6096C5E8" w14:textId="4C6CABE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Life not worth living</w:t>
            </w:r>
          </w:p>
        </w:tc>
        <w:tc>
          <w:tcPr>
            <w:tcW w:w="0" w:type="auto"/>
            <w:hideMark/>
          </w:tcPr>
          <w:p w14:paraId="39F58F02" w14:textId="6285F88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1C7C14B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Suicidality / “Life not worth living”</w:t>
            </w:r>
          </w:p>
        </w:tc>
      </w:tr>
      <w:tr w:rsidR="00F34D15" w:rsidRPr="00732EED" w14:paraId="507BD7C2"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0B5A640" w14:textId="77777777" w:rsidR="00F34D15" w:rsidRPr="00732EED" w:rsidRDefault="00F34D15" w:rsidP="00F34D15">
            <w:pPr>
              <w:rPr>
                <w:sz w:val="18"/>
                <w:szCs w:val="18"/>
              </w:rPr>
            </w:pPr>
            <w:r w:rsidRPr="00732EED">
              <w:rPr>
                <w:sz w:val="18"/>
                <w:szCs w:val="18"/>
              </w:rPr>
              <w:t>19</w:t>
            </w:r>
          </w:p>
        </w:tc>
        <w:tc>
          <w:tcPr>
            <w:tcW w:w="0" w:type="auto"/>
            <w:hideMark/>
          </w:tcPr>
          <w:p w14:paraId="33B7D61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Contextual pain</w:t>
            </w:r>
          </w:p>
        </w:tc>
        <w:tc>
          <w:tcPr>
            <w:tcW w:w="0" w:type="auto"/>
          </w:tcPr>
          <w:p w14:paraId="31E7D8CA" w14:textId="000B45B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Contextualized pain meaning</w:t>
            </w:r>
          </w:p>
        </w:tc>
        <w:tc>
          <w:tcPr>
            <w:tcW w:w="0" w:type="auto"/>
            <w:hideMark/>
          </w:tcPr>
          <w:p w14:paraId="2E9D1F53" w14:textId="592E518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5CC78D5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Beliefs &amp; Explanatory Models</w:t>
            </w:r>
          </w:p>
        </w:tc>
      </w:tr>
      <w:tr w:rsidR="00F34D15" w:rsidRPr="00732EED" w14:paraId="776BC30A"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A10FDBA" w14:textId="77777777" w:rsidR="00F34D15" w:rsidRPr="00732EED" w:rsidRDefault="00F34D15" w:rsidP="00F34D15">
            <w:pPr>
              <w:rPr>
                <w:sz w:val="18"/>
                <w:szCs w:val="18"/>
              </w:rPr>
            </w:pPr>
            <w:r w:rsidRPr="00732EED">
              <w:rPr>
                <w:sz w:val="18"/>
                <w:szCs w:val="18"/>
              </w:rPr>
              <w:t>19</w:t>
            </w:r>
          </w:p>
        </w:tc>
        <w:tc>
          <w:tcPr>
            <w:tcW w:w="0" w:type="auto"/>
            <w:hideMark/>
          </w:tcPr>
          <w:p w14:paraId="38E290A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Waiting and hoping</w:t>
            </w:r>
          </w:p>
        </w:tc>
        <w:tc>
          <w:tcPr>
            <w:tcW w:w="0" w:type="auto"/>
          </w:tcPr>
          <w:p w14:paraId="62D16C41" w14:textId="4B7D2E1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Waiting/hope</w:t>
            </w:r>
          </w:p>
        </w:tc>
        <w:tc>
          <w:tcPr>
            <w:tcW w:w="0" w:type="auto"/>
            <w:hideMark/>
          </w:tcPr>
          <w:p w14:paraId="66D42677" w14:textId="794097E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73D48E3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1038AB5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C265B41" w14:textId="77777777" w:rsidR="00F34D15" w:rsidRPr="00732EED" w:rsidRDefault="00F34D15" w:rsidP="00F34D15">
            <w:pPr>
              <w:rPr>
                <w:sz w:val="18"/>
                <w:szCs w:val="18"/>
              </w:rPr>
            </w:pPr>
            <w:r w:rsidRPr="00732EED">
              <w:rPr>
                <w:sz w:val="18"/>
                <w:szCs w:val="18"/>
              </w:rPr>
              <w:t>20</w:t>
            </w:r>
          </w:p>
        </w:tc>
        <w:tc>
          <w:tcPr>
            <w:tcW w:w="0" w:type="auto"/>
            <w:hideMark/>
          </w:tcPr>
          <w:p w14:paraId="6687B9E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Pharmacological side effects</w:t>
            </w:r>
          </w:p>
        </w:tc>
        <w:tc>
          <w:tcPr>
            <w:tcW w:w="0" w:type="auto"/>
          </w:tcPr>
          <w:p w14:paraId="1836A927" w14:textId="1C5D978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Treatment burden</w:t>
            </w:r>
          </w:p>
        </w:tc>
        <w:tc>
          <w:tcPr>
            <w:tcW w:w="0" w:type="auto"/>
            <w:hideMark/>
          </w:tcPr>
          <w:p w14:paraId="7FF4E042" w14:textId="390F3AE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704C4D6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735CF87C"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912BD17" w14:textId="77777777" w:rsidR="00F34D15" w:rsidRPr="00732EED" w:rsidRDefault="00F34D15" w:rsidP="00F34D15">
            <w:pPr>
              <w:rPr>
                <w:sz w:val="18"/>
                <w:szCs w:val="18"/>
              </w:rPr>
            </w:pPr>
            <w:r w:rsidRPr="00732EED">
              <w:rPr>
                <w:sz w:val="18"/>
                <w:szCs w:val="18"/>
              </w:rPr>
              <w:t>20</w:t>
            </w:r>
          </w:p>
        </w:tc>
        <w:tc>
          <w:tcPr>
            <w:tcW w:w="0" w:type="auto"/>
            <w:hideMark/>
          </w:tcPr>
          <w:p w14:paraId="0EECFEF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Feeling stigmatized</w:t>
            </w:r>
          </w:p>
        </w:tc>
        <w:tc>
          <w:tcPr>
            <w:tcW w:w="0" w:type="auto"/>
          </w:tcPr>
          <w:p w14:paraId="2A724ABB" w14:textId="4D89CFA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Medication stigma</w:t>
            </w:r>
          </w:p>
        </w:tc>
        <w:tc>
          <w:tcPr>
            <w:tcW w:w="0" w:type="auto"/>
            <w:hideMark/>
          </w:tcPr>
          <w:p w14:paraId="34FD0006" w14:textId="66B95DC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68F6C0E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&amp; Malingering</w:t>
            </w:r>
          </w:p>
        </w:tc>
      </w:tr>
      <w:tr w:rsidR="00F34D15" w:rsidRPr="00732EED" w14:paraId="2458651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0B5A621" w14:textId="77777777" w:rsidR="00F34D15" w:rsidRPr="00732EED" w:rsidRDefault="00F34D15" w:rsidP="00F34D15">
            <w:pPr>
              <w:rPr>
                <w:sz w:val="18"/>
                <w:szCs w:val="18"/>
              </w:rPr>
            </w:pPr>
            <w:r w:rsidRPr="00732EED">
              <w:rPr>
                <w:sz w:val="18"/>
                <w:szCs w:val="18"/>
              </w:rPr>
              <w:t>20</w:t>
            </w:r>
          </w:p>
        </w:tc>
        <w:tc>
          <w:tcPr>
            <w:tcW w:w="0" w:type="auto"/>
            <w:hideMark/>
          </w:tcPr>
          <w:p w14:paraId="63B32E3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Guilt</w:t>
            </w:r>
          </w:p>
        </w:tc>
        <w:tc>
          <w:tcPr>
            <w:tcW w:w="0" w:type="auto"/>
          </w:tcPr>
          <w:p w14:paraId="70EF4377" w14:textId="3AEF544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Guilt</w:t>
            </w:r>
          </w:p>
        </w:tc>
        <w:tc>
          <w:tcPr>
            <w:tcW w:w="0" w:type="auto"/>
            <w:hideMark/>
          </w:tcPr>
          <w:p w14:paraId="6C008882" w14:textId="484F990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6B81DA9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5BA188E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E2AEEA8" w14:textId="77777777" w:rsidR="00F34D15" w:rsidRPr="00732EED" w:rsidRDefault="00F34D15" w:rsidP="00F34D15">
            <w:pPr>
              <w:rPr>
                <w:sz w:val="18"/>
                <w:szCs w:val="18"/>
              </w:rPr>
            </w:pPr>
            <w:r w:rsidRPr="00732EED">
              <w:rPr>
                <w:sz w:val="18"/>
                <w:szCs w:val="18"/>
              </w:rPr>
              <w:t>20</w:t>
            </w:r>
          </w:p>
        </w:tc>
        <w:tc>
          <w:tcPr>
            <w:tcW w:w="0" w:type="auto"/>
            <w:hideMark/>
          </w:tcPr>
          <w:p w14:paraId="001291E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w:t>
            </w:r>
          </w:p>
        </w:tc>
        <w:tc>
          <w:tcPr>
            <w:tcW w:w="0" w:type="auto"/>
          </w:tcPr>
          <w:p w14:paraId="55E57435" w14:textId="0A817DF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w:t>
            </w:r>
          </w:p>
        </w:tc>
        <w:tc>
          <w:tcPr>
            <w:tcW w:w="0" w:type="auto"/>
            <w:hideMark/>
          </w:tcPr>
          <w:p w14:paraId="63750457" w14:textId="5904208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1B34763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Anxiety &amp; Fear</w:t>
            </w:r>
          </w:p>
        </w:tc>
      </w:tr>
      <w:tr w:rsidR="00F34D15" w:rsidRPr="00732EED" w14:paraId="62A9D20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F0E0C43" w14:textId="77777777" w:rsidR="00F34D15" w:rsidRPr="00732EED" w:rsidRDefault="00F34D15" w:rsidP="00F34D15">
            <w:pPr>
              <w:rPr>
                <w:sz w:val="18"/>
                <w:szCs w:val="18"/>
              </w:rPr>
            </w:pPr>
            <w:r w:rsidRPr="00732EED">
              <w:rPr>
                <w:sz w:val="18"/>
                <w:szCs w:val="18"/>
              </w:rPr>
              <w:t>20</w:t>
            </w:r>
          </w:p>
        </w:tc>
        <w:tc>
          <w:tcPr>
            <w:tcW w:w="0" w:type="auto"/>
            <w:hideMark/>
          </w:tcPr>
          <w:p w14:paraId="38F95A5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Ambivalence</w:t>
            </w:r>
          </w:p>
        </w:tc>
        <w:tc>
          <w:tcPr>
            <w:tcW w:w="0" w:type="auto"/>
          </w:tcPr>
          <w:p w14:paraId="6F0A352B" w14:textId="24C93EF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Treatment ambivalence</w:t>
            </w:r>
          </w:p>
        </w:tc>
        <w:tc>
          <w:tcPr>
            <w:tcW w:w="0" w:type="auto"/>
            <w:hideMark/>
          </w:tcPr>
          <w:p w14:paraId="510B293F" w14:textId="16BBABA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343A42D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Illness Representations / Models</w:t>
            </w:r>
          </w:p>
        </w:tc>
      </w:tr>
      <w:tr w:rsidR="00F34D15" w:rsidRPr="00732EED" w14:paraId="411A9ED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7EB5DF1" w14:textId="77777777" w:rsidR="00F34D15" w:rsidRPr="00732EED" w:rsidRDefault="00F34D15" w:rsidP="00F34D15">
            <w:pPr>
              <w:rPr>
                <w:sz w:val="18"/>
                <w:szCs w:val="18"/>
              </w:rPr>
            </w:pPr>
            <w:r w:rsidRPr="00732EED">
              <w:rPr>
                <w:sz w:val="18"/>
                <w:szCs w:val="18"/>
              </w:rPr>
              <w:lastRenderedPageBreak/>
              <w:t>20</w:t>
            </w:r>
          </w:p>
        </w:tc>
        <w:tc>
          <w:tcPr>
            <w:tcW w:w="0" w:type="auto"/>
            <w:hideMark/>
          </w:tcPr>
          <w:p w14:paraId="0B7FA2A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Self-protection/acceptance</w:t>
            </w:r>
          </w:p>
        </w:tc>
        <w:tc>
          <w:tcPr>
            <w:tcW w:w="0" w:type="auto"/>
          </w:tcPr>
          <w:p w14:paraId="14BD1622" w14:textId="5781A7A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Protective acceptance</w:t>
            </w:r>
          </w:p>
        </w:tc>
        <w:tc>
          <w:tcPr>
            <w:tcW w:w="0" w:type="auto"/>
            <w:hideMark/>
          </w:tcPr>
          <w:p w14:paraId="3A8F6158" w14:textId="78915D3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299638C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37495EB2"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54CBFBB" w14:textId="77777777" w:rsidR="00F34D15" w:rsidRPr="00732EED" w:rsidRDefault="00F34D15" w:rsidP="00F34D15">
            <w:pPr>
              <w:rPr>
                <w:sz w:val="18"/>
                <w:szCs w:val="18"/>
              </w:rPr>
            </w:pPr>
            <w:r w:rsidRPr="00732EED">
              <w:rPr>
                <w:sz w:val="18"/>
                <w:szCs w:val="18"/>
              </w:rPr>
              <w:t>21</w:t>
            </w:r>
          </w:p>
        </w:tc>
        <w:tc>
          <w:tcPr>
            <w:tcW w:w="0" w:type="auto"/>
            <w:hideMark/>
          </w:tcPr>
          <w:p w14:paraId="5C642BB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is multidimensional</w:t>
            </w:r>
          </w:p>
        </w:tc>
        <w:tc>
          <w:tcPr>
            <w:tcW w:w="0" w:type="auto"/>
          </w:tcPr>
          <w:p w14:paraId="60F815FF" w14:textId="240A942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Multidimensional pain</w:t>
            </w:r>
          </w:p>
        </w:tc>
        <w:tc>
          <w:tcPr>
            <w:tcW w:w="0" w:type="auto"/>
            <w:hideMark/>
          </w:tcPr>
          <w:p w14:paraId="09ED1F70" w14:textId="04E7D0C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68DBC20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Suffering &amp; Distress</w:t>
            </w:r>
          </w:p>
        </w:tc>
      </w:tr>
      <w:tr w:rsidR="00F34D15" w:rsidRPr="00732EED" w14:paraId="72ED8A2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4C2AF21" w14:textId="77777777" w:rsidR="00F34D15" w:rsidRPr="00732EED" w:rsidRDefault="00F34D15" w:rsidP="00F34D15">
            <w:pPr>
              <w:rPr>
                <w:sz w:val="18"/>
                <w:szCs w:val="18"/>
              </w:rPr>
            </w:pPr>
            <w:r w:rsidRPr="00732EED">
              <w:rPr>
                <w:sz w:val="18"/>
                <w:szCs w:val="18"/>
              </w:rPr>
              <w:t>21</w:t>
            </w:r>
          </w:p>
        </w:tc>
        <w:tc>
          <w:tcPr>
            <w:tcW w:w="0" w:type="auto"/>
            <w:hideMark/>
          </w:tcPr>
          <w:p w14:paraId="0BC53E0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Influence on physical activities</w:t>
            </w:r>
          </w:p>
        </w:tc>
        <w:tc>
          <w:tcPr>
            <w:tcW w:w="0" w:type="auto"/>
          </w:tcPr>
          <w:p w14:paraId="07D695AB" w14:textId="44E2831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 activity limitation</w:t>
            </w:r>
          </w:p>
        </w:tc>
        <w:tc>
          <w:tcPr>
            <w:tcW w:w="0" w:type="auto"/>
            <w:hideMark/>
          </w:tcPr>
          <w:p w14:paraId="28E8B555" w14:textId="70784E1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0281593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Limitations &amp; Disability</w:t>
            </w:r>
          </w:p>
        </w:tc>
      </w:tr>
      <w:tr w:rsidR="00F34D15" w:rsidRPr="00732EED" w14:paraId="2AE336B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DDA0D41" w14:textId="77777777" w:rsidR="00F34D15" w:rsidRPr="00732EED" w:rsidRDefault="00F34D15" w:rsidP="00F34D15">
            <w:pPr>
              <w:rPr>
                <w:sz w:val="18"/>
                <w:szCs w:val="18"/>
              </w:rPr>
            </w:pPr>
            <w:r w:rsidRPr="00732EED">
              <w:rPr>
                <w:sz w:val="18"/>
                <w:szCs w:val="18"/>
              </w:rPr>
              <w:t>21</w:t>
            </w:r>
          </w:p>
        </w:tc>
        <w:tc>
          <w:tcPr>
            <w:tcW w:w="0" w:type="auto"/>
            <w:hideMark/>
          </w:tcPr>
          <w:p w14:paraId="513B3FA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Psychosocial influence of pain</w:t>
            </w:r>
          </w:p>
        </w:tc>
        <w:tc>
          <w:tcPr>
            <w:tcW w:w="0" w:type="auto"/>
          </w:tcPr>
          <w:p w14:paraId="6487FE27" w14:textId="40CD05C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Psychosocial distress</w:t>
            </w:r>
          </w:p>
        </w:tc>
        <w:tc>
          <w:tcPr>
            <w:tcW w:w="0" w:type="auto"/>
            <w:hideMark/>
          </w:tcPr>
          <w:p w14:paraId="690660C7" w14:textId="4BE389E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34BBB47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5F4A64E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9B8155A" w14:textId="77777777" w:rsidR="00F34D15" w:rsidRPr="00732EED" w:rsidRDefault="00F34D15" w:rsidP="00F34D15">
            <w:pPr>
              <w:rPr>
                <w:sz w:val="18"/>
                <w:szCs w:val="18"/>
              </w:rPr>
            </w:pPr>
            <w:r w:rsidRPr="00732EED">
              <w:rPr>
                <w:sz w:val="18"/>
                <w:szCs w:val="18"/>
              </w:rPr>
              <w:t>21</w:t>
            </w:r>
          </w:p>
        </w:tc>
        <w:tc>
          <w:tcPr>
            <w:tcW w:w="0" w:type="auto"/>
            <w:hideMark/>
          </w:tcPr>
          <w:p w14:paraId="561800F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Spiritual influence</w:t>
            </w:r>
          </w:p>
        </w:tc>
        <w:tc>
          <w:tcPr>
            <w:tcW w:w="0" w:type="auto"/>
          </w:tcPr>
          <w:p w14:paraId="1078E06B" w14:textId="1463115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Spirituality/meaning</w:t>
            </w:r>
          </w:p>
        </w:tc>
        <w:tc>
          <w:tcPr>
            <w:tcW w:w="0" w:type="auto"/>
            <w:hideMark/>
          </w:tcPr>
          <w:p w14:paraId="71EA4425" w14:textId="3788A86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43452AA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5965A27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40E12F0" w14:textId="77777777" w:rsidR="00F34D15" w:rsidRPr="00732EED" w:rsidRDefault="00F34D15" w:rsidP="00F34D15">
            <w:pPr>
              <w:rPr>
                <w:sz w:val="18"/>
                <w:szCs w:val="18"/>
              </w:rPr>
            </w:pPr>
            <w:r w:rsidRPr="00732EED">
              <w:rPr>
                <w:sz w:val="18"/>
                <w:szCs w:val="18"/>
              </w:rPr>
              <w:t>22</w:t>
            </w:r>
          </w:p>
        </w:tc>
        <w:tc>
          <w:tcPr>
            <w:tcW w:w="0" w:type="auto"/>
            <w:hideMark/>
          </w:tcPr>
          <w:p w14:paraId="6AF9684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Gap between treatment received and needs</w:t>
            </w:r>
          </w:p>
        </w:tc>
        <w:tc>
          <w:tcPr>
            <w:tcW w:w="0" w:type="auto"/>
          </w:tcPr>
          <w:p w14:paraId="0327E61D" w14:textId="379BED2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Treatment mismatch</w:t>
            </w:r>
          </w:p>
        </w:tc>
        <w:tc>
          <w:tcPr>
            <w:tcW w:w="0" w:type="auto"/>
            <w:hideMark/>
          </w:tcPr>
          <w:p w14:paraId="7D22B652" w14:textId="7679F3D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37B9671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796C2241"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B175B05" w14:textId="77777777" w:rsidR="00F34D15" w:rsidRPr="00732EED" w:rsidRDefault="00F34D15" w:rsidP="00F34D15">
            <w:pPr>
              <w:rPr>
                <w:sz w:val="18"/>
                <w:szCs w:val="18"/>
              </w:rPr>
            </w:pPr>
            <w:r w:rsidRPr="00732EED">
              <w:rPr>
                <w:sz w:val="18"/>
                <w:szCs w:val="18"/>
              </w:rPr>
              <w:t>22</w:t>
            </w:r>
          </w:p>
        </w:tc>
        <w:tc>
          <w:tcPr>
            <w:tcW w:w="0" w:type="auto"/>
            <w:hideMark/>
          </w:tcPr>
          <w:p w14:paraId="3A0B9ED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Fight for life control and acceptance</w:t>
            </w:r>
          </w:p>
        </w:tc>
        <w:tc>
          <w:tcPr>
            <w:tcW w:w="0" w:type="auto"/>
          </w:tcPr>
          <w:p w14:paraId="015074F5" w14:textId="73E4ADE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Control and acceptance struggle</w:t>
            </w:r>
          </w:p>
        </w:tc>
        <w:tc>
          <w:tcPr>
            <w:tcW w:w="0" w:type="auto"/>
            <w:hideMark/>
          </w:tcPr>
          <w:p w14:paraId="6AD977A4" w14:textId="2B50A2A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33CFD11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&amp; Growth</w:t>
            </w:r>
          </w:p>
        </w:tc>
      </w:tr>
      <w:tr w:rsidR="00F34D15" w:rsidRPr="00732EED" w14:paraId="05BC952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46B0F93" w14:textId="77777777" w:rsidR="00F34D15" w:rsidRPr="00732EED" w:rsidRDefault="00F34D15" w:rsidP="00F34D15">
            <w:pPr>
              <w:rPr>
                <w:sz w:val="18"/>
                <w:szCs w:val="18"/>
              </w:rPr>
            </w:pPr>
            <w:r w:rsidRPr="00732EED">
              <w:rPr>
                <w:sz w:val="18"/>
                <w:szCs w:val="18"/>
              </w:rPr>
              <w:t>22</w:t>
            </w:r>
          </w:p>
        </w:tc>
        <w:tc>
          <w:tcPr>
            <w:tcW w:w="0" w:type="auto"/>
            <w:hideMark/>
          </w:tcPr>
          <w:p w14:paraId="5A414CE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Understood by others with SCI but isolated from able-bodied</w:t>
            </w:r>
          </w:p>
        </w:tc>
        <w:tc>
          <w:tcPr>
            <w:tcW w:w="0" w:type="auto"/>
          </w:tcPr>
          <w:p w14:paraId="4C1970CC" w14:textId="26F0697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Condition-specific social isolation</w:t>
            </w:r>
          </w:p>
        </w:tc>
        <w:tc>
          <w:tcPr>
            <w:tcW w:w="0" w:type="auto"/>
            <w:hideMark/>
          </w:tcPr>
          <w:p w14:paraId="162FECDF" w14:textId="5976EFC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479EEE4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398D9FAA"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EB2DD93" w14:textId="77777777" w:rsidR="00F34D15" w:rsidRPr="00732EED" w:rsidRDefault="00F34D15" w:rsidP="00F34D15">
            <w:pPr>
              <w:rPr>
                <w:sz w:val="18"/>
                <w:szCs w:val="18"/>
              </w:rPr>
            </w:pPr>
            <w:r w:rsidRPr="00732EED">
              <w:rPr>
                <w:sz w:val="18"/>
                <w:szCs w:val="18"/>
              </w:rPr>
              <w:t>23</w:t>
            </w:r>
          </w:p>
        </w:tc>
        <w:tc>
          <w:tcPr>
            <w:tcW w:w="0" w:type="auto"/>
            <w:hideMark/>
          </w:tcPr>
          <w:p w14:paraId="1EEB132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objectified as punitive/sinister</w:t>
            </w:r>
          </w:p>
        </w:tc>
        <w:tc>
          <w:tcPr>
            <w:tcW w:w="0" w:type="auto"/>
          </w:tcPr>
          <w:p w14:paraId="019AA2E8" w14:textId="700B898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Objectified punitive pain</w:t>
            </w:r>
          </w:p>
        </w:tc>
        <w:tc>
          <w:tcPr>
            <w:tcW w:w="0" w:type="auto"/>
            <w:hideMark/>
          </w:tcPr>
          <w:p w14:paraId="3B4B0607" w14:textId="07BBD97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4833173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Sensory Qualities &amp; Metaphors</w:t>
            </w:r>
          </w:p>
        </w:tc>
      </w:tr>
      <w:tr w:rsidR="00F34D15" w:rsidRPr="00732EED" w14:paraId="499FA54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933194C" w14:textId="77777777" w:rsidR="00F34D15" w:rsidRPr="00732EED" w:rsidRDefault="00F34D15" w:rsidP="00F34D15">
            <w:pPr>
              <w:rPr>
                <w:sz w:val="18"/>
                <w:szCs w:val="18"/>
              </w:rPr>
            </w:pPr>
            <w:r w:rsidRPr="00732EED">
              <w:rPr>
                <w:sz w:val="18"/>
                <w:szCs w:val="18"/>
              </w:rPr>
              <w:t>23</w:t>
            </w:r>
          </w:p>
        </w:tc>
        <w:tc>
          <w:tcPr>
            <w:tcW w:w="0" w:type="auto"/>
            <w:hideMark/>
          </w:tcPr>
          <w:p w14:paraId="085E389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Transition from self before pain to self with pain</w:t>
            </w:r>
          </w:p>
        </w:tc>
        <w:tc>
          <w:tcPr>
            <w:tcW w:w="0" w:type="auto"/>
          </w:tcPr>
          <w:p w14:paraId="4FB3C10E" w14:textId="05A88EF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Self-transition</w:t>
            </w:r>
          </w:p>
        </w:tc>
        <w:tc>
          <w:tcPr>
            <w:tcW w:w="0" w:type="auto"/>
            <w:hideMark/>
          </w:tcPr>
          <w:p w14:paraId="21AE2412" w14:textId="422B578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30AA7BE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28AB51E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C9492C0" w14:textId="77777777" w:rsidR="00F34D15" w:rsidRPr="00732EED" w:rsidRDefault="00F34D15" w:rsidP="00F34D15">
            <w:pPr>
              <w:rPr>
                <w:sz w:val="18"/>
                <w:szCs w:val="18"/>
              </w:rPr>
            </w:pPr>
            <w:r w:rsidRPr="00732EED">
              <w:rPr>
                <w:sz w:val="18"/>
                <w:szCs w:val="18"/>
              </w:rPr>
              <w:t>24</w:t>
            </w:r>
          </w:p>
        </w:tc>
        <w:tc>
          <w:tcPr>
            <w:tcW w:w="0" w:type="auto"/>
            <w:hideMark/>
          </w:tcPr>
          <w:p w14:paraId="3ACE903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Oppressive intrusion on self-identity</w:t>
            </w:r>
          </w:p>
        </w:tc>
        <w:tc>
          <w:tcPr>
            <w:tcW w:w="0" w:type="auto"/>
          </w:tcPr>
          <w:p w14:paraId="730B178F" w14:textId="2E822C3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Identity intrusion</w:t>
            </w:r>
          </w:p>
        </w:tc>
        <w:tc>
          <w:tcPr>
            <w:tcW w:w="0" w:type="auto"/>
            <w:hideMark/>
          </w:tcPr>
          <w:p w14:paraId="217E635F" w14:textId="11C7C27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08B6F68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600A51B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F714083" w14:textId="77777777" w:rsidR="00F34D15" w:rsidRPr="00732EED" w:rsidRDefault="00F34D15" w:rsidP="00F34D15">
            <w:pPr>
              <w:rPr>
                <w:sz w:val="18"/>
                <w:szCs w:val="18"/>
              </w:rPr>
            </w:pPr>
            <w:r w:rsidRPr="00732EED">
              <w:rPr>
                <w:sz w:val="18"/>
                <w:szCs w:val="18"/>
              </w:rPr>
              <w:t>24</w:t>
            </w:r>
          </w:p>
        </w:tc>
        <w:tc>
          <w:tcPr>
            <w:tcW w:w="0" w:type="auto"/>
            <w:hideMark/>
          </w:tcPr>
          <w:p w14:paraId="46C4D3A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strains</w:t>
            </w:r>
          </w:p>
        </w:tc>
        <w:tc>
          <w:tcPr>
            <w:tcW w:w="0" w:type="auto"/>
          </w:tcPr>
          <w:p w14:paraId="3BD2DA5E" w14:textId="52E63B0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strain</w:t>
            </w:r>
          </w:p>
        </w:tc>
        <w:tc>
          <w:tcPr>
            <w:tcW w:w="0" w:type="auto"/>
            <w:hideMark/>
          </w:tcPr>
          <w:p w14:paraId="07F7B2DD" w14:textId="11263AF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449586E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Dynamics</w:t>
            </w:r>
          </w:p>
        </w:tc>
      </w:tr>
      <w:tr w:rsidR="00F34D15" w:rsidRPr="00732EED" w14:paraId="0256E1F1"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6ECACA0" w14:textId="77777777" w:rsidR="00F34D15" w:rsidRPr="00732EED" w:rsidRDefault="00F34D15" w:rsidP="00F34D15">
            <w:pPr>
              <w:rPr>
                <w:sz w:val="18"/>
                <w:szCs w:val="18"/>
              </w:rPr>
            </w:pPr>
            <w:r w:rsidRPr="00732EED">
              <w:rPr>
                <w:sz w:val="18"/>
                <w:szCs w:val="18"/>
              </w:rPr>
              <w:t>24</w:t>
            </w:r>
          </w:p>
        </w:tc>
        <w:tc>
          <w:tcPr>
            <w:tcW w:w="0" w:type="auto"/>
            <w:hideMark/>
          </w:tcPr>
          <w:p w14:paraId="40A727E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 of income/job opportunities</w:t>
            </w:r>
          </w:p>
        </w:tc>
        <w:tc>
          <w:tcPr>
            <w:tcW w:w="0" w:type="auto"/>
          </w:tcPr>
          <w:p w14:paraId="3E78C720" w14:textId="6574471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Economic/work loss</w:t>
            </w:r>
          </w:p>
        </w:tc>
        <w:tc>
          <w:tcPr>
            <w:tcW w:w="0" w:type="auto"/>
            <w:hideMark/>
          </w:tcPr>
          <w:p w14:paraId="67B1AD97" w14:textId="4842653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265D654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Work &amp; Return to Work</w:t>
            </w:r>
          </w:p>
        </w:tc>
      </w:tr>
      <w:tr w:rsidR="00F34D15" w:rsidRPr="00732EED" w14:paraId="460A97F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A268DBA" w14:textId="77777777" w:rsidR="00F34D15" w:rsidRPr="00732EED" w:rsidRDefault="00F34D15" w:rsidP="00F34D15">
            <w:pPr>
              <w:rPr>
                <w:sz w:val="18"/>
                <w:szCs w:val="18"/>
              </w:rPr>
            </w:pPr>
            <w:r w:rsidRPr="00732EED">
              <w:rPr>
                <w:sz w:val="18"/>
                <w:szCs w:val="18"/>
              </w:rPr>
              <w:t>24</w:t>
            </w:r>
          </w:p>
        </w:tc>
        <w:tc>
          <w:tcPr>
            <w:tcW w:w="0" w:type="auto"/>
            <w:hideMark/>
          </w:tcPr>
          <w:p w14:paraId="1417F4B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withdrawal</w:t>
            </w:r>
          </w:p>
        </w:tc>
        <w:tc>
          <w:tcPr>
            <w:tcW w:w="0" w:type="auto"/>
          </w:tcPr>
          <w:p w14:paraId="3CD0D8EA" w14:textId="38D8811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withdrawal</w:t>
            </w:r>
          </w:p>
        </w:tc>
        <w:tc>
          <w:tcPr>
            <w:tcW w:w="0" w:type="auto"/>
            <w:hideMark/>
          </w:tcPr>
          <w:p w14:paraId="7614AACF" w14:textId="57A6142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11E9B13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4C0B76DC"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F75467C" w14:textId="77777777" w:rsidR="00F34D15" w:rsidRPr="00732EED" w:rsidRDefault="00F34D15" w:rsidP="00F34D15">
            <w:pPr>
              <w:rPr>
                <w:sz w:val="18"/>
                <w:szCs w:val="18"/>
              </w:rPr>
            </w:pPr>
            <w:r w:rsidRPr="00732EED">
              <w:rPr>
                <w:sz w:val="18"/>
                <w:szCs w:val="18"/>
              </w:rPr>
              <w:t>24</w:t>
            </w:r>
          </w:p>
        </w:tc>
        <w:tc>
          <w:tcPr>
            <w:tcW w:w="0" w:type="auto"/>
            <w:hideMark/>
          </w:tcPr>
          <w:p w14:paraId="711DD5C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Dissatisfaction with healthcare/clinicians</w:t>
            </w:r>
          </w:p>
        </w:tc>
        <w:tc>
          <w:tcPr>
            <w:tcW w:w="0" w:type="auto"/>
          </w:tcPr>
          <w:p w14:paraId="31248099" w14:textId="64DC541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 dissatisfaction</w:t>
            </w:r>
          </w:p>
        </w:tc>
        <w:tc>
          <w:tcPr>
            <w:tcW w:w="0" w:type="auto"/>
            <w:hideMark/>
          </w:tcPr>
          <w:p w14:paraId="209EAE6D" w14:textId="192CE32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0296469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5A2681E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EDBBA40" w14:textId="77777777" w:rsidR="00F34D15" w:rsidRPr="00732EED" w:rsidRDefault="00F34D15" w:rsidP="00F34D15">
            <w:pPr>
              <w:rPr>
                <w:sz w:val="18"/>
                <w:szCs w:val="18"/>
              </w:rPr>
            </w:pPr>
            <w:r w:rsidRPr="00732EED">
              <w:rPr>
                <w:sz w:val="18"/>
                <w:szCs w:val="18"/>
              </w:rPr>
              <w:t>24</w:t>
            </w:r>
          </w:p>
        </w:tc>
        <w:tc>
          <w:tcPr>
            <w:tcW w:w="0" w:type="auto"/>
            <w:hideMark/>
          </w:tcPr>
          <w:p w14:paraId="7E850B6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Self-management/live with pain</w:t>
            </w:r>
          </w:p>
        </w:tc>
        <w:tc>
          <w:tcPr>
            <w:tcW w:w="0" w:type="auto"/>
          </w:tcPr>
          <w:p w14:paraId="4D843AC7" w14:textId="739324A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Self-management adaptation</w:t>
            </w:r>
          </w:p>
        </w:tc>
        <w:tc>
          <w:tcPr>
            <w:tcW w:w="0" w:type="auto"/>
            <w:hideMark/>
          </w:tcPr>
          <w:p w14:paraId="51136CD2" w14:textId="0C94C58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71429E9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1F49FB0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2517699" w14:textId="77777777" w:rsidR="00F34D15" w:rsidRPr="00732EED" w:rsidRDefault="00F34D15" w:rsidP="00F34D15">
            <w:pPr>
              <w:rPr>
                <w:sz w:val="18"/>
                <w:szCs w:val="18"/>
              </w:rPr>
            </w:pPr>
            <w:r w:rsidRPr="00732EED">
              <w:rPr>
                <w:sz w:val="18"/>
                <w:szCs w:val="18"/>
              </w:rPr>
              <w:t>25</w:t>
            </w:r>
          </w:p>
        </w:tc>
        <w:tc>
          <w:tcPr>
            <w:tcW w:w="0" w:type="auto"/>
            <w:hideMark/>
          </w:tcPr>
          <w:p w14:paraId="5A3F879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affects whole person</w:t>
            </w:r>
          </w:p>
        </w:tc>
        <w:tc>
          <w:tcPr>
            <w:tcW w:w="0" w:type="auto"/>
          </w:tcPr>
          <w:p w14:paraId="12B4F965" w14:textId="6EF16E1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Whole-person pain impact</w:t>
            </w:r>
          </w:p>
        </w:tc>
        <w:tc>
          <w:tcPr>
            <w:tcW w:w="0" w:type="auto"/>
            <w:hideMark/>
          </w:tcPr>
          <w:p w14:paraId="5241E561" w14:textId="2ED8824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45098A3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Suffering &amp; Distress</w:t>
            </w:r>
          </w:p>
        </w:tc>
      </w:tr>
      <w:tr w:rsidR="00F34D15" w:rsidRPr="00732EED" w14:paraId="485B97E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42F6539" w14:textId="77777777" w:rsidR="00F34D15" w:rsidRPr="00732EED" w:rsidRDefault="00F34D15" w:rsidP="00F34D15">
            <w:pPr>
              <w:rPr>
                <w:sz w:val="18"/>
                <w:szCs w:val="18"/>
              </w:rPr>
            </w:pPr>
            <w:r w:rsidRPr="00732EED">
              <w:rPr>
                <w:sz w:val="18"/>
                <w:szCs w:val="18"/>
              </w:rPr>
              <w:t>25</w:t>
            </w:r>
          </w:p>
        </w:tc>
        <w:tc>
          <w:tcPr>
            <w:tcW w:w="0" w:type="auto"/>
            <w:hideMark/>
          </w:tcPr>
          <w:p w14:paraId="594B325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Distress</w:t>
            </w:r>
          </w:p>
        </w:tc>
        <w:tc>
          <w:tcPr>
            <w:tcW w:w="0" w:type="auto"/>
          </w:tcPr>
          <w:p w14:paraId="29F755C0" w14:textId="3F1918F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Distress</w:t>
            </w:r>
          </w:p>
        </w:tc>
        <w:tc>
          <w:tcPr>
            <w:tcW w:w="0" w:type="auto"/>
            <w:hideMark/>
          </w:tcPr>
          <w:p w14:paraId="34D63BF2" w14:textId="2EFA0E8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19C689A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Suffering &amp; Distress</w:t>
            </w:r>
          </w:p>
        </w:tc>
      </w:tr>
      <w:tr w:rsidR="00F34D15" w:rsidRPr="00732EED" w14:paraId="187CF48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CDEEB0E" w14:textId="77777777" w:rsidR="00F34D15" w:rsidRPr="00732EED" w:rsidRDefault="00F34D15" w:rsidP="00F34D15">
            <w:pPr>
              <w:rPr>
                <w:sz w:val="18"/>
                <w:szCs w:val="18"/>
              </w:rPr>
            </w:pPr>
            <w:r w:rsidRPr="00732EED">
              <w:rPr>
                <w:sz w:val="18"/>
                <w:szCs w:val="18"/>
              </w:rPr>
              <w:t>25</w:t>
            </w:r>
          </w:p>
        </w:tc>
        <w:tc>
          <w:tcPr>
            <w:tcW w:w="0" w:type="auto"/>
            <w:hideMark/>
          </w:tcPr>
          <w:p w14:paraId="0EEC612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Loneliness</w:t>
            </w:r>
          </w:p>
        </w:tc>
        <w:tc>
          <w:tcPr>
            <w:tcW w:w="0" w:type="auto"/>
          </w:tcPr>
          <w:p w14:paraId="1C53AF1C" w14:textId="40E0510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Loneliness</w:t>
            </w:r>
          </w:p>
        </w:tc>
        <w:tc>
          <w:tcPr>
            <w:tcW w:w="0" w:type="auto"/>
            <w:hideMark/>
          </w:tcPr>
          <w:p w14:paraId="1D5748AB" w14:textId="380DC3B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388B908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Isolation</w:t>
            </w:r>
          </w:p>
        </w:tc>
      </w:tr>
      <w:tr w:rsidR="00F34D15" w:rsidRPr="00732EED" w14:paraId="3A7C093E"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CBC962A" w14:textId="77777777" w:rsidR="00F34D15" w:rsidRPr="00732EED" w:rsidRDefault="00F34D15" w:rsidP="00F34D15">
            <w:pPr>
              <w:rPr>
                <w:sz w:val="18"/>
                <w:szCs w:val="18"/>
              </w:rPr>
            </w:pPr>
            <w:r w:rsidRPr="00732EED">
              <w:rPr>
                <w:sz w:val="18"/>
                <w:szCs w:val="18"/>
              </w:rPr>
              <w:t>25</w:t>
            </w:r>
          </w:p>
        </w:tc>
        <w:tc>
          <w:tcPr>
            <w:tcW w:w="0" w:type="auto"/>
            <w:hideMark/>
          </w:tcPr>
          <w:p w14:paraId="39D97D8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Lost identity</w:t>
            </w:r>
          </w:p>
        </w:tc>
        <w:tc>
          <w:tcPr>
            <w:tcW w:w="0" w:type="auto"/>
          </w:tcPr>
          <w:p w14:paraId="0D5E79BE" w14:textId="7891D02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Lost identity</w:t>
            </w:r>
          </w:p>
        </w:tc>
        <w:tc>
          <w:tcPr>
            <w:tcW w:w="0" w:type="auto"/>
            <w:hideMark/>
          </w:tcPr>
          <w:p w14:paraId="67B2A88B" w14:textId="70D1148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4BF8D54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1959250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37B5F06" w14:textId="77777777" w:rsidR="00F34D15" w:rsidRPr="00732EED" w:rsidRDefault="00F34D15" w:rsidP="00F34D15">
            <w:pPr>
              <w:rPr>
                <w:sz w:val="18"/>
                <w:szCs w:val="18"/>
              </w:rPr>
            </w:pPr>
            <w:r w:rsidRPr="00732EED">
              <w:rPr>
                <w:sz w:val="18"/>
                <w:szCs w:val="18"/>
              </w:rPr>
              <w:t>25</w:t>
            </w:r>
          </w:p>
        </w:tc>
        <w:tc>
          <w:tcPr>
            <w:tcW w:w="0" w:type="auto"/>
            <w:hideMark/>
          </w:tcPr>
          <w:p w14:paraId="6EF9384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 quality of life</w:t>
            </w:r>
          </w:p>
        </w:tc>
        <w:tc>
          <w:tcPr>
            <w:tcW w:w="0" w:type="auto"/>
          </w:tcPr>
          <w:p w14:paraId="1AA9227A" w14:textId="0CEAB0F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Impaired quality of life</w:t>
            </w:r>
          </w:p>
        </w:tc>
        <w:tc>
          <w:tcPr>
            <w:tcW w:w="0" w:type="auto"/>
            <w:hideMark/>
          </w:tcPr>
          <w:p w14:paraId="69F1DAFB" w14:textId="63AC2B6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7E6AB68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Limitations &amp; Disability</w:t>
            </w:r>
          </w:p>
        </w:tc>
      </w:tr>
      <w:tr w:rsidR="00F34D15" w:rsidRPr="00732EED" w14:paraId="024D351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BEF5CF6" w14:textId="77777777" w:rsidR="00F34D15" w:rsidRPr="00732EED" w:rsidRDefault="00F34D15" w:rsidP="00F34D15">
            <w:pPr>
              <w:rPr>
                <w:sz w:val="18"/>
                <w:szCs w:val="18"/>
              </w:rPr>
            </w:pPr>
            <w:r w:rsidRPr="00732EED">
              <w:rPr>
                <w:sz w:val="18"/>
                <w:szCs w:val="18"/>
              </w:rPr>
              <w:t>26</w:t>
            </w:r>
          </w:p>
        </w:tc>
        <w:tc>
          <w:tcPr>
            <w:tcW w:w="0" w:type="auto"/>
            <w:hideMark/>
          </w:tcPr>
          <w:p w14:paraId="78CDF8C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Rejection by healthcare/social security system</w:t>
            </w:r>
          </w:p>
        </w:tc>
        <w:tc>
          <w:tcPr>
            <w:tcW w:w="0" w:type="auto"/>
          </w:tcPr>
          <w:p w14:paraId="3BD8EAA8" w14:textId="229312D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Systemic rejection</w:t>
            </w:r>
          </w:p>
        </w:tc>
        <w:tc>
          <w:tcPr>
            <w:tcW w:w="0" w:type="auto"/>
            <w:hideMark/>
          </w:tcPr>
          <w:p w14:paraId="10CE8321" w14:textId="0BEBC14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5D89345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7079921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6FB8C19" w14:textId="77777777" w:rsidR="00F34D15" w:rsidRPr="00732EED" w:rsidRDefault="00F34D15" w:rsidP="00F34D15">
            <w:pPr>
              <w:rPr>
                <w:sz w:val="18"/>
                <w:szCs w:val="18"/>
              </w:rPr>
            </w:pPr>
            <w:r w:rsidRPr="00732EED">
              <w:rPr>
                <w:sz w:val="18"/>
                <w:szCs w:val="18"/>
              </w:rPr>
              <w:lastRenderedPageBreak/>
              <w:t>26</w:t>
            </w:r>
          </w:p>
        </w:tc>
        <w:tc>
          <w:tcPr>
            <w:tcW w:w="0" w:type="auto"/>
            <w:hideMark/>
          </w:tcPr>
          <w:p w14:paraId="5B3A90D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Being disbelieved</w:t>
            </w:r>
          </w:p>
        </w:tc>
        <w:tc>
          <w:tcPr>
            <w:tcW w:w="0" w:type="auto"/>
          </w:tcPr>
          <w:p w14:paraId="569D918B" w14:textId="7F46EDF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Being disbelieved</w:t>
            </w:r>
          </w:p>
        </w:tc>
        <w:tc>
          <w:tcPr>
            <w:tcW w:w="0" w:type="auto"/>
            <w:hideMark/>
          </w:tcPr>
          <w:p w14:paraId="70D49A2B" w14:textId="2920046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272B57B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0579385A"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2E7AFC5" w14:textId="77777777" w:rsidR="00F34D15" w:rsidRPr="00732EED" w:rsidRDefault="00F34D15" w:rsidP="00F34D15">
            <w:pPr>
              <w:rPr>
                <w:sz w:val="18"/>
                <w:szCs w:val="18"/>
              </w:rPr>
            </w:pPr>
            <w:r w:rsidRPr="00732EED">
              <w:rPr>
                <w:sz w:val="18"/>
                <w:szCs w:val="18"/>
              </w:rPr>
              <w:t>26</w:t>
            </w:r>
          </w:p>
        </w:tc>
        <w:tc>
          <w:tcPr>
            <w:tcW w:w="0" w:type="auto"/>
            <w:hideMark/>
          </w:tcPr>
          <w:p w14:paraId="0D4EB97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Denying pain / underrating symptoms</w:t>
            </w:r>
          </w:p>
        </w:tc>
        <w:tc>
          <w:tcPr>
            <w:tcW w:w="0" w:type="auto"/>
          </w:tcPr>
          <w:p w14:paraId="7B71FDF6" w14:textId="5F24F6F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Symptom invalidation</w:t>
            </w:r>
          </w:p>
        </w:tc>
        <w:tc>
          <w:tcPr>
            <w:tcW w:w="0" w:type="auto"/>
            <w:hideMark/>
          </w:tcPr>
          <w:p w14:paraId="202DB3BF" w14:textId="7DA6B55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1455629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7E07EAB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6738FDB" w14:textId="77777777" w:rsidR="00F34D15" w:rsidRPr="00732EED" w:rsidRDefault="00F34D15" w:rsidP="00F34D15">
            <w:pPr>
              <w:rPr>
                <w:sz w:val="18"/>
                <w:szCs w:val="18"/>
              </w:rPr>
            </w:pPr>
            <w:r w:rsidRPr="00732EED">
              <w:rPr>
                <w:sz w:val="18"/>
                <w:szCs w:val="18"/>
              </w:rPr>
              <w:t>26</w:t>
            </w:r>
          </w:p>
        </w:tc>
        <w:tc>
          <w:tcPr>
            <w:tcW w:w="0" w:type="auto"/>
            <w:hideMark/>
          </w:tcPr>
          <w:p w14:paraId="6A62746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is in your head</w:t>
            </w:r>
          </w:p>
        </w:tc>
        <w:tc>
          <w:tcPr>
            <w:tcW w:w="0" w:type="auto"/>
          </w:tcPr>
          <w:p w14:paraId="3A9B9DAF" w14:textId="2823963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Psychologized pain</w:t>
            </w:r>
          </w:p>
        </w:tc>
        <w:tc>
          <w:tcPr>
            <w:tcW w:w="0" w:type="auto"/>
            <w:hideMark/>
          </w:tcPr>
          <w:p w14:paraId="5E185936" w14:textId="02436D6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6723613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&amp; Malingering</w:t>
            </w:r>
          </w:p>
        </w:tc>
      </w:tr>
      <w:tr w:rsidR="00F34D15" w:rsidRPr="00732EED" w14:paraId="38871933"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0C3DC47" w14:textId="77777777" w:rsidR="00F34D15" w:rsidRPr="00732EED" w:rsidRDefault="00F34D15" w:rsidP="00F34D15">
            <w:pPr>
              <w:rPr>
                <w:sz w:val="18"/>
                <w:szCs w:val="18"/>
              </w:rPr>
            </w:pPr>
            <w:r w:rsidRPr="00732EED">
              <w:rPr>
                <w:sz w:val="18"/>
                <w:szCs w:val="18"/>
              </w:rPr>
              <w:t>26</w:t>
            </w:r>
          </w:p>
        </w:tc>
        <w:tc>
          <w:tcPr>
            <w:tcW w:w="0" w:type="auto"/>
            <w:hideMark/>
          </w:tcPr>
          <w:p w14:paraId="44E63E0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Second-class citizen / lazy pain patient</w:t>
            </w:r>
          </w:p>
        </w:tc>
        <w:tc>
          <w:tcPr>
            <w:tcW w:w="0" w:type="auto"/>
          </w:tcPr>
          <w:p w14:paraId="4CDF1B35" w14:textId="7847453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Moral devaluation</w:t>
            </w:r>
          </w:p>
        </w:tc>
        <w:tc>
          <w:tcPr>
            <w:tcW w:w="0" w:type="auto"/>
            <w:hideMark/>
          </w:tcPr>
          <w:p w14:paraId="4FE648CA" w14:textId="5BC4142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50835AB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r>
      <w:tr w:rsidR="00F34D15" w:rsidRPr="00732EED" w14:paraId="3CDD0AB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DE9C6F" w14:textId="77777777" w:rsidR="00F34D15" w:rsidRPr="00732EED" w:rsidRDefault="00F34D15" w:rsidP="00F34D15">
            <w:pPr>
              <w:rPr>
                <w:sz w:val="18"/>
                <w:szCs w:val="18"/>
              </w:rPr>
            </w:pPr>
            <w:r w:rsidRPr="00732EED">
              <w:rPr>
                <w:sz w:val="18"/>
                <w:szCs w:val="18"/>
              </w:rPr>
              <w:t>27</w:t>
            </w:r>
          </w:p>
        </w:tc>
        <w:tc>
          <w:tcPr>
            <w:tcW w:w="0" w:type="auto"/>
            <w:hideMark/>
          </w:tcPr>
          <w:p w14:paraId="44241F2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State of reflection</w:t>
            </w:r>
          </w:p>
        </w:tc>
        <w:tc>
          <w:tcPr>
            <w:tcW w:w="0" w:type="auto"/>
          </w:tcPr>
          <w:p w14:paraId="4164FF2A" w14:textId="61379C3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Reflection</w:t>
            </w:r>
          </w:p>
        </w:tc>
        <w:tc>
          <w:tcPr>
            <w:tcW w:w="0" w:type="auto"/>
            <w:hideMark/>
          </w:tcPr>
          <w:p w14:paraId="38CCB473" w14:textId="191D453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203374F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68DC2C4E"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6F09F31" w14:textId="77777777" w:rsidR="00F34D15" w:rsidRPr="00732EED" w:rsidRDefault="00F34D15" w:rsidP="00F34D15">
            <w:pPr>
              <w:rPr>
                <w:sz w:val="18"/>
                <w:szCs w:val="18"/>
              </w:rPr>
            </w:pPr>
            <w:r w:rsidRPr="00732EED">
              <w:rPr>
                <w:sz w:val="18"/>
                <w:szCs w:val="18"/>
              </w:rPr>
              <w:t>27</w:t>
            </w:r>
          </w:p>
        </w:tc>
        <w:tc>
          <w:tcPr>
            <w:tcW w:w="0" w:type="auto"/>
            <w:hideMark/>
          </w:tcPr>
          <w:p w14:paraId="5817E1A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Reconsidering values</w:t>
            </w:r>
          </w:p>
        </w:tc>
        <w:tc>
          <w:tcPr>
            <w:tcW w:w="0" w:type="auto"/>
          </w:tcPr>
          <w:p w14:paraId="7068CBE4" w14:textId="2D708AE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Values reconsideration</w:t>
            </w:r>
          </w:p>
        </w:tc>
        <w:tc>
          <w:tcPr>
            <w:tcW w:w="0" w:type="auto"/>
            <w:hideMark/>
          </w:tcPr>
          <w:p w14:paraId="2739C9F9" w14:textId="57BA8A3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6F060F4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766417B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19CA15F" w14:textId="77777777" w:rsidR="00F34D15" w:rsidRPr="00732EED" w:rsidRDefault="00F34D15" w:rsidP="00F34D15">
            <w:pPr>
              <w:rPr>
                <w:sz w:val="18"/>
                <w:szCs w:val="18"/>
              </w:rPr>
            </w:pPr>
            <w:r w:rsidRPr="00732EED">
              <w:rPr>
                <w:sz w:val="18"/>
                <w:szCs w:val="18"/>
              </w:rPr>
              <w:t>27</w:t>
            </w:r>
          </w:p>
        </w:tc>
        <w:tc>
          <w:tcPr>
            <w:tcW w:w="0" w:type="auto"/>
            <w:hideMark/>
          </w:tcPr>
          <w:p w14:paraId="50E7AF1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of pain</w:t>
            </w:r>
          </w:p>
        </w:tc>
        <w:tc>
          <w:tcPr>
            <w:tcW w:w="0" w:type="auto"/>
          </w:tcPr>
          <w:p w14:paraId="10124E28" w14:textId="518C833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of pain</w:t>
            </w:r>
          </w:p>
        </w:tc>
        <w:tc>
          <w:tcPr>
            <w:tcW w:w="0" w:type="auto"/>
            <w:hideMark/>
          </w:tcPr>
          <w:p w14:paraId="63344584" w14:textId="3EB5BB2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675BBC1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5B701D3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8EE2AB4" w14:textId="77777777" w:rsidR="00F34D15" w:rsidRPr="00732EED" w:rsidRDefault="00F34D15" w:rsidP="00F34D15">
            <w:pPr>
              <w:rPr>
                <w:sz w:val="18"/>
                <w:szCs w:val="18"/>
              </w:rPr>
            </w:pPr>
            <w:r w:rsidRPr="00732EED">
              <w:rPr>
                <w:sz w:val="18"/>
                <w:szCs w:val="18"/>
              </w:rPr>
              <w:t>27</w:t>
            </w:r>
          </w:p>
        </w:tc>
        <w:tc>
          <w:tcPr>
            <w:tcW w:w="0" w:type="auto"/>
            <w:hideMark/>
          </w:tcPr>
          <w:p w14:paraId="63E9452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network</w:t>
            </w:r>
          </w:p>
        </w:tc>
        <w:tc>
          <w:tcPr>
            <w:tcW w:w="0" w:type="auto"/>
          </w:tcPr>
          <w:p w14:paraId="0D892BC3" w14:textId="1693F9D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network</w:t>
            </w:r>
          </w:p>
        </w:tc>
        <w:tc>
          <w:tcPr>
            <w:tcW w:w="0" w:type="auto"/>
            <w:hideMark/>
          </w:tcPr>
          <w:p w14:paraId="070FF76A" w14:textId="0189E86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0A93611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093EF1DA"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71E0C1D" w14:textId="77777777" w:rsidR="00F34D15" w:rsidRPr="00732EED" w:rsidRDefault="00F34D15" w:rsidP="00F34D15">
            <w:pPr>
              <w:rPr>
                <w:sz w:val="18"/>
                <w:szCs w:val="18"/>
              </w:rPr>
            </w:pPr>
            <w:r w:rsidRPr="00732EED">
              <w:rPr>
                <w:sz w:val="18"/>
                <w:szCs w:val="18"/>
              </w:rPr>
              <w:t>27</w:t>
            </w:r>
          </w:p>
        </w:tc>
        <w:tc>
          <w:tcPr>
            <w:tcW w:w="0" w:type="auto"/>
            <w:hideMark/>
          </w:tcPr>
          <w:p w14:paraId="56C3B0C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Altered self</w:t>
            </w:r>
          </w:p>
        </w:tc>
        <w:tc>
          <w:tcPr>
            <w:tcW w:w="0" w:type="auto"/>
          </w:tcPr>
          <w:p w14:paraId="2BFE7D69" w14:textId="45E5049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Altered self</w:t>
            </w:r>
          </w:p>
        </w:tc>
        <w:tc>
          <w:tcPr>
            <w:tcW w:w="0" w:type="auto"/>
            <w:hideMark/>
          </w:tcPr>
          <w:p w14:paraId="2C612F56" w14:textId="6BB3222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2761D1C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4CC5FEF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ED0E8AC" w14:textId="77777777" w:rsidR="00F34D15" w:rsidRPr="00732EED" w:rsidRDefault="00F34D15" w:rsidP="00F34D15">
            <w:pPr>
              <w:rPr>
                <w:sz w:val="18"/>
                <w:szCs w:val="18"/>
              </w:rPr>
            </w:pPr>
            <w:r w:rsidRPr="00732EED">
              <w:rPr>
                <w:sz w:val="18"/>
                <w:szCs w:val="18"/>
              </w:rPr>
              <w:t>27</w:t>
            </w:r>
          </w:p>
        </w:tc>
        <w:tc>
          <w:tcPr>
            <w:tcW w:w="0" w:type="auto"/>
            <w:hideMark/>
          </w:tcPr>
          <w:p w14:paraId="3F7AFC5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Joys in life</w:t>
            </w:r>
          </w:p>
        </w:tc>
        <w:tc>
          <w:tcPr>
            <w:tcW w:w="0" w:type="auto"/>
          </w:tcPr>
          <w:p w14:paraId="6133AD95" w14:textId="7DEE4AB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Joys in life</w:t>
            </w:r>
          </w:p>
        </w:tc>
        <w:tc>
          <w:tcPr>
            <w:tcW w:w="0" w:type="auto"/>
            <w:hideMark/>
          </w:tcPr>
          <w:p w14:paraId="6C2F074B" w14:textId="5DD25D5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6337ADD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27AF9C6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2D3C5DD" w14:textId="77777777" w:rsidR="00F34D15" w:rsidRPr="00732EED" w:rsidRDefault="00F34D15" w:rsidP="00F34D15">
            <w:pPr>
              <w:rPr>
                <w:sz w:val="18"/>
                <w:szCs w:val="18"/>
              </w:rPr>
            </w:pPr>
            <w:r w:rsidRPr="00732EED">
              <w:rPr>
                <w:sz w:val="18"/>
                <w:szCs w:val="18"/>
              </w:rPr>
              <w:t>27</w:t>
            </w:r>
          </w:p>
        </w:tc>
        <w:tc>
          <w:tcPr>
            <w:tcW w:w="0" w:type="auto"/>
            <w:hideMark/>
          </w:tcPr>
          <w:p w14:paraId="715A919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dissociation</w:t>
            </w:r>
          </w:p>
        </w:tc>
        <w:tc>
          <w:tcPr>
            <w:tcW w:w="0" w:type="auto"/>
          </w:tcPr>
          <w:p w14:paraId="3C5799BB" w14:textId="39B4D58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Dissociation from pain</w:t>
            </w:r>
          </w:p>
        </w:tc>
        <w:tc>
          <w:tcPr>
            <w:tcW w:w="0" w:type="auto"/>
            <w:hideMark/>
          </w:tcPr>
          <w:p w14:paraId="3A9033AF" w14:textId="2D29FC9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491B94B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Illness Representations / Models</w:t>
            </w:r>
          </w:p>
        </w:tc>
      </w:tr>
      <w:tr w:rsidR="00F34D15" w:rsidRPr="00732EED" w14:paraId="7BF61873"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7104043" w14:textId="77777777" w:rsidR="00F34D15" w:rsidRPr="00732EED" w:rsidRDefault="00F34D15" w:rsidP="00F34D15">
            <w:pPr>
              <w:rPr>
                <w:sz w:val="18"/>
                <w:szCs w:val="18"/>
              </w:rPr>
            </w:pPr>
            <w:r w:rsidRPr="00732EED">
              <w:rPr>
                <w:sz w:val="18"/>
                <w:szCs w:val="18"/>
              </w:rPr>
              <w:t>28</w:t>
            </w:r>
          </w:p>
        </w:tc>
        <w:tc>
          <w:tcPr>
            <w:tcW w:w="0" w:type="auto"/>
            <w:hideMark/>
          </w:tcPr>
          <w:p w14:paraId="657E153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Different lived body</w:t>
            </w:r>
          </w:p>
        </w:tc>
        <w:tc>
          <w:tcPr>
            <w:tcW w:w="0" w:type="auto"/>
          </w:tcPr>
          <w:p w14:paraId="3BF0F796" w14:textId="6970528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Changed lived body</w:t>
            </w:r>
          </w:p>
        </w:tc>
        <w:tc>
          <w:tcPr>
            <w:tcW w:w="0" w:type="auto"/>
            <w:hideMark/>
          </w:tcPr>
          <w:p w14:paraId="30FFE440" w14:textId="47F5685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63E430D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&amp; Symptom Burden</w:t>
            </w:r>
          </w:p>
        </w:tc>
      </w:tr>
      <w:tr w:rsidR="00F34D15" w:rsidRPr="00732EED" w14:paraId="042ED11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B14F64E" w14:textId="77777777" w:rsidR="00F34D15" w:rsidRPr="00732EED" w:rsidRDefault="00F34D15" w:rsidP="00F34D15">
            <w:pPr>
              <w:rPr>
                <w:sz w:val="18"/>
                <w:szCs w:val="18"/>
              </w:rPr>
            </w:pPr>
            <w:r w:rsidRPr="00732EED">
              <w:rPr>
                <w:sz w:val="18"/>
                <w:szCs w:val="18"/>
              </w:rPr>
              <w:t>28</w:t>
            </w:r>
          </w:p>
        </w:tc>
        <w:tc>
          <w:tcPr>
            <w:tcW w:w="0" w:type="auto"/>
            <w:hideMark/>
          </w:tcPr>
          <w:p w14:paraId="5E39D1F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Threat to identity and self-esteem</w:t>
            </w:r>
          </w:p>
        </w:tc>
        <w:tc>
          <w:tcPr>
            <w:tcW w:w="0" w:type="auto"/>
          </w:tcPr>
          <w:p w14:paraId="7663F0FE" w14:textId="151A6DD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Identity/self-esteem threat</w:t>
            </w:r>
          </w:p>
        </w:tc>
        <w:tc>
          <w:tcPr>
            <w:tcW w:w="0" w:type="auto"/>
            <w:hideMark/>
          </w:tcPr>
          <w:p w14:paraId="6B39FE4C" w14:textId="08A6C28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2ADDA19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772EFF6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3180041" w14:textId="77777777" w:rsidR="00F34D15" w:rsidRPr="00732EED" w:rsidRDefault="00F34D15" w:rsidP="00F34D15">
            <w:pPr>
              <w:rPr>
                <w:sz w:val="18"/>
                <w:szCs w:val="18"/>
              </w:rPr>
            </w:pPr>
            <w:r w:rsidRPr="00732EED">
              <w:rPr>
                <w:sz w:val="18"/>
                <w:szCs w:val="18"/>
              </w:rPr>
              <w:t>28</w:t>
            </w:r>
          </w:p>
        </w:tc>
        <w:tc>
          <w:tcPr>
            <w:tcW w:w="0" w:type="auto"/>
            <w:hideMark/>
          </w:tcPr>
          <w:p w14:paraId="1ACE672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Diminished lifeworld</w:t>
            </w:r>
          </w:p>
        </w:tc>
        <w:tc>
          <w:tcPr>
            <w:tcW w:w="0" w:type="auto"/>
          </w:tcPr>
          <w:p w14:paraId="5F120A4A" w14:textId="31F3B8E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Diminished lifeworld</w:t>
            </w:r>
          </w:p>
        </w:tc>
        <w:tc>
          <w:tcPr>
            <w:tcW w:w="0" w:type="auto"/>
            <w:hideMark/>
          </w:tcPr>
          <w:p w14:paraId="7B570239" w14:textId="2C63A3D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53FD4F7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1046FBB2"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108C8BD" w14:textId="77777777" w:rsidR="00F34D15" w:rsidRPr="00732EED" w:rsidRDefault="00F34D15" w:rsidP="00F34D15">
            <w:pPr>
              <w:rPr>
                <w:sz w:val="18"/>
                <w:szCs w:val="18"/>
              </w:rPr>
            </w:pPr>
            <w:r w:rsidRPr="00732EED">
              <w:rPr>
                <w:sz w:val="18"/>
                <w:szCs w:val="18"/>
              </w:rPr>
              <w:t>28</w:t>
            </w:r>
          </w:p>
        </w:tc>
        <w:tc>
          <w:tcPr>
            <w:tcW w:w="0" w:type="auto"/>
            <w:hideMark/>
          </w:tcPr>
          <w:p w14:paraId="2909EF0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Challenging reality</w:t>
            </w:r>
          </w:p>
        </w:tc>
        <w:tc>
          <w:tcPr>
            <w:tcW w:w="0" w:type="auto"/>
          </w:tcPr>
          <w:p w14:paraId="6D68507B" w14:textId="6E0A394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Illness-changed reality</w:t>
            </w:r>
          </w:p>
        </w:tc>
        <w:tc>
          <w:tcPr>
            <w:tcW w:w="0" w:type="auto"/>
            <w:hideMark/>
          </w:tcPr>
          <w:p w14:paraId="7D239663" w14:textId="3EB192F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594D52A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Disease Intrusiveness</w:t>
            </w:r>
          </w:p>
        </w:tc>
      </w:tr>
      <w:tr w:rsidR="00F34D15" w:rsidRPr="00732EED" w14:paraId="3271B46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E329E47" w14:textId="77777777" w:rsidR="00F34D15" w:rsidRPr="00732EED" w:rsidRDefault="00F34D15" w:rsidP="00F34D15">
            <w:pPr>
              <w:rPr>
                <w:sz w:val="18"/>
                <w:szCs w:val="18"/>
              </w:rPr>
            </w:pPr>
            <w:r w:rsidRPr="00732EED">
              <w:rPr>
                <w:sz w:val="18"/>
                <w:szCs w:val="18"/>
              </w:rPr>
              <w:t>29</w:t>
            </w:r>
          </w:p>
        </w:tc>
        <w:tc>
          <w:tcPr>
            <w:tcW w:w="0" w:type="auto"/>
            <w:hideMark/>
          </w:tcPr>
          <w:p w14:paraId="46EECFA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Struggling to understand deceiving body</w:t>
            </w:r>
          </w:p>
        </w:tc>
        <w:tc>
          <w:tcPr>
            <w:tcW w:w="0" w:type="auto"/>
          </w:tcPr>
          <w:p w14:paraId="3613482F" w14:textId="1945640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Deceiving/unpredictable body</w:t>
            </w:r>
          </w:p>
        </w:tc>
        <w:tc>
          <w:tcPr>
            <w:tcW w:w="0" w:type="auto"/>
            <w:hideMark/>
          </w:tcPr>
          <w:p w14:paraId="52A0120D" w14:textId="7EC6F1E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61E1704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Variability &amp; Mystery</w:t>
            </w:r>
          </w:p>
        </w:tc>
      </w:tr>
      <w:tr w:rsidR="00F34D15" w:rsidRPr="00732EED" w14:paraId="4A5399B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F23E1F6" w14:textId="77777777" w:rsidR="00F34D15" w:rsidRPr="00732EED" w:rsidRDefault="00F34D15" w:rsidP="00F34D15">
            <w:pPr>
              <w:rPr>
                <w:sz w:val="18"/>
                <w:szCs w:val="18"/>
              </w:rPr>
            </w:pPr>
            <w:r w:rsidRPr="00732EED">
              <w:rPr>
                <w:sz w:val="18"/>
                <w:szCs w:val="18"/>
              </w:rPr>
              <w:t>29</w:t>
            </w:r>
          </w:p>
        </w:tc>
        <w:tc>
          <w:tcPr>
            <w:tcW w:w="0" w:type="auto"/>
            <w:hideMark/>
          </w:tcPr>
          <w:p w14:paraId="2EA079D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Breakthrough pain fueling fear</w:t>
            </w:r>
          </w:p>
        </w:tc>
        <w:tc>
          <w:tcPr>
            <w:tcW w:w="0" w:type="auto"/>
          </w:tcPr>
          <w:p w14:paraId="4CC9F2FC" w14:textId="161BB37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from breakthrough pain</w:t>
            </w:r>
          </w:p>
        </w:tc>
        <w:tc>
          <w:tcPr>
            <w:tcW w:w="0" w:type="auto"/>
            <w:hideMark/>
          </w:tcPr>
          <w:p w14:paraId="5D6E7D3A" w14:textId="56FD91B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72C6F14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Anxiety &amp; Fear</w:t>
            </w:r>
          </w:p>
        </w:tc>
      </w:tr>
      <w:tr w:rsidR="00F34D15" w:rsidRPr="00732EED" w14:paraId="2459173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43CEFEE" w14:textId="77777777" w:rsidR="00F34D15" w:rsidRPr="00732EED" w:rsidRDefault="00F34D15" w:rsidP="00F34D15">
            <w:pPr>
              <w:rPr>
                <w:sz w:val="18"/>
                <w:szCs w:val="18"/>
              </w:rPr>
            </w:pPr>
            <w:r w:rsidRPr="00732EED">
              <w:rPr>
                <w:sz w:val="18"/>
                <w:szCs w:val="18"/>
              </w:rPr>
              <w:t>29</w:t>
            </w:r>
          </w:p>
        </w:tc>
        <w:tc>
          <w:tcPr>
            <w:tcW w:w="0" w:type="auto"/>
            <w:hideMark/>
          </w:tcPr>
          <w:p w14:paraId="30CD26E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Fearing trajectory into isolation</w:t>
            </w:r>
          </w:p>
        </w:tc>
        <w:tc>
          <w:tcPr>
            <w:tcW w:w="0" w:type="auto"/>
          </w:tcPr>
          <w:p w14:paraId="6F2E1C55" w14:textId="3FC0C24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Fear of isolation</w:t>
            </w:r>
          </w:p>
        </w:tc>
        <w:tc>
          <w:tcPr>
            <w:tcW w:w="0" w:type="auto"/>
            <w:hideMark/>
          </w:tcPr>
          <w:p w14:paraId="495A0A30" w14:textId="015C48E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1E45BBF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0845D95C"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8DB7DCF" w14:textId="77777777" w:rsidR="00F34D15" w:rsidRPr="00732EED" w:rsidRDefault="00F34D15" w:rsidP="00F34D15">
            <w:pPr>
              <w:rPr>
                <w:sz w:val="18"/>
                <w:szCs w:val="18"/>
              </w:rPr>
            </w:pPr>
            <w:r w:rsidRPr="00732EED">
              <w:rPr>
                <w:sz w:val="18"/>
                <w:szCs w:val="18"/>
              </w:rPr>
              <w:t>29</w:t>
            </w:r>
          </w:p>
        </w:tc>
        <w:tc>
          <w:tcPr>
            <w:tcW w:w="0" w:type="auto"/>
            <w:hideMark/>
          </w:tcPr>
          <w:p w14:paraId="67761AD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Concerns of dependency</w:t>
            </w:r>
          </w:p>
        </w:tc>
        <w:tc>
          <w:tcPr>
            <w:tcW w:w="0" w:type="auto"/>
          </w:tcPr>
          <w:p w14:paraId="7F9C9945" w14:textId="60EA2D2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Dependency concerns</w:t>
            </w:r>
          </w:p>
        </w:tc>
        <w:tc>
          <w:tcPr>
            <w:tcW w:w="0" w:type="auto"/>
            <w:hideMark/>
          </w:tcPr>
          <w:p w14:paraId="38F1274A" w14:textId="67E1380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167D12A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Autonomy &amp; Independence</w:t>
            </w:r>
          </w:p>
        </w:tc>
      </w:tr>
      <w:tr w:rsidR="00F34D15" w:rsidRPr="00732EED" w14:paraId="2F1E4EA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AB065AD" w14:textId="77777777" w:rsidR="00F34D15" w:rsidRPr="00732EED" w:rsidRDefault="00F34D15" w:rsidP="00F34D15">
            <w:pPr>
              <w:rPr>
                <w:sz w:val="18"/>
                <w:szCs w:val="18"/>
              </w:rPr>
            </w:pPr>
            <w:r w:rsidRPr="00732EED">
              <w:rPr>
                <w:sz w:val="18"/>
                <w:szCs w:val="18"/>
              </w:rPr>
              <w:t>29</w:t>
            </w:r>
          </w:p>
        </w:tc>
        <w:tc>
          <w:tcPr>
            <w:tcW w:w="0" w:type="auto"/>
            <w:hideMark/>
          </w:tcPr>
          <w:p w14:paraId="5C39941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Fearing an uncertain future</w:t>
            </w:r>
          </w:p>
        </w:tc>
        <w:tc>
          <w:tcPr>
            <w:tcW w:w="0" w:type="auto"/>
          </w:tcPr>
          <w:p w14:paraId="5D0C1FEA" w14:textId="12D2373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Uncertain future fear</w:t>
            </w:r>
          </w:p>
        </w:tc>
        <w:tc>
          <w:tcPr>
            <w:tcW w:w="0" w:type="auto"/>
            <w:hideMark/>
          </w:tcPr>
          <w:p w14:paraId="27F2DBBF" w14:textId="4059359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2AE4FA5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Anxiety &amp; Fear</w:t>
            </w:r>
          </w:p>
        </w:tc>
      </w:tr>
      <w:tr w:rsidR="00F34D15" w:rsidRPr="00732EED" w14:paraId="6E0DD06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8BBBF39" w14:textId="77777777" w:rsidR="00F34D15" w:rsidRPr="00732EED" w:rsidRDefault="00F34D15" w:rsidP="00F34D15">
            <w:pPr>
              <w:rPr>
                <w:sz w:val="18"/>
                <w:szCs w:val="18"/>
              </w:rPr>
            </w:pPr>
            <w:r w:rsidRPr="00732EED">
              <w:rPr>
                <w:sz w:val="18"/>
                <w:szCs w:val="18"/>
              </w:rPr>
              <w:t>30</w:t>
            </w:r>
          </w:p>
        </w:tc>
        <w:tc>
          <w:tcPr>
            <w:tcW w:w="0" w:type="auto"/>
            <w:hideMark/>
          </w:tcPr>
          <w:p w14:paraId="15A3B8C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unimaginable/agonizing/continuous/inescapable</w:t>
            </w:r>
          </w:p>
        </w:tc>
        <w:tc>
          <w:tcPr>
            <w:tcW w:w="0" w:type="auto"/>
          </w:tcPr>
          <w:p w14:paraId="3F561A5A" w14:textId="259BEB0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Extreme pain burden</w:t>
            </w:r>
          </w:p>
        </w:tc>
        <w:tc>
          <w:tcPr>
            <w:tcW w:w="0" w:type="auto"/>
            <w:hideMark/>
          </w:tcPr>
          <w:p w14:paraId="44F4D102" w14:textId="2481194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7F03195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&amp; Symptom Burden</w:t>
            </w:r>
          </w:p>
        </w:tc>
      </w:tr>
      <w:tr w:rsidR="00F34D15" w:rsidRPr="00732EED" w14:paraId="202CF7F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2FFE4EB" w14:textId="77777777" w:rsidR="00F34D15" w:rsidRPr="00732EED" w:rsidRDefault="00F34D15" w:rsidP="00F34D15">
            <w:pPr>
              <w:rPr>
                <w:sz w:val="18"/>
                <w:szCs w:val="18"/>
              </w:rPr>
            </w:pPr>
            <w:r w:rsidRPr="00732EED">
              <w:rPr>
                <w:sz w:val="18"/>
                <w:szCs w:val="18"/>
              </w:rPr>
              <w:t>30</w:t>
            </w:r>
          </w:p>
        </w:tc>
        <w:tc>
          <w:tcPr>
            <w:tcW w:w="0" w:type="auto"/>
            <w:hideMark/>
          </w:tcPr>
          <w:p w14:paraId="4DFDD08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almost impossible to describe</w:t>
            </w:r>
          </w:p>
        </w:tc>
        <w:tc>
          <w:tcPr>
            <w:tcW w:w="0" w:type="auto"/>
          </w:tcPr>
          <w:p w14:paraId="0D546C2E" w14:textId="6993528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Difficulty describing pain</w:t>
            </w:r>
          </w:p>
        </w:tc>
        <w:tc>
          <w:tcPr>
            <w:tcW w:w="0" w:type="auto"/>
            <w:hideMark/>
          </w:tcPr>
          <w:p w14:paraId="1D35BDFC" w14:textId="3A3C712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31C6387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Communication</w:t>
            </w:r>
          </w:p>
        </w:tc>
      </w:tr>
      <w:tr w:rsidR="00F34D15" w:rsidRPr="00732EED" w14:paraId="3AA23441"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830ADD1" w14:textId="77777777" w:rsidR="00F34D15" w:rsidRPr="00732EED" w:rsidRDefault="00F34D15" w:rsidP="00F34D15">
            <w:pPr>
              <w:rPr>
                <w:sz w:val="18"/>
                <w:szCs w:val="18"/>
              </w:rPr>
            </w:pPr>
            <w:r w:rsidRPr="00732EED">
              <w:rPr>
                <w:sz w:val="18"/>
                <w:szCs w:val="18"/>
              </w:rPr>
              <w:lastRenderedPageBreak/>
              <w:t>30</w:t>
            </w:r>
          </w:p>
        </w:tc>
        <w:tc>
          <w:tcPr>
            <w:tcW w:w="0" w:type="auto"/>
            <w:hideMark/>
          </w:tcPr>
          <w:p w14:paraId="7E891FE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that illness is managed not cured</w:t>
            </w:r>
          </w:p>
        </w:tc>
        <w:tc>
          <w:tcPr>
            <w:tcW w:w="0" w:type="auto"/>
          </w:tcPr>
          <w:p w14:paraId="383A2D72" w14:textId="53D2556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Managed-not-cured acceptance</w:t>
            </w:r>
          </w:p>
        </w:tc>
        <w:tc>
          <w:tcPr>
            <w:tcW w:w="0" w:type="auto"/>
            <w:hideMark/>
          </w:tcPr>
          <w:p w14:paraId="6D993622" w14:textId="4740949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29BE9B2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3F39270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BBB7C0C" w14:textId="77777777" w:rsidR="00F34D15" w:rsidRPr="00732EED" w:rsidRDefault="00F34D15" w:rsidP="00F34D15">
            <w:pPr>
              <w:rPr>
                <w:sz w:val="18"/>
                <w:szCs w:val="18"/>
              </w:rPr>
            </w:pPr>
            <w:r w:rsidRPr="00732EED">
              <w:rPr>
                <w:sz w:val="18"/>
                <w:szCs w:val="18"/>
              </w:rPr>
              <w:t>30</w:t>
            </w:r>
          </w:p>
        </w:tc>
        <w:tc>
          <w:tcPr>
            <w:tcW w:w="0" w:type="auto"/>
            <w:hideMark/>
          </w:tcPr>
          <w:p w14:paraId="6292E1C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Appreciate life/positive lessons</w:t>
            </w:r>
          </w:p>
        </w:tc>
        <w:tc>
          <w:tcPr>
            <w:tcW w:w="0" w:type="auto"/>
          </w:tcPr>
          <w:p w14:paraId="13CC667A" w14:textId="4723C92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Positive life lessons</w:t>
            </w:r>
          </w:p>
        </w:tc>
        <w:tc>
          <w:tcPr>
            <w:tcW w:w="0" w:type="auto"/>
            <w:hideMark/>
          </w:tcPr>
          <w:p w14:paraId="37EC6E3A" w14:textId="5AB6D72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044D863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51522A9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E9C068D" w14:textId="77777777" w:rsidR="00F34D15" w:rsidRPr="00732EED" w:rsidRDefault="00F34D15" w:rsidP="00F34D15">
            <w:pPr>
              <w:rPr>
                <w:sz w:val="18"/>
                <w:szCs w:val="18"/>
              </w:rPr>
            </w:pPr>
            <w:r w:rsidRPr="00732EED">
              <w:rPr>
                <w:sz w:val="18"/>
                <w:szCs w:val="18"/>
              </w:rPr>
              <w:t>31</w:t>
            </w:r>
          </w:p>
        </w:tc>
        <w:tc>
          <w:tcPr>
            <w:tcW w:w="0" w:type="auto"/>
            <w:hideMark/>
          </w:tcPr>
          <w:p w14:paraId="12B4071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Alteration in physical health</w:t>
            </w:r>
          </w:p>
        </w:tc>
        <w:tc>
          <w:tcPr>
            <w:tcW w:w="0" w:type="auto"/>
          </w:tcPr>
          <w:p w14:paraId="1B9B273B" w14:textId="42E9C55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Altered physical health</w:t>
            </w:r>
          </w:p>
        </w:tc>
        <w:tc>
          <w:tcPr>
            <w:tcW w:w="0" w:type="auto"/>
            <w:hideMark/>
          </w:tcPr>
          <w:p w14:paraId="1F81F712" w14:textId="566B18F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57F039F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Limitations &amp; Disability</w:t>
            </w:r>
          </w:p>
        </w:tc>
      </w:tr>
      <w:tr w:rsidR="00F34D15" w:rsidRPr="00732EED" w14:paraId="7F25D29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8395433" w14:textId="77777777" w:rsidR="00F34D15" w:rsidRPr="00732EED" w:rsidRDefault="00F34D15" w:rsidP="00F34D15">
            <w:pPr>
              <w:rPr>
                <w:sz w:val="18"/>
                <w:szCs w:val="18"/>
              </w:rPr>
            </w:pPr>
            <w:r w:rsidRPr="00732EED">
              <w:rPr>
                <w:sz w:val="18"/>
                <w:szCs w:val="18"/>
              </w:rPr>
              <w:t>31</w:t>
            </w:r>
          </w:p>
        </w:tc>
        <w:tc>
          <w:tcPr>
            <w:tcW w:w="0" w:type="auto"/>
            <w:hideMark/>
          </w:tcPr>
          <w:p w14:paraId="2A6004D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 problems</w:t>
            </w:r>
          </w:p>
        </w:tc>
        <w:tc>
          <w:tcPr>
            <w:tcW w:w="0" w:type="auto"/>
          </w:tcPr>
          <w:p w14:paraId="7A208F04" w14:textId="1D44C6C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 burden</w:t>
            </w:r>
          </w:p>
        </w:tc>
        <w:tc>
          <w:tcPr>
            <w:tcW w:w="0" w:type="auto"/>
            <w:hideMark/>
          </w:tcPr>
          <w:p w14:paraId="40A67D8E" w14:textId="20750A3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4E2B751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0E52CDF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90DCDF0" w14:textId="77777777" w:rsidR="00F34D15" w:rsidRPr="00732EED" w:rsidRDefault="00F34D15" w:rsidP="00F34D15">
            <w:pPr>
              <w:rPr>
                <w:sz w:val="18"/>
                <w:szCs w:val="18"/>
              </w:rPr>
            </w:pPr>
            <w:r w:rsidRPr="00732EED">
              <w:rPr>
                <w:sz w:val="18"/>
                <w:szCs w:val="18"/>
              </w:rPr>
              <w:t>31</w:t>
            </w:r>
          </w:p>
        </w:tc>
        <w:tc>
          <w:tcPr>
            <w:tcW w:w="0" w:type="auto"/>
            <w:hideMark/>
          </w:tcPr>
          <w:p w14:paraId="51A2689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Impairment in social relationships</w:t>
            </w:r>
          </w:p>
        </w:tc>
        <w:tc>
          <w:tcPr>
            <w:tcW w:w="0" w:type="auto"/>
          </w:tcPr>
          <w:p w14:paraId="0F3DF9D2" w14:textId="728B1CF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Impaired relationships</w:t>
            </w:r>
          </w:p>
        </w:tc>
        <w:tc>
          <w:tcPr>
            <w:tcW w:w="0" w:type="auto"/>
            <w:hideMark/>
          </w:tcPr>
          <w:p w14:paraId="5E938B73" w14:textId="608014F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5D599AC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Family Dynamics</w:t>
            </w:r>
          </w:p>
        </w:tc>
      </w:tr>
      <w:tr w:rsidR="00F34D15" w:rsidRPr="00732EED" w14:paraId="53762736"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9B44351" w14:textId="77777777" w:rsidR="00F34D15" w:rsidRPr="00732EED" w:rsidRDefault="00F34D15" w:rsidP="00F34D15">
            <w:pPr>
              <w:rPr>
                <w:sz w:val="18"/>
                <w:szCs w:val="18"/>
              </w:rPr>
            </w:pPr>
            <w:r w:rsidRPr="00732EED">
              <w:rPr>
                <w:sz w:val="18"/>
                <w:szCs w:val="18"/>
              </w:rPr>
              <w:t>32</w:t>
            </w:r>
          </w:p>
        </w:tc>
        <w:tc>
          <w:tcPr>
            <w:tcW w:w="0" w:type="auto"/>
            <w:hideMark/>
          </w:tcPr>
          <w:p w14:paraId="338731F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Recovering and returning to prior lifestyle</w:t>
            </w:r>
          </w:p>
        </w:tc>
        <w:tc>
          <w:tcPr>
            <w:tcW w:w="0" w:type="auto"/>
          </w:tcPr>
          <w:p w14:paraId="07CD741D" w14:textId="5DE2BA3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Return to former life</w:t>
            </w:r>
          </w:p>
        </w:tc>
        <w:tc>
          <w:tcPr>
            <w:tcW w:w="0" w:type="auto"/>
            <w:hideMark/>
          </w:tcPr>
          <w:p w14:paraId="6494019B" w14:textId="3710817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1D0E785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&amp; Return to Work</w:t>
            </w:r>
          </w:p>
        </w:tc>
      </w:tr>
      <w:tr w:rsidR="00F34D15" w:rsidRPr="00732EED" w14:paraId="6836E42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6CB34CE" w14:textId="77777777" w:rsidR="00F34D15" w:rsidRPr="00732EED" w:rsidRDefault="00F34D15" w:rsidP="00F34D15">
            <w:pPr>
              <w:rPr>
                <w:sz w:val="18"/>
                <w:szCs w:val="18"/>
              </w:rPr>
            </w:pPr>
            <w:r w:rsidRPr="00732EED">
              <w:rPr>
                <w:sz w:val="18"/>
                <w:szCs w:val="18"/>
              </w:rPr>
              <w:t>32</w:t>
            </w:r>
          </w:p>
        </w:tc>
        <w:tc>
          <w:tcPr>
            <w:tcW w:w="0" w:type="auto"/>
            <w:hideMark/>
          </w:tcPr>
          <w:p w14:paraId="6CB5BC2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Strict regimes to reduce pain</w:t>
            </w:r>
          </w:p>
        </w:tc>
        <w:tc>
          <w:tcPr>
            <w:tcW w:w="0" w:type="auto"/>
          </w:tcPr>
          <w:p w14:paraId="511AAA5C" w14:textId="5E0EE0A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Regimented self-management</w:t>
            </w:r>
          </w:p>
        </w:tc>
        <w:tc>
          <w:tcPr>
            <w:tcW w:w="0" w:type="auto"/>
            <w:hideMark/>
          </w:tcPr>
          <w:p w14:paraId="12FFB448" w14:textId="564C08F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76B3E3B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Activity &amp; Pacing</w:t>
            </w:r>
          </w:p>
        </w:tc>
      </w:tr>
      <w:tr w:rsidR="00F34D15" w:rsidRPr="00732EED" w14:paraId="539740D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CDBB943" w14:textId="77777777" w:rsidR="00F34D15" w:rsidRPr="00732EED" w:rsidRDefault="00F34D15" w:rsidP="00F34D15">
            <w:pPr>
              <w:rPr>
                <w:sz w:val="18"/>
                <w:szCs w:val="18"/>
              </w:rPr>
            </w:pPr>
            <w:r w:rsidRPr="00732EED">
              <w:rPr>
                <w:sz w:val="18"/>
                <w:szCs w:val="18"/>
              </w:rPr>
              <w:t>32</w:t>
            </w:r>
          </w:p>
        </w:tc>
        <w:tc>
          <w:tcPr>
            <w:tcW w:w="0" w:type="auto"/>
            <w:hideMark/>
          </w:tcPr>
          <w:p w14:paraId="345EF3F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Strategies for pain recurrence</w:t>
            </w:r>
          </w:p>
        </w:tc>
        <w:tc>
          <w:tcPr>
            <w:tcW w:w="0" w:type="auto"/>
          </w:tcPr>
          <w:p w14:paraId="1B0011AC" w14:textId="7BCDD04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Recurrence management</w:t>
            </w:r>
          </w:p>
        </w:tc>
        <w:tc>
          <w:tcPr>
            <w:tcW w:w="0" w:type="auto"/>
            <w:hideMark/>
          </w:tcPr>
          <w:p w14:paraId="39C12BA9" w14:textId="2508AAD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42B4B45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Activity &amp; Pacing</w:t>
            </w:r>
          </w:p>
        </w:tc>
      </w:tr>
      <w:tr w:rsidR="00F34D15" w:rsidRPr="00732EED" w14:paraId="572B7CA6"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CA02816" w14:textId="77777777" w:rsidR="00F34D15" w:rsidRPr="00732EED" w:rsidRDefault="00F34D15" w:rsidP="00F34D15">
            <w:pPr>
              <w:rPr>
                <w:sz w:val="18"/>
                <w:szCs w:val="18"/>
              </w:rPr>
            </w:pPr>
            <w:r w:rsidRPr="00732EED">
              <w:rPr>
                <w:sz w:val="18"/>
                <w:szCs w:val="18"/>
              </w:rPr>
              <w:t>32</w:t>
            </w:r>
          </w:p>
        </w:tc>
        <w:tc>
          <w:tcPr>
            <w:tcW w:w="0" w:type="auto"/>
            <w:hideMark/>
          </w:tcPr>
          <w:p w14:paraId="572ED0F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Functioning everyday life with pain</w:t>
            </w:r>
          </w:p>
        </w:tc>
        <w:tc>
          <w:tcPr>
            <w:tcW w:w="0" w:type="auto"/>
          </w:tcPr>
          <w:p w14:paraId="1BE7469D" w14:textId="21BCB4B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Functioning with pain</w:t>
            </w:r>
          </w:p>
        </w:tc>
        <w:tc>
          <w:tcPr>
            <w:tcW w:w="0" w:type="auto"/>
            <w:hideMark/>
          </w:tcPr>
          <w:p w14:paraId="3A13B966" w14:textId="6F9E38B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21BC48D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3853D61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A59E251" w14:textId="77777777" w:rsidR="00F34D15" w:rsidRPr="00732EED" w:rsidRDefault="00F34D15" w:rsidP="00F34D15">
            <w:pPr>
              <w:rPr>
                <w:sz w:val="18"/>
                <w:szCs w:val="18"/>
              </w:rPr>
            </w:pPr>
            <w:r w:rsidRPr="00732EED">
              <w:rPr>
                <w:sz w:val="18"/>
                <w:szCs w:val="18"/>
              </w:rPr>
              <w:t>32</w:t>
            </w:r>
          </w:p>
        </w:tc>
        <w:tc>
          <w:tcPr>
            <w:tcW w:w="0" w:type="auto"/>
            <w:hideMark/>
          </w:tcPr>
          <w:p w14:paraId="254C1A7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Being stuck/no way out</w:t>
            </w:r>
          </w:p>
        </w:tc>
        <w:tc>
          <w:tcPr>
            <w:tcW w:w="0" w:type="auto"/>
          </w:tcPr>
          <w:p w14:paraId="38CD7F67" w14:textId="5F6DF13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Feeling stuck</w:t>
            </w:r>
          </w:p>
        </w:tc>
        <w:tc>
          <w:tcPr>
            <w:tcW w:w="0" w:type="auto"/>
            <w:hideMark/>
          </w:tcPr>
          <w:p w14:paraId="73A0F7D0" w14:textId="50D5ACB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014FCE9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30E3912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348B77A" w14:textId="77777777" w:rsidR="00F34D15" w:rsidRPr="00732EED" w:rsidRDefault="00F34D15" w:rsidP="00F34D15">
            <w:pPr>
              <w:rPr>
                <w:sz w:val="18"/>
                <w:szCs w:val="18"/>
              </w:rPr>
            </w:pPr>
            <w:r w:rsidRPr="00732EED">
              <w:rPr>
                <w:sz w:val="18"/>
                <w:szCs w:val="18"/>
              </w:rPr>
              <w:t>33</w:t>
            </w:r>
          </w:p>
        </w:tc>
        <w:tc>
          <w:tcPr>
            <w:tcW w:w="0" w:type="auto"/>
            <w:hideMark/>
          </w:tcPr>
          <w:p w14:paraId="17B3809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Art of overcoming suffering</w:t>
            </w:r>
          </w:p>
        </w:tc>
        <w:tc>
          <w:tcPr>
            <w:tcW w:w="0" w:type="auto"/>
          </w:tcPr>
          <w:p w14:paraId="3501D7AC" w14:textId="17CB231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Overcoming suffering</w:t>
            </w:r>
          </w:p>
        </w:tc>
        <w:tc>
          <w:tcPr>
            <w:tcW w:w="0" w:type="auto"/>
            <w:hideMark/>
          </w:tcPr>
          <w:p w14:paraId="5C59D0D7" w14:textId="2C8367C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7CADB5B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&amp; Growth</w:t>
            </w:r>
          </w:p>
        </w:tc>
      </w:tr>
      <w:tr w:rsidR="00F34D15" w:rsidRPr="00732EED" w14:paraId="08FA5406"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544EA9A" w14:textId="77777777" w:rsidR="00F34D15" w:rsidRPr="00732EED" w:rsidRDefault="00F34D15" w:rsidP="00F34D15">
            <w:pPr>
              <w:rPr>
                <w:sz w:val="18"/>
                <w:szCs w:val="18"/>
              </w:rPr>
            </w:pPr>
            <w:r w:rsidRPr="00732EED">
              <w:rPr>
                <w:sz w:val="18"/>
                <w:szCs w:val="18"/>
              </w:rPr>
              <w:t>33</w:t>
            </w:r>
          </w:p>
        </w:tc>
        <w:tc>
          <w:tcPr>
            <w:tcW w:w="0" w:type="auto"/>
            <w:hideMark/>
          </w:tcPr>
          <w:p w14:paraId="5FE8D07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Purpose</w:t>
            </w:r>
          </w:p>
        </w:tc>
        <w:tc>
          <w:tcPr>
            <w:tcW w:w="0" w:type="auto"/>
          </w:tcPr>
          <w:p w14:paraId="1495CD47" w14:textId="670F1DD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Purpose</w:t>
            </w:r>
          </w:p>
        </w:tc>
        <w:tc>
          <w:tcPr>
            <w:tcW w:w="0" w:type="auto"/>
            <w:hideMark/>
          </w:tcPr>
          <w:p w14:paraId="019239C1" w14:textId="77E79F7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61BE506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58F75C3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6761B69" w14:textId="77777777" w:rsidR="00F34D15" w:rsidRPr="00732EED" w:rsidRDefault="00F34D15" w:rsidP="00F34D15">
            <w:pPr>
              <w:rPr>
                <w:sz w:val="18"/>
                <w:szCs w:val="18"/>
              </w:rPr>
            </w:pPr>
            <w:r w:rsidRPr="00732EED">
              <w:rPr>
                <w:sz w:val="18"/>
                <w:szCs w:val="18"/>
              </w:rPr>
              <w:t>33</w:t>
            </w:r>
          </w:p>
        </w:tc>
        <w:tc>
          <w:tcPr>
            <w:tcW w:w="0" w:type="auto"/>
            <w:hideMark/>
          </w:tcPr>
          <w:p w14:paraId="7C064B9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Spirituality</w:t>
            </w:r>
          </w:p>
        </w:tc>
        <w:tc>
          <w:tcPr>
            <w:tcW w:w="0" w:type="auto"/>
          </w:tcPr>
          <w:p w14:paraId="2204CF9D" w14:textId="49F7FF0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Spirituality</w:t>
            </w:r>
          </w:p>
        </w:tc>
        <w:tc>
          <w:tcPr>
            <w:tcW w:w="0" w:type="auto"/>
            <w:hideMark/>
          </w:tcPr>
          <w:p w14:paraId="188E7510" w14:textId="2F6F799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2C2DA9E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5E8235D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49A394C" w14:textId="77777777" w:rsidR="00F34D15" w:rsidRPr="00732EED" w:rsidRDefault="00F34D15" w:rsidP="00F34D15">
            <w:pPr>
              <w:rPr>
                <w:sz w:val="18"/>
                <w:szCs w:val="18"/>
              </w:rPr>
            </w:pPr>
            <w:r w:rsidRPr="00732EED">
              <w:rPr>
                <w:sz w:val="18"/>
                <w:szCs w:val="18"/>
              </w:rPr>
              <w:t>33</w:t>
            </w:r>
          </w:p>
        </w:tc>
        <w:tc>
          <w:tcPr>
            <w:tcW w:w="0" w:type="auto"/>
            <w:hideMark/>
          </w:tcPr>
          <w:p w14:paraId="4B94E7B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and connection</w:t>
            </w:r>
          </w:p>
        </w:tc>
        <w:tc>
          <w:tcPr>
            <w:tcW w:w="0" w:type="auto"/>
          </w:tcPr>
          <w:p w14:paraId="1041D56E" w14:textId="49FF34B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Support/connection</w:t>
            </w:r>
          </w:p>
        </w:tc>
        <w:tc>
          <w:tcPr>
            <w:tcW w:w="0" w:type="auto"/>
            <w:hideMark/>
          </w:tcPr>
          <w:p w14:paraId="2A8AE9F2" w14:textId="1C5B408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2E3DA9C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70BD970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4577DD9" w14:textId="77777777" w:rsidR="00F34D15" w:rsidRPr="00732EED" w:rsidRDefault="00F34D15" w:rsidP="00F34D15">
            <w:pPr>
              <w:rPr>
                <w:sz w:val="18"/>
                <w:szCs w:val="18"/>
              </w:rPr>
            </w:pPr>
            <w:r w:rsidRPr="00732EED">
              <w:rPr>
                <w:sz w:val="18"/>
                <w:szCs w:val="18"/>
              </w:rPr>
              <w:t>34</w:t>
            </w:r>
          </w:p>
        </w:tc>
        <w:tc>
          <w:tcPr>
            <w:tcW w:w="0" w:type="auto"/>
            <w:hideMark/>
          </w:tcPr>
          <w:p w14:paraId="6B83CF6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Self-management digital interventions feel caring</w:t>
            </w:r>
          </w:p>
        </w:tc>
        <w:tc>
          <w:tcPr>
            <w:tcW w:w="0" w:type="auto"/>
          </w:tcPr>
          <w:p w14:paraId="152C8D22" w14:textId="5E96186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Supportive digital intervention</w:t>
            </w:r>
          </w:p>
        </w:tc>
        <w:tc>
          <w:tcPr>
            <w:tcW w:w="0" w:type="auto"/>
            <w:hideMark/>
          </w:tcPr>
          <w:p w14:paraId="3AB7F5D6" w14:textId="5EA0BF4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3E5EE9B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799FD88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4575ACE" w14:textId="77777777" w:rsidR="00F34D15" w:rsidRPr="00732EED" w:rsidRDefault="00F34D15" w:rsidP="00F34D15">
            <w:pPr>
              <w:rPr>
                <w:sz w:val="18"/>
                <w:szCs w:val="18"/>
              </w:rPr>
            </w:pPr>
            <w:r w:rsidRPr="00732EED">
              <w:rPr>
                <w:sz w:val="18"/>
                <w:szCs w:val="18"/>
              </w:rPr>
              <w:t>34</w:t>
            </w:r>
          </w:p>
        </w:tc>
        <w:tc>
          <w:tcPr>
            <w:tcW w:w="0" w:type="auto"/>
            <w:hideMark/>
          </w:tcPr>
          <w:p w14:paraId="16436F7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More active role</w:t>
            </w:r>
          </w:p>
        </w:tc>
        <w:tc>
          <w:tcPr>
            <w:tcW w:w="0" w:type="auto"/>
          </w:tcPr>
          <w:p w14:paraId="4FEF5B9D" w14:textId="3F335C5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Active patient role</w:t>
            </w:r>
          </w:p>
        </w:tc>
        <w:tc>
          <w:tcPr>
            <w:tcW w:w="0" w:type="auto"/>
            <w:hideMark/>
          </w:tcPr>
          <w:p w14:paraId="3418383E" w14:textId="4D9039C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203280B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Empowerment &amp; Agency</w:t>
            </w:r>
          </w:p>
        </w:tc>
      </w:tr>
      <w:tr w:rsidR="00F34D15" w:rsidRPr="00732EED" w14:paraId="585C31EC"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4437D2E" w14:textId="77777777" w:rsidR="00F34D15" w:rsidRPr="00732EED" w:rsidRDefault="00F34D15" w:rsidP="00F34D15">
            <w:pPr>
              <w:rPr>
                <w:sz w:val="18"/>
                <w:szCs w:val="18"/>
              </w:rPr>
            </w:pPr>
            <w:r w:rsidRPr="00732EED">
              <w:rPr>
                <w:sz w:val="18"/>
                <w:szCs w:val="18"/>
              </w:rPr>
              <w:t>34</w:t>
            </w:r>
          </w:p>
        </w:tc>
        <w:tc>
          <w:tcPr>
            <w:tcW w:w="0" w:type="auto"/>
            <w:hideMark/>
          </w:tcPr>
          <w:p w14:paraId="2C260D2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Telemonitoring encourages change</w:t>
            </w:r>
          </w:p>
        </w:tc>
        <w:tc>
          <w:tcPr>
            <w:tcW w:w="0" w:type="auto"/>
          </w:tcPr>
          <w:p w14:paraId="3B1BFD8C" w14:textId="306B756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Digital behavior-change ecology</w:t>
            </w:r>
          </w:p>
        </w:tc>
        <w:tc>
          <w:tcPr>
            <w:tcW w:w="0" w:type="auto"/>
            <w:hideMark/>
          </w:tcPr>
          <w:p w14:paraId="4AD44B6B" w14:textId="29E9F71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4D5E1A1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Digital &amp; Participatory Ecologies</w:t>
            </w:r>
          </w:p>
        </w:tc>
      </w:tr>
      <w:tr w:rsidR="00F34D15" w:rsidRPr="00732EED" w14:paraId="0FF1F883"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3F41F79" w14:textId="77777777" w:rsidR="00F34D15" w:rsidRPr="00732EED" w:rsidRDefault="00F34D15" w:rsidP="00F34D15">
            <w:pPr>
              <w:rPr>
                <w:sz w:val="18"/>
                <w:szCs w:val="18"/>
              </w:rPr>
            </w:pPr>
            <w:r w:rsidRPr="00732EED">
              <w:rPr>
                <w:sz w:val="18"/>
                <w:szCs w:val="18"/>
              </w:rPr>
              <w:t>35</w:t>
            </w:r>
          </w:p>
        </w:tc>
        <w:tc>
          <w:tcPr>
            <w:tcW w:w="0" w:type="auto"/>
            <w:hideMark/>
          </w:tcPr>
          <w:p w14:paraId="27683EA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Shame of invisible condition</w:t>
            </w:r>
          </w:p>
        </w:tc>
        <w:tc>
          <w:tcPr>
            <w:tcW w:w="0" w:type="auto"/>
          </w:tcPr>
          <w:p w14:paraId="52EE3F37" w14:textId="25833EB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Shame/invisibility</w:t>
            </w:r>
          </w:p>
        </w:tc>
        <w:tc>
          <w:tcPr>
            <w:tcW w:w="0" w:type="auto"/>
            <w:hideMark/>
          </w:tcPr>
          <w:p w14:paraId="65382A0A" w14:textId="4C1BAF6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36B1A34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r>
      <w:tr w:rsidR="00F34D15" w:rsidRPr="00732EED" w14:paraId="2546D24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0D7620D" w14:textId="77777777" w:rsidR="00F34D15" w:rsidRPr="00732EED" w:rsidRDefault="00F34D15" w:rsidP="00F34D15">
            <w:pPr>
              <w:rPr>
                <w:sz w:val="18"/>
                <w:szCs w:val="18"/>
              </w:rPr>
            </w:pPr>
            <w:r w:rsidRPr="00732EED">
              <w:rPr>
                <w:sz w:val="18"/>
                <w:szCs w:val="18"/>
              </w:rPr>
              <w:t>35</w:t>
            </w:r>
          </w:p>
        </w:tc>
        <w:tc>
          <w:tcPr>
            <w:tcW w:w="0" w:type="auto"/>
            <w:hideMark/>
          </w:tcPr>
          <w:p w14:paraId="71D969D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Treatment need/skepticism/fear</w:t>
            </w:r>
          </w:p>
        </w:tc>
        <w:tc>
          <w:tcPr>
            <w:tcW w:w="0" w:type="auto"/>
          </w:tcPr>
          <w:p w14:paraId="1592DECF" w14:textId="370AC87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Treatment skepticism/fear</w:t>
            </w:r>
          </w:p>
        </w:tc>
        <w:tc>
          <w:tcPr>
            <w:tcW w:w="0" w:type="auto"/>
            <w:hideMark/>
          </w:tcPr>
          <w:p w14:paraId="3CBEEE4B" w14:textId="4CC8B3B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03C8974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2E3623C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8FDC89C" w14:textId="77777777" w:rsidR="00F34D15" w:rsidRPr="00732EED" w:rsidRDefault="00F34D15" w:rsidP="00F34D15">
            <w:pPr>
              <w:rPr>
                <w:sz w:val="18"/>
                <w:szCs w:val="18"/>
              </w:rPr>
            </w:pPr>
            <w:r w:rsidRPr="00732EED">
              <w:rPr>
                <w:sz w:val="18"/>
                <w:szCs w:val="18"/>
              </w:rPr>
              <w:t>35</w:t>
            </w:r>
          </w:p>
        </w:tc>
        <w:tc>
          <w:tcPr>
            <w:tcW w:w="0" w:type="auto"/>
            <w:hideMark/>
          </w:tcPr>
          <w:p w14:paraId="2B05C1D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Looking for physician support/sincerity</w:t>
            </w:r>
          </w:p>
        </w:tc>
        <w:tc>
          <w:tcPr>
            <w:tcW w:w="0" w:type="auto"/>
          </w:tcPr>
          <w:p w14:paraId="79944D3D" w14:textId="33B8E44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for sincere physician communication</w:t>
            </w:r>
          </w:p>
        </w:tc>
        <w:tc>
          <w:tcPr>
            <w:tcW w:w="0" w:type="auto"/>
            <w:hideMark/>
          </w:tcPr>
          <w:p w14:paraId="16EA45A7" w14:textId="692426D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347EC46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Communication</w:t>
            </w:r>
          </w:p>
        </w:tc>
      </w:tr>
      <w:tr w:rsidR="00F34D15" w:rsidRPr="00732EED" w14:paraId="4662D83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E06E925" w14:textId="77777777" w:rsidR="00F34D15" w:rsidRPr="00732EED" w:rsidRDefault="00F34D15" w:rsidP="00F34D15">
            <w:pPr>
              <w:rPr>
                <w:sz w:val="18"/>
                <w:szCs w:val="18"/>
              </w:rPr>
            </w:pPr>
            <w:r w:rsidRPr="00732EED">
              <w:rPr>
                <w:sz w:val="18"/>
                <w:szCs w:val="18"/>
              </w:rPr>
              <w:t>35</w:t>
            </w:r>
          </w:p>
        </w:tc>
        <w:tc>
          <w:tcPr>
            <w:tcW w:w="0" w:type="auto"/>
            <w:hideMark/>
          </w:tcPr>
          <w:p w14:paraId="1A2B339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Limiting impact through self-control</w:t>
            </w:r>
          </w:p>
        </w:tc>
        <w:tc>
          <w:tcPr>
            <w:tcW w:w="0" w:type="auto"/>
          </w:tcPr>
          <w:p w14:paraId="1EC7A18E" w14:textId="571A655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Self-control</w:t>
            </w:r>
          </w:p>
        </w:tc>
        <w:tc>
          <w:tcPr>
            <w:tcW w:w="0" w:type="auto"/>
            <w:hideMark/>
          </w:tcPr>
          <w:p w14:paraId="066616B9" w14:textId="5CE928A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158270E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&amp; Agency</w:t>
            </w:r>
          </w:p>
        </w:tc>
      </w:tr>
      <w:tr w:rsidR="00F34D15" w:rsidRPr="00732EED" w14:paraId="2D0905B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90D09D9" w14:textId="77777777" w:rsidR="00F34D15" w:rsidRPr="00732EED" w:rsidRDefault="00F34D15" w:rsidP="00F34D15">
            <w:pPr>
              <w:rPr>
                <w:sz w:val="18"/>
                <w:szCs w:val="18"/>
              </w:rPr>
            </w:pPr>
            <w:r w:rsidRPr="00732EED">
              <w:rPr>
                <w:sz w:val="18"/>
                <w:szCs w:val="18"/>
              </w:rPr>
              <w:t>35</w:t>
            </w:r>
          </w:p>
        </w:tc>
        <w:tc>
          <w:tcPr>
            <w:tcW w:w="0" w:type="auto"/>
            <w:hideMark/>
          </w:tcPr>
          <w:p w14:paraId="643FA43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Understanding/disbelief from family and work</w:t>
            </w:r>
          </w:p>
        </w:tc>
        <w:tc>
          <w:tcPr>
            <w:tcW w:w="0" w:type="auto"/>
          </w:tcPr>
          <w:p w14:paraId="2EF01C37" w14:textId="2AAE838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Disbelief in family/work context</w:t>
            </w:r>
          </w:p>
        </w:tc>
        <w:tc>
          <w:tcPr>
            <w:tcW w:w="0" w:type="auto"/>
            <w:hideMark/>
          </w:tcPr>
          <w:p w14:paraId="788AEE3F" w14:textId="1EDEE7D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04E2F02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Dynamics</w:t>
            </w:r>
          </w:p>
        </w:tc>
      </w:tr>
      <w:tr w:rsidR="00F34D15" w:rsidRPr="00732EED" w14:paraId="17A11F6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E2C9F95" w14:textId="77777777" w:rsidR="00F34D15" w:rsidRPr="00732EED" w:rsidRDefault="00F34D15" w:rsidP="00F34D15">
            <w:pPr>
              <w:rPr>
                <w:sz w:val="18"/>
                <w:szCs w:val="18"/>
              </w:rPr>
            </w:pPr>
            <w:r w:rsidRPr="00732EED">
              <w:rPr>
                <w:sz w:val="18"/>
                <w:szCs w:val="18"/>
              </w:rPr>
              <w:lastRenderedPageBreak/>
              <w:t>36</w:t>
            </w:r>
          </w:p>
        </w:tc>
        <w:tc>
          <w:tcPr>
            <w:tcW w:w="0" w:type="auto"/>
            <w:hideMark/>
          </w:tcPr>
          <w:p w14:paraId="20F3052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Thinking helps me cope</w:t>
            </w:r>
          </w:p>
        </w:tc>
        <w:tc>
          <w:tcPr>
            <w:tcW w:w="0" w:type="auto"/>
          </w:tcPr>
          <w:p w14:paraId="165AA200" w14:textId="03F8085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Cognition as coping</w:t>
            </w:r>
          </w:p>
        </w:tc>
        <w:tc>
          <w:tcPr>
            <w:tcW w:w="0" w:type="auto"/>
            <w:hideMark/>
          </w:tcPr>
          <w:p w14:paraId="261868FB" w14:textId="3FE6EDE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11801C2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Illness Representations / Models</w:t>
            </w:r>
          </w:p>
        </w:tc>
      </w:tr>
      <w:tr w:rsidR="00F34D15" w:rsidRPr="00732EED" w14:paraId="757E791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B3F786F" w14:textId="77777777" w:rsidR="00F34D15" w:rsidRPr="00732EED" w:rsidRDefault="00F34D15" w:rsidP="00F34D15">
            <w:pPr>
              <w:rPr>
                <w:sz w:val="18"/>
                <w:szCs w:val="18"/>
              </w:rPr>
            </w:pPr>
            <w:r w:rsidRPr="00732EED">
              <w:rPr>
                <w:sz w:val="18"/>
                <w:szCs w:val="18"/>
              </w:rPr>
              <w:t>36</w:t>
            </w:r>
          </w:p>
        </w:tc>
        <w:tc>
          <w:tcPr>
            <w:tcW w:w="0" w:type="auto"/>
            <w:hideMark/>
          </w:tcPr>
          <w:p w14:paraId="6CFBFA0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Rumination uncontrollable</w:t>
            </w:r>
          </w:p>
        </w:tc>
        <w:tc>
          <w:tcPr>
            <w:tcW w:w="0" w:type="auto"/>
          </w:tcPr>
          <w:p w14:paraId="25311D15" w14:textId="5D63C91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Uncontrollable rumination</w:t>
            </w:r>
          </w:p>
        </w:tc>
        <w:tc>
          <w:tcPr>
            <w:tcW w:w="0" w:type="auto"/>
            <w:hideMark/>
          </w:tcPr>
          <w:p w14:paraId="19B32E11" w14:textId="1E763BF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09FB081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Catastrophizing &amp; Rumination</w:t>
            </w:r>
          </w:p>
        </w:tc>
      </w:tr>
      <w:tr w:rsidR="00F34D15" w:rsidRPr="00732EED" w14:paraId="4C7F16F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FF891D2" w14:textId="77777777" w:rsidR="00F34D15" w:rsidRPr="00732EED" w:rsidRDefault="00F34D15" w:rsidP="00F34D15">
            <w:pPr>
              <w:rPr>
                <w:sz w:val="18"/>
                <w:szCs w:val="18"/>
              </w:rPr>
            </w:pPr>
            <w:r w:rsidRPr="00732EED">
              <w:rPr>
                <w:sz w:val="18"/>
                <w:szCs w:val="18"/>
              </w:rPr>
              <w:t>36</w:t>
            </w:r>
          </w:p>
        </w:tc>
        <w:tc>
          <w:tcPr>
            <w:tcW w:w="0" w:type="auto"/>
            <w:hideMark/>
          </w:tcPr>
          <w:p w14:paraId="4DFEE1C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Worry is pointless</w:t>
            </w:r>
          </w:p>
        </w:tc>
        <w:tc>
          <w:tcPr>
            <w:tcW w:w="0" w:type="auto"/>
          </w:tcPr>
          <w:p w14:paraId="651DDF2A" w14:textId="5826640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Pointless worry</w:t>
            </w:r>
          </w:p>
        </w:tc>
        <w:tc>
          <w:tcPr>
            <w:tcW w:w="0" w:type="auto"/>
            <w:hideMark/>
          </w:tcPr>
          <w:p w14:paraId="4627995B" w14:textId="0F0EE8D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783315A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Catastrophizing &amp; Rumination</w:t>
            </w:r>
          </w:p>
        </w:tc>
      </w:tr>
      <w:tr w:rsidR="00F34D15" w:rsidRPr="00732EED" w14:paraId="725DF7F6"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2A1EF3B" w14:textId="77777777" w:rsidR="00F34D15" w:rsidRPr="00732EED" w:rsidRDefault="00F34D15" w:rsidP="00F34D15">
            <w:pPr>
              <w:rPr>
                <w:sz w:val="18"/>
                <w:szCs w:val="18"/>
              </w:rPr>
            </w:pPr>
            <w:r w:rsidRPr="00732EED">
              <w:rPr>
                <w:sz w:val="18"/>
                <w:szCs w:val="18"/>
              </w:rPr>
              <w:t>36</w:t>
            </w:r>
          </w:p>
        </w:tc>
        <w:tc>
          <w:tcPr>
            <w:tcW w:w="0" w:type="auto"/>
            <w:hideMark/>
          </w:tcPr>
          <w:p w14:paraId="596385E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Internal conflict between cognitions</w:t>
            </w:r>
          </w:p>
        </w:tc>
        <w:tc>
          <w:tcPr>
            <w:tcW w:w="0" w:type="auto"/>
          </w:tcPr>
          <w:p w14:paraId="20292440" w14:textId="53D73C6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Metacognitive conflict</w:t>
            </w:r>
          </w:p>
        </w:tc>
        <w:tc>
          <w:tcPr>
            <w:tcW w:w="0" w:type="auto"/>
            <w:hideMark/>
          </w:tcPr>
          <w:p w14:paraId="5A158041" w14:textId="3F8458C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05E62F6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Catastrophizing &amp; Rumination</w:t>
            </w:r>
          </w:p>
        </w:tc>
      </w:tr>
      <w:tr w:rsidR="00F34D15" w:rsidRPr="00732EED" w14:paraId="6EFCA3A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9FE91C1" w14:textId="77777777" w:rsidR="00F34D15" w:rsidRPr="00732EED" w:rsidRDefault="00F34D15" w:rsidP="00F34D15">
            <w:pPr>
              <w:rPr>
                <w:sz w:val="18"/>
                <w:szCs w:val="18"/>
              </w:rPr>
            </w:pPr>
            <w:r w:rsidRPr="00732EED">
              <w:rPr>
                <w:sz w:val="18"/>
                <w:szCs w:val="18"/>
              </w:rPr>
              <w:t>37</w:t>
            </w:r>
          </w:p>
        </w:tc>
        <w:tc>
          <w:tcPr>
            <w:tcW w:w="0" w:type="auto"/>
            <w:hideMark/>
          </w:tcPr>
          <w:p w14:paraId="562A567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Life impoverished and confined</w:t>
            </w:r>
          </w:p>
        </w:tc>
        <w:tc>
          <w:tcPr>
            <w:tcW w:w="0" w:type="auto"/>
          </w:tcPr>
          <w:p w14:paraId="3F46BE69" w14:textId="033409B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Confined by pain</w:t>
            </w:r>
          </w:p>
        </w:tc>
        <w:tc>
          <w:tcPr>
            <w:tcW w:w="0" w:type="auto"/>
            <w:hideMark/>
          </w:tcPr>
          <w:p w14:paraId="31447D75" w14:textId="68CD87B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2B8DC40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Dominance / “Pain is the master”</w:t>
            </w:r>
          </w:p>
        </w:tc>
      </w:tr>
      <w:tr w:rsidR="00F34D15" w:rsidRPr="00732EED" w14:paraId="4E25590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D204085" w14:textId="77777777" w:rsidR="00F34D15" w:rsidRPr="00732EED" w:rsidRDefault="00F34D15" w:rsidP="00F34D15">
            <w:pPr>
              <w:rPr>
                <w:sz w:val="18"/>
                <w:szCs w:val="18"/>
              </w:rPr>
            </w:pPr>
            <w:r w:rsidRPr="00732EED">
              <w:rPr>
                <w:sz w:val="18"/>
                <w:szCs w:val="18"/>
              </w:rPr>
              <w:t>37</w:t>
            </w:r>
          </w:p>
        </w:tc>
        <w:tc>
          <w:tcPr>
            <w:tcW w:w="0" w:type="auto"/>
            <w:hideMark/>
          </w:tcPr>
          <w:p w14:paraId="0958275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Struggling against my body to be me</w:t>
            </w:r>
          </w:p>
        </w:tc>
        <w:tc>
          <w:tcPr>
            <w:tcW w:w="0" w:type="auto"/>
          </w:tcPr>
          <w:p w14:paraId="5F9A8C2A" w14:textId="7E64847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Struggle for selfhood</w:t>
            </w:r>
          </w:p>
        </w:tc>
        <w:tc>
          <w:tcPr>
            <w:tcW w:w="0" w:type="auto"/>
            <w:hideMark/>
          </w:tcPr>
          <w:p w14:paraId="15E9827B" w14:textId="0F8D570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3A3F6EA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0BFB829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9D6727D" w14:textId="77777777" w:rsidR="00F34D15" w:rsidRPr="00732EED" w:rsidRDefault="00F34D15" w:rsidP="00F34D15">
            <w:pPr>
              <w:rPr>
                <w:sz w:val="18"/>
                <w:szCs w:val="18"/>
              </w:rPr>
            </w:pPr>
            <w:r w:rsidRPr="00732EED">
              <w:rPr>
                <w:sz w:val="18"/>
                <w:szCs w:val="18"/>
              </w:rPr>
              <w:t>37</w:t>
            </w:r>
          </w:p>
        </w:tc>
        <w:tc>
          <w:tcPr>
            <w:tcW w:w="0" w:type="auto"/>
            <w:hideMark/>
          </w:tcPr>
          <w:p w14:paraId="02F2D75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Quest for diagnostic holy grail</w:t>
            </w:r>
          </w:p>
        </w:tc>
        <w:tc>
          <w:tcPr>
            <w:tcW w:w="0" w:type="auto"/>
          </w:tcPr>
          <w:p w14:paraId="66426D3C" w14:textId="713AE02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Diagnostic quest</w:t>
            </w:r>
          </w:p>
        </w:tc>
        <w:tc>
          <w:tcPr>
            <w:tcW w:w="0" w:type="auto"/>
            <w:hideMark/>
          </w:tcPr>
          <w:p w14:paraId="393AF0DA" w14:textId="0EDB514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2536BE6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6E7BCB3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ACCF28E" w14:textId="77777777" w:rsidR="00F34D15" w:rsidRPr="00732EED" w:rsidRDefault="00F34D15" w:rsidP="00F34D15">
            <w:pPr>
              <w:rPr>
                <w:sz w:val="18"/>
                <w:szCs w:val="18"/>
              </w:rPr>
            </w:pPr>
            <w:r w:rsidRPr="00732EED">
              <w:rPr>
                <w:sz w:val="18"/>
                <w:szCs w:val="18"/>
              </w:rPr>
              <w:t>37</w:t>
            </w:r>
          </w:p>
        </w:tc>
        <w:tc>
          <w:tcPr>
            <w:tcW w:w="0" w:type="auto"/>
            <w:hideMark/>
          </w:tcPr>
          <w:p w14:paraId="3382116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Lost personal credibility</w:t>
            </w:r>
          </w:p>
        </w:tc>
        <w:tc>
          <w:tcPr>
            <w:tcW w:w="0" w:type="auto"/>
          </w:tcPr>
          <w:p w14:paraId="5AD509E6" w14:textId="7AB588E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Lost credibility</w:t>
            </w:r>
          </w:p>
        </w:tc>
        <w:tc>
          <w:tcPr>
            <w:tcW w:w="0" w:type="auto"/>
            <w:hideMark/>
          </w:tcPr>
          <w:p w14:paraId="1FE31BED" w14:textId="70A5F84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66B315B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r>
      <w:tr w:rsidR="00F34D15" w:rsidRPr="00732EED" w14:paraId="309D5C5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E2F7D82" w14:textId="77777777" w:rsidR="00F34D15" w:rsidRPr="00732EED" w:rsidRDefault="00F34D15" w:rsidP="00F34D15">
            <w:pPr>
              <w:rPr>
                <w:sz w:val="18"/>
                <w:szCs w:val="18"/>
              </w:rPr>
            </w:pPr>
            <w:r w:rsidRPr="00732EED">
              <w:rPr>
                <w:sz w:val="18"/>
                <w:szCs w:val="18"/>
              </w:rPr>
              <w:t>37</w:t>
            </w:r>
          </w:p>
        </w:tc>
        <w:tc>
          <w:tcPr>
            <w:tcW w:w="0" w:type="auto"/>
            <w:hideMark/>
          </w:tcPr>
          <w:p w14:paraId="1EEEA23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Trying to keep up appearances</w:t>
            </w:r>
          </w:p>
        </w:tc>
        <w:tc>
          <w:tcPr>
            <w:tcW w:w="0" w:type="auto"/>
          </w:tcPr>
          <w:p w14:paraId="52C260C6" w14:textId="2151552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Maintaining appearances</w:t>
            </w:r>
          </w:p>
        </w:tc>
        <w:tc>
          <w:tcPr>
            <w:tcW w:w="0" w:type="auto"/>
            <w:hideMark/>
          </w:tcPr>
          <w:p w14:paraId="43D113F5" w14:textId="6463523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46F775E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Avoidance &amp; Silence</w:t>
            </w:r>
          </w:p>
        </w:tc>
      </w:tr>
      <w:tr w:rsidR="00F34D15" w:rsidRPr="00732EED" w14:paraId="35740C8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FEB2D8D" w14:textId="77777777" w:rsidR="00F34D15" w:rsidRPr="00732EED" w:rsidRDefault="00F34D15" w:rsidP="00F34D15">
            <w:pPr>
              <w:rPr>
                <w:sz w:val="18"/>
                <w:szCs w:val="18"/>
              </w:rPr>
            </w:pPr>
            <w:r w:rsidRPr="00732EED">
              <w:rPr>
                <w:sz w:val="18"/>
                <w:szCs w:val="18"/>
              </w:rPr>
              <w:t>37</w:t>
            </w:r>
          </w:p>
        </w:tc>
        <w:tc>
          <w:tcPr>
            <w:tcW w:w="0" w:type="auto"/>
            <w:hideMark/>
          </w:tcPr>
          <w:p w14:paraId="1C3F2E7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to be treated with dignity</w:t>
            </w:r>
          </w:p>
        </w:tc>
        <w:tc>
          <w:tcPr>
            <w:tcW w:w="0" w:type="auto"/>
          </w:tcPr>
          <w:p w14:paraId="6705AF26" w14:textId="483C167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Dignity in care</w:t>
            </w:r>
          </w:p>
        </w:tc>
        <w:tc>
          <w:tcPr>
            <w:tcW w:w="0" w:type="auto"/>
            <w:hideMark/>
          </w:tcPr>
          <w:p w14:paraId="3EE5BC68" w14:textId="551B726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0E79B85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40E4191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01154DC" w14:textId="77777777" w:rsidR="00F34D15" w:rsidRPr="00732EED" w:rsidRDefault="00F34D15" w:rsidP="00F34D15">
            <w:pPr>
              <w:rPr>
                <w:sz w:val="18"/>
                <w:szCs w:val="18"/>
              </w:rPr>
            </w:pPr>
            <w:r w:rsidRPr="00732EED">
              <w:rPr>
                <w:sz w:val="18"/>
                <w:szCs w:val="18"/>
              </w:rPr>
              <w:t>37</w:t>
            </w:r>
          </w:p>
        </w:tc>
        <w:tc>
          <w:tcPr>
            <w:tcW w:w="0" w:type="auto"/>
            <w:hideMark/>
          </w:tcPr>
          <w:p w14:paraId="73F1502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Ending quest for grail is not easy</w:t>
            </w:r>
          </w:p>
        </w:tc>
        <w:tc>
          <w:tcPr>
            <w:tcW w:w="0" w:type="auto"/>
          </w:tcPr>
          <w:p w14:paraId="5907E7C9" w14:textId="44371C5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Difficulty ending cure quest</w:t>
            </w:r>
          </w:p>
        </w:tc>
        <w:tc>
          <w:tcPr>
            <w:tcW w:w="0" w:type="auto"/>
            <w:hideMark/>
          </w:tcPr>
          <w:p w14:paraId="0B9C5537" w14:textId="3973E5C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077DD44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5088848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9A444C2" w14:textId="77777777" w:rsidR="00F34D15" w:rsidRPr="00732EED" w:rsidRDefault="00F34D15" w:rsidP="00F34D15">
            <w:pPr>
              <w:rPr>
                <w:sz w:val="18"/>
                <w:szCs w:val="18"/>
              </w:rPr>
            </w:pPr>
            <w:r w:rsidRPr="00732EED">
              <w:rPr>
                <w:sz w:val="18"/>
                <w:szCs w:val="18"/>
              </w:rPr>
              <w:t>38</w:t>
            </w:r>
          </w:p>
        </w:tc>
        <w:tc>
          <w:tcPr>
            <w:tcW w:w="0" w:type="auto"/>
            <w:hideMark/>
          </w:tcPr>
          <w:p w14:paraId="7DEE6F8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Thwarted opportunities</w:t>
            </w:r>
          </w:p>
        </w:tc>
        <w:tc>
          <w:tcPr>
            <w:tcW w:w="0" w:type="auto"/>
          </w:tcPr>
          <w:p w14:paraId="6F568C3B" w14:textId="1146FD2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Lost opportunities</w:t>
            </w:r>
          </w:p>
        </w:tc>
        <w:tc>
          <w:tcPr>
            <w:tcW w:w="0" w:type="auto"/>
            <w:hideMark/>
          </w:tcPr>
          <w:p w14:paraId="3F39C94A" w14:textId="2E17209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26EBF2B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&amp; Return to Work</w:t>
            </w:r>
          </w:p>
        </w:tc>
      </w:tr>
      <w:tr w:rsidR="00F34D15" w:rsidRPr="00732EED" w14:paraId="05917DD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050081B" w14:textId="77777777" w:rsidR="00F34D15" w:rsidRPr="00732EED" w:rsidRDefault="00F34D15" w:rsidP="00F34D15">
            <w:pPr>
              <w:rPr>
                <w:sz w:val="18"/>
                <w:szCs w:val="18"/>
              </w:rPr>
            </w:pPr>
            <w:r w:rsidRPr="00732EED">
              <w:rPr>
                <w:sz w:val="18"/>
                <w:szCs w:val="18"/>
              </w:rPr>
              <w:t>38</w:t>
            </w:r>
          </w:p>
        </w:tc>
        <w:tc>
          <w:tcPr>
            <w:tcW w:w="0" w:type="auto"/>
            <w:hideMark/>
          </w:tcPr>
          <w:p w14:paraId="3953B2F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Peer separation</w:t>
            </w:r>
          </w:p>
        </w:tc>
        <w:tc>
          <w:tcPr>
            <w:tcW w:w="0" w:type="auto"/>
          </w:tcPr>
          <w:p w14:paraId="72545CB8" w14:textId="6B6AF9A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Peer separation</w:t>
            </w:r>
          </w:p>
        </w:tc>
        <w:tc>
          <w:tcPr>
            <w:tcW w:w="0" w:type="auto"/>
            <w:hideMark/>
          </w:tcPr>
          <w:p w14:paraId="5B05D904" w14:textId="5A59F99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0A63512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Isolation</w:t>
            </w:r>
          </w:p>
        </w:tc>
      </w:tr>
      <w:tr w:rsidR="00F34D15" w:rsidRPr="00732EED" w14:paraId="2D624F9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99634FE" w14:textId="77777777" w:rsidR="00F34D15" w:rsidRPr="00732EED" w:rsidRDefault="00F34D15" w:rsidP="00F34D15">
            <w:pPr>
              <w:rPr>
                <w:sz w:val="18"/>
                <w:szCs w:val="18"/>
              </w:rPr>
            </w:pPr>
            <w:r w:rsidRPr="00732EED">
              <w:rPr>
                <w:sz w:val="18"/>
                <w:szCs w:val="18"/>
              </w:rPr>
              <w:t>38</w:t>
            </w:r>
          </w:p>
        </w:tc>
        <w:tc>
          <w:tcPr>
            <w:tcW w:w="0" w:type="auto"/>
            <w:hideMark/>
          </w:tcPr>
          <w:p w14:paraId="527BC67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Illness validity in context of age</w:t>
            </w:r>
          </w:p>
        </w:tc>
        <w:tc>
          <w:tcPr>
            <w:tcW w:w="0" w:type="auto"/>
          </w:tcPr>
          <w:p w14:paraId="2F365C24" w14:textId="01F7EA1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Age-based invalidation</w:t>
            </w:r>
          </w:p>
        </w:tc>
        <w:tc>
          <w:tcPr>
            <w:tcW w:w="0" w:type="auto"/>
            <w:hideMark/>
          </w:tcPr>
          <w:p w14:paraId="7179CD65" w14:textId="6118E06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68C999C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Expectations &amp; Roles</w:t>
            </w:r>
          </w:p>
        </w:tc>
      </w:tr>
      <w:tr w:rsidR="00F34D15" w:rsidRPr="00732EED" w14:paraId="6D28FBE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F94D34A" w14:textId="77777777" w:rsidR="00F34D15" w:rsidRPr="00732EED" w:rsidRDefault="00F34D15" w:rsidP="00F34D15">
            <w:pPr>
              <w:rPr>
                <w:sz w:val="18"/>
                <w:szCs w:val="18"/>
              </w:rPr>
            </w:pPr>
            <w:r w:rsidRPr="00732EED">
              <w:rPr>
                <w:sz w:val="18"/>
                <w:szCs w:val="18"/>
              </w:rPr>
              <w:t>38</w:t>
            </w:r>
          </w:p>
        </w:tc>
        <w:tc>
          <w:tcPr>
            <w:tcW w:w="0" w:type="auto"/>
            <w:hideMark/>
          </w:tcPr>
          <w:p w14:paraId="7B7A798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Dependency/parental enmeshment</w:t>
            </w:r>
          </w:p>
        </w:tc>
        <w:tc>
          <w:tcPr>
            <w:tcW w:w="0" w:type="auto"/>
          </w:tcPr>
          <w:p w14:paraId="78CDA285" w14:textId="1EDB276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Parental dependency</w:t>
            </w:r>
          </w:p>
        </w:tc>
        <w:tc>
          <w:tcPr>
            <w:tcW w:w="0" w:type="auto"/>
            <w:hideMark/>
          </w:tcPr>
          <w:p w14:paraId="2494FA00" w14:textId="552004A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0247904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Family Dynamics</w:t>
            </w:r>
          </w:p>
        </w:tc>
      </w:tr>
      <w:tr w:rsidR="00F34D15" w:rsidRPr="00732EED" w14:paraId="7092FCA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8555B2F" w14:textId="77777777" w:rsidR="00F34D15" w:rsidRPr="00732EED" w:rsidRDefault="00F34D15" w:rsidP="00F34D15">
            <w:pPr>
              <w:rPr>
                <w:sz w:val="18"/>
                <w:szCs w:val="18"/>
              </w:rPr>
            </w:pPr>
            <w:r w:rsidRPr="00732EED">
              <w:rPr>
                <w:sz w:val="18"/>
                <w:szCs w:val="18"/>
              </w:rPr>
              <w:t>39</w:t>
            </w:r>
          </w:p>
        </w:tc>
        <w:tc>
          <w:tcPr>
            <w:tcW w:w="0" w:type="auto"/>
            <w:hideMark/>
          </w:tcPr>
          <w:p w14:paraId="5D97FAC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motivator and barrier to weight loss</w:t>
            </w:r>
          </w:p>
        </w:tc>
        <w:tc>
          <w:tcPr>
            <w:tcW w:w="0" w:type="auto"/>
          </w:tcPr>
          <w:p w14:paraId="61E3C334" w14:textId="5884629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as motivator/barrier</w:t>
            </w:r>
          </w:p>
        </w:tc>
        <w:tc>
          <w:tcPr>
            <w:tcW w:w="0" w:type="auto"/>
            <w:hideMark/>
          </w:tcPr>
          <w:p w14:paraId="2A7D9DC9" w14:textId="78B8D18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301ADF8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Activity &amp; Pacing</w:t>
            </w:r>
          </w:p>
        </w:tc>
      </w:tr>
      <w:tr w:rsidR="00F34D15" w:rsidRPr="00732EED" w14:paraId="39231F1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1F4A807" w14:textId="77777777" w:rsidR="00F34D15" w:rsidRPr="00732EED" w:rsidRDefault="00F34D15" w:rsidP="00F34D15">
            <w:pPr>
              <w:rPr>
                <w:sz w:val="18"/>
                <w:szCs w:val="18"/>
              </w:rPr>
            </w:pPr>
            <w:r w:rsidRPr="00732EED">
              <w:rPr>
                <w:sz w:val="18"/>
                <w:szCs w:val="18"/>
              </w:rPr>
              <w:t>39</w:t>
            </w:r>
          </w:p>
        </w:tc>
        <w:tc>
          <w:tcPr>
            <w:tcW w:w="0" w:type="auto"/>
            <w:hideMark/>
          </w:tcPr>
          <w:p w14:paraId="31DF087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weight causing more damage</w:t>
            </w:r>
          </w:p>
        </w:tc>
        <w:tc>
          <w:tcPr>
            <w:tcW w:w="0" w:type="auto"/>
          </w:tcPr>
          <w:p w14:paraId="01DFA5B4" w14:textId="69C7B54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further damage</w:t>
            </w:r>
          </w:p>
        </w:tc>
        <w:tc>
          <w:tcPr>
            <w:tcW w:w="0" w:type="auto"/>
            <w:hideMark/>
          </w:tcPr>
          <w:p w14:paraId="54544A44" w14:textId="186941F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40B203C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Anxiety &amp; Fear</w:t>
            </w:r>
          </w:p>
        </w:tc>
      </w:tr>
      <w:tr w:rsidR="00F34D15" w:rsidRPr="00732EED" w14:paraId="4F57152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36D912D" w14:textId="77777777" w:rsidR="00F34D15" w:rsidRPr="00732EED" w:rsidRDefault="00F34D15" w:rsidP="00F34D15">
            <w:pPr>
              <w:rPr>
                <w:sz w:val="18"/>
                <w:szCs w:val="18"/>
              </w:rPr>
            </w:pPr>
            <w:r w:rsidRPr="00732EED">
              <w:rPr>
                <w:sz w:val="18"/>
                <w:szCs w:val="18"/>
              </w:rPr>
              <w:t>39</w:t>
            </w:r>
          </w:p>
        </w:tc>
        <w:tc>
          <w:tcPr>
            <w:tcW w:w="0" w:type="auto"/>
            <w:hideMark/>
          </w:tcPr>
          <w:p w14:paraId="6D67259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Activity is positive</w:t>
            </w:r>
          </w:p>
        </w:tc>
        <w:tc>
          <w:tcPr>
            <w:tcW w:w="0" w:type="auto"/>
          </w:tcPr>
          <w:p w14:paraId="0DE7CF8C" w14:textId="2D81CD3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Activity as beneficial</w:t>
            </w:r>
          </w:p>
        </w:tc>
        <w:tc>
          <w:tcPr>
            <w:tcW w:w="0" w:type="auto"/>
            <w:hideMark/>
          </w:tcPr>
          <w:p w14:paraId="29190AB0" w14:textId="142CB0D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40BBC1B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Activity &amp; Pacing</w:t>
            </w:r>
          </w:p>
        </w:tc>
      </w:tr>
      <w:tr w:rsidR="00F34D15" w:rsidRPr="00732EED" w14:paraId="50ECC5D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AD3F7FF" w14:textId="77777777" w:rsidR="00F34D15" w:rsidRPr="00732EED" w:rsidRDefault="00F34D15" w:rsidP="00F34D15">
            <w:pPr>
              <w:rPr>
                <w:sz w:val="18"/>
                <w:szCs w:val="18"/>
              </w:rPr>
            </w:pPr>
            <w:r w:rsidRPr="00732EED">
              <w:rPr>
                <w:sz w:val="18"/>
                <w:szCs w:val="18"/>
              </w:rPr>
              <w:t>40</w:t>
            </w:r>
          </w:p>
        </w:tc>
        <w:tc>
          <w:tcPr>
            <w:tcW w:w="0" w:type="auto"/>
            <w:hideMark/>
          </w:tcPr>
          <w:p w14:paraId="10DDE8A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Importance of body for identity</w:t>
            </w:r>
          </w:p>
        </w:tc>
        <w:tc>
          <w:tcPr>
            <w:tcW w:w="0" w:type="auto"/>
          </w:tcPr>
          <w:p w14:paraId="78C751D7" w14:textId="67A9A25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Body-identity link</w:t>
            </w:r>
          </w:p>
        </w:tc>
        <w:tc>
          <w:tcPr>
            <w:tcW w:w="0" w:type="auto"/>
            <w:hideMark/>
          </w:tcPr>
          <w:p w14:paraId="2C3206B0" w14:textId="7A79EAA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1637492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557D3728"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66E978F" w14:textId="77777777" w:rsidR="00F34D15" w:rsidRPr="00732EED" w:rsidRDefault="00F34D15" w:rsidP="00F34D15">
            <w:pPr>
              <w:rPr>
                <w:sz w:val="18"/>
                <w:szCs w:val="18"/>
              </w:rPr>
            </w:pPr>
            <w:r w:rsidRPr="00732EED">
              <w:rPr>
                <w:sz w:val="18"/>
                <w:szCs w:val="18"/>
              </w:rPr>
              <w:t>40</w:t>
            </w:r>
          </w:p>
        </w:tc>
        <w:tc>
          <w:tcPr>
            <w:tcW w:w="0" w:type="auto"/>
            <w:hideMark/>
          </w:tcPr>
          <w:p w14:paraId="7BB9033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Understanding of pain</w:t>
            </w:r>
          </w:p>
        </w:tc>
        <w:tc>
          <w:tcPr>
            <w:tcW w:w="0" w:type="auto"/>
          </w:tcPr>
          <w:p w14:paraId="176184A5" w14:textId="71C5159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Understanding pain</w:t>
            </w:r>
          </w:p>
        </w:tc>
        <w:tc>
          <w:tcPr>
            <w:tcW w:w="0" w:type="auto"/>
            <w:hideMark/>
          </w:tcPr>
          <w:p w14:paraId="03BE4781" w14:textId="458F628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35C9DB9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Variability &amp; Mystery</w:t>
            </w:r>
          </w:p>
        </w:tc>
      </w:tr>
      <w:tr w:rsidR="00F34D15" w:rsidRPr="00732EED" w14:paraId="0673D40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FB9CA9B" w14:textId="77777777" w:rsidR="00F34D15" w:rsidRPr="00732EED" w:rsidRDefault="00F34D15" w:rsidP="00F34D15">
            <w:pPr>
              <w:rPr>
                <w:sz w:val="18"/>
                <w:szCs w:val="18"/>
              </w:rPr>
            </w:pPr>
            <w:r w:rsidRPr="00732EED">
              <w:rPr>
                <w:sz w:val="18"/>
                <w:szCs w:val="18"/>
              </w:rPr>
              <w:t>40</w:t>
            </w:r>
          </w:p>
        </w:tc>
        <w:tc>
          <w:tcPr>
            <w:tcW w:w="0" w:type="auto"/>
            <w:hideMark/>
          </w:tcPr>
          <w:p w14:paraId="559E6450" w14:textId="2972B0F2" w:rsidR="00F34D15" w:rsidRPr="00732EED" w:rsidRDefault="00B93F1C"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Phase</w:t>
            </w:r>
            <w:r w:rsidR="00F34D15" w:rsidRPr="00732EED">
              <w:rPr>
                <w:sz w:val="18"/>
                <w:szCs w:val="18"/>
              </w:rPr>
              <w:t>s of change</w:t>
            </w:r>
          </w:p>
        </w:tc>
        <w:tc>
          <w:tcPr>
            <w:tcW w:w="0" w:type="auto"/>
          </w:tcPr>
          <w:p w14:paraId="5C2FF44F" w14:textId="4A23BB20" w:rsidR="00F34D15" w:rsidRPr="00732EED" w:rsidRDefault="00B93F1C"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Phase</w:t>
            </w:r>
            <w:r w:rsidR="00F34D15" w:rsidRPr="00732EED">
              <w:rPr>
                <w:sz w:val="18"/>
                <w:szCs w:val="18"/>
              </w:rPr>
              <w:t>s of adaptation</w:t>
            </w:r>
          </w:p>
        </w:tc>
        <w:tc>
          <w:tcPr>
            <w:tcW w:w="0" w:type="auto"/>
            <w:hideMark/>
          </w:tcPr>
          <w:p w14:paraId="387B4042" w14:textId="62D163D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6B5CECB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39C4934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49ACA32" w14:textId="77777777" w:rsidR="00F34D15" w:rsidRPr="00732EED" w:rsidRDefault="00F34D15" w:rsidP="00F34D15">
            <w:pPr>
              <w:rPr>
                <w:sz w:val="18"/>
                <w:szCs w:val="18"/>
              </w:rPr>
            </w:pPr>
            <w:r w:rsidRPr="00732EED">
              <w:rPr>
                <w:sz w:val="18"/>
                <w:szCs w:val="18"/>
              </w:rPr>
              <w:t>41</w:t>
            </w:r>
          </w:p>
        </w:tc>
        <w:tc>
          <w:tcPr>
            <w:tcW w:w="0" w:type="auto"/>
            <w:hideMark/>
          </w:tcPr>
          <w:p w14:paraId="614BA0F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Dichotomy of safety perceptions</w:t>
            </w:r>
          </w:p>
        </w:tc>
        <w:tc>
          <w:tcPr>
            <w:tcW w:w="0" w:type="auto"/>
          </w:tcPr>
          <w:p w14:paraId="73C18FC2" w14:textId="50E2EA7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Safety/ uncertainty</w:t>
            </w:r>
          </w:p>
        </w:tc>
        <w:tc>
          <w:tcPr>
            <w:tcW w:w="0" w:type="auto"/>
            <w:hideMark/>
          </w:tcPr>
          <w:p w14:paraId="2D6B753B" w14:textId="201049D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0E7D2D2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Anxiety &amp; Fear</w:t>
            </w:r>
          </w:p>
        </w:tc>
      </w:tr>
      <w:tr w:rsidR="00F34D15" w:rsidRPr="00732EED" w14:paraId="7141AB1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5529941" w14:textId="77777777" w:rsidR="00F34D15" w:rsidRPr="00732EED" w:rsidRDefault="00F34D15" w:rsidP="00F34D15">
            <w:pPr>
              <w:rPr>
                <w:sz w:val="18"/>
                <w:szCs w:val="18"/>
              </w:rPr>
            </w:pPr>
            <w:r w:rsidRPr="00732EED">
              <w:rPr>
                <w:sz w:val="18"/>
                <w:szCs w:val="18"/>
              </w:rPr>
              <w:lastRenderedPageBreak/>
              <w:t>41</w:t>
            </w:r>
          </w:p>
        </w:tc>
        <w:tc>
          <w:tcPr>
            <w:tcW w:w="0" w:type="auto"/>
            <w:hideMark/>
          </w:tcPr>
          <w:p w14:paraId="0CCE2EA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Adherence despite adversity</w:t>
            </w:r>
          </w:p>
        </w:tc>
        <w:tc>
          <w:tcPr>
            <w:tcW w:w="0" w:type="auto"/>
          </w:tcPr>
          <w:p w14:paraId="2ED941BA" w14:textId="2C48F85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Persistence with treatment</w:t>
            </w:r>
          </w:p>
        </w:tc>
        <w:tc>
          <w:tcPr>
            <w:tcW w:w="0" w:type="auto"/>
            <w:hideMark/>
          </w:tcPr>
          <w:p w14:paraId="5CDF8C10" w14:textId="78B015D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070D16C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1D03DF2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F4DE0AE" w14:textId="77777777" w:rsidR="00F34D15" w:rsidRPr="00732EED" w:rsidRDefault="00F34D15" w:rsidP="00F34D15">
            <w:pPr>
              <w:rPr>
                <w:sz w:val="18"/>
                <w:szCs w:val="18"/>
              </w:rPr>
            </w:pPr>
            <w:r w:rsidRPr="00732EED">
              <w:rPr>
                <w:sz w:val="18"/>
                <w:szCs w:val="18"/>
              </w:rPr>
              <w:t>41</w:t>
            </w:r>
          </w:p>
        </w:tc>
        <w:tc>
          <w:tcPr>
            <w:tcW w:w="0" w:type="auto"/>
            <w:hideMark/>
          </w:tcPr>
          <w:p w14:paraId="69B1642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Fighting the future</w:t>
            </w:r>
          </w:p>
        </w:tc>
        <w:tc>
          <w:tcPr>
            <w:tcW w:w="0" w:type="auto"/>
          </w:tcPr>
          <w:p w14:paraId="2D821343" w14:textId="066D300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Future-oriented fear/effort</w:t>
            </w:r>
          </w:p>
        </w:tc>
        <w:tc>
          <w:tcPr>
            <w:tcW w:w="0" w:type="auto"/>
            <w:hideMark/>
          </w:tcPr>
          <w:p w14:paraId="555B15A3" w14:textId="47D276F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2259EB4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Anxiety &amp; Fear</w:t>
            </w:r>
          </w:p>
        </w:tc>
      </w:tr>
      <w:tr w:rsidR="00F34D15" w:rsidRPr="00732EED" w14:paraId="5ADA1E9C"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8952C98" w14:textId="77777777" w:rsidR="00F34D15" w:rsidRPr="00732EED" w:rsidRDefault="00F34D15" w:rsidP="00F34D15">
            <w:pPr>
              <w:rPr>
                <w:sz w:val="18"/>
                <w:szCs w:val="18"/>
              </w:rPr>
            </w:pPr>
            <w:r w:rsidRPr="00732EED">
              <w:rPr>
                <w:sz w:val="18"/>
                <w:szCs w:val="18"/>
              </w:rPr>
              <w:t>42</w:t>
            </w:r>
          </w:p>
        </w:tc>
        <w:tc>
          <w:tcPr>
            <w:tcW w:w="0" w:type="auto"/>
            <w:hideMark/>
          </w:tcPr>
          <w:p w14:paraId="4DDC90F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complicates COPD profile</w:t>
            </w:r>
          </w:p>
        </w:tc>
        <w:tc>
          <w:tcPr>
            <w:tcW w:w="0" w:type="auto"/>
          </w:tcPr>
          <w:p w14:paraId="46F765CF" w14:textId="25D7418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complicates illness burden</w:t>
            </w:r>
          </w:p>
        </w:tc>
        <w:tc>
          <w:tcPr>
            <w:tcW w:w="0" w:type="auto"/>
            <w:hideMark/>
          </w:tcPr>
          <w:p w14:paraId="21B34EF2" w14:textId="43847CB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76E8584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&amp; Symptom Burden</w:t>
            </w:r>
          </w:p>
        </w:tc>
      </w:tr>
      <w:tr w:rsidR="00F34D15" w:rsidRPr="00732EED" w14:paraId="0633095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CD52BD2" w14:textId="77777777" w:rsidR="00F34D15" w:rsidRPr="00732EED" w:rsidRDefault="00F34D15" w:rsidP="00F34D15">
            <w:pPr>
              <w:rPr>
                <w:sz w:val="18"/>
                <w:szCs w:val="18"/>
              </w:rPr>
            </w:pPr>
            <w:r w:rsidRPr="00732EED">
              <w:rPr>
                <w:sz w:val="18"/>
                <w:szCs w:val="18"/>
              </w:rPr>
              <w:t>42</w:t>
            </w:r>
          </w:p>
        </w:tc>
        <w:tc>
          <w:tcPr>
            <w:tcW w:w="0" w:type="auto"/>
            <w:hideMark/>
          </w:tcPr>
          <w:p w14:paraId="18FF1FB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Uncertainty/need to legitimize</w:t>
            </w:r>
          </w:p>
        </w:tc>
        <w:tc>
          <w:tcPr>
            <w:tcW w:w="0" w:type="auto"/>
          </w:tcPr>
          <w:p w14:paraId="33CB399E" w14:textId="4DF97D2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Need to legitimate pain</w:t>
            </w:r>
          </w:p>
        </w:tc>
        <w:tc>
          <w:tcPr>
            <w:tcW w:w="0" w:type="auto"/>
            <w:hideMark/>
          </w:tcPr>
          <w:p w14:paraId="0E71404C" w14:textId="79E6FA2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29BC64A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414C92A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EFAD3BA" w14:textId="77777777" w:rsidR="00F34D15" w:rsidRPr="00732EED" w:rsidRDefault="00F34D15" w:rsidP="00F34D15">
            <w:pPr>
              <w:rPr>
                <w:sz w:val="18"/>
                <w:szCs w:val="18"/>
              </w:rPr>
            </w:pPr>
            <w:r w:rsidRPr="00732EED">
              <w:rPr>
                <w:sz w:val="18"/>
                <w:szCs w:val="18"/>
              </w:rPr>
              <w:t>42</w:t>
            </w:r>
          </w:p>
        </w:tc>
        <w:tc>
          <w:tcPr>
            <w:tcW w:w="0" w:type="auto"/>
            <w:hideMark/>
          </w:tcPr>
          <w:p w14:paraId="2799877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Language and behavior of pain</w:t>
            </w:r>
          </w:p>
        </w:tc>
        <w:tc>
          <w:tcPr>
            <w:tcW w:w="0" w:type="auto"/>
          </w:tcPr>
          <w:p w14:paraId="1F17F5AD" w14:textId="774257D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language/behavior</w:t>
            </w:r>
          </w:p>
        </w:tc>
        <w:tc>
          <w:tcPr>
            <w:tcW w:w="0" w:type="auto"/>
            <w:hideMark/>
          </w:tcPr>
          <w:p w14:paraId="47EE0A70" w14:textId="61932DF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1213455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w:t>
            </w:r>
          </w:p>
        </w:tc>
      </w:tr>
      <w:tr w:rsidR="00F34D15" w:rsidRPr="00732EED" w14:paraId="45E7A51A"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A37C78" w14:textId="77777777" w:rsidR="00F34D15" w:rsidRPr="00732EED" w:rsidRDefault="00F34D15" w:rsidP="00F34D15">
            <w:pPr>
              <w:rPr>
                <w:sz w:val="18"/>
                <w:szCs w:val="18"/>
              </w:rPr>
            </w:pPr>
            <w:r w:rsidRPr="00732EED">
              <w:rPr>
                <w:sz w:val="18"/>
                <w:szCs w:val="18"/>
              </w:rPr>
              <w:t>42</w:t>
            </w:r>
          </w:p>
        </w:tc>
        <w:tc>
          <w:tcPr>
            <w:tcW w:w="0" w:type="auto"/>
            <w:hideMark/>
          </w:tcPr>
          <w:p w14:paraId="67EAD2F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Depression and fear avoidance</w:t>
            </w:r>
          </w:p>
        </w:tc>
        <w:tc>
          <w:tcPr>
            <w:tcW w:w="0" w:type="auto"/>
          </w:tcPr>
          <w:p w14:paraId="1DB083DB" w14:textId="472FDE4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Depression/fear-avoidance</w:t>
            </w:r>
          </w:p>
        </w:tc>
        <w:tc>
          <w:tcPr>
            <w:tcW w:w="0" w:type="auto"/>
            <w:hideMark/>
          </w:tcPr>
          <w:p w14:paraId="36AC69F5" w14:textId="2D420D1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0F69AB2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Anxiety &amp; Fear</w:t>
            </w:r>
          </w:p>
        </w:tc>
      </w:tr>
      <w:tr w:rsidR="00F34D15" w:rsidRPr="00732EED" w14:paraId="036E6E1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2B5BBD2" w14:textId="77777777" w:rsidR="00F34D15" w:rsidRPr="00732EED" w:rsidRDefault="00F34D15" w:rsidP="00F34D15">
            <w:pPr>
              <w:rPr>
                <w:sz w:val="18"/>
                <w:szCs w:val="18"/>
              </w:rPr>
            </w:pPr>
            <w:r w:rsidRPr="00732EED">
              <w:rPr>
                <w:sz w:val="18"/>
                <w:szCs w:val="18"/>
              </w:rPr>
              <w:t>42</w:t>
            </w:r>
          </w:p>
        </w:tc>
        <w:tc>
          <w:tcPr>
            <w:tcW w:w="0" w:type="auto"/>
            <w:hideMark/>
          </w:tcPr>
          <w:p w14:paraId="70F35E4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Altered identity and guilt</w:t>
            </w:r>
          </w:p>
        </w:tc>
        <w:tc>
          <w:tcPr>
            <w:tcW w:w="0" w:type="auto"/>
          </w:tcPr>
          <w:p w14:paraId="19AED66D" w14:textId="126FB65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Guilt/altered identity</w:t>
            </w:r>
          </w:p>
        </w:tc>
        <w:tc>
          <w:tcPr>
            <w:tcW w:w="0" w:type="auto"/>
            <w:hideMark/>
          </w:tcPr>
          <w:p w14:paraId="43748E5A" w14:textId="3772974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6985F45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0336799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E81775D" w14:textId="77777777" w:rsidR="00F34D15" w:rsidRPr="00732EED" w:rsidRDefault="00F34D15" w:rsidP="00F34D15">
            <w:pPr>
              <w:rPr>
                <w:sz w:val="18"/>
                <w:szCs w:val="18"/>
              </w:rPr>
            </w:pPr>
            <w:r w:rsidRPr="00732EED">
              <w:rPr>
                <w:sz w:val="18"/>
                <w:szCs w:val="18"/>
              </w:rPr>
              <w:t>43</w:t>
            </w:r>
          </w:p>
        </w:tc>
        <w:tc>
          <w:tcPr>
            <w:tcW w:w="0" w:type="auto"/>
            <w:hideMark/>
          </w:tcPr>
          <w:p w14:paraId="07CD07E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Dissatisfaction with healthcare journey</w:t>
            </w:r>
          </w:p>
        </w:tc>
        <w:tc>
          <w:tcPr>
            <w:tcW w:w="0" w:type="auto"/>
          </w:tcPr>
          <w:p w14:paraId="2F6C1097" w14:textId="62B3124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 journey dissatisfaction</w:t>
            </w:r>
          </w:p>
        </w:tc>
        <w:tc>
          <w:tcPr>
            <w:tcW w:w="0" w:type="auto"/>
            <w:hideMark/>
          </w:tcPr>
          <w:p w14:paraId="5FB5BA1B" w14:textId="6676B84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59B181B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7B758AF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BE23D03" w14:textId="77777777" w:rsidR="00F34D15" w:rsidRPr="00732EED" w:rsidRDefault="00F34D15" w:rsidP="00F34D15">
            <w:pPr>
              <w:rPr>
                <w:sz w:val="18"/>
                <w:szCs w:val="18"/>
              </w:rPr>
            </w:pPr>
            <w:r w:rsidRPr="00732EED">
              <w:rPr>
                <w:sz w:val="18"/>
                <w:szCs w:val="18"/>
              </w:rPr>
              <w:t>43</w:t>
            </w:r>
          </w:p>
        </w:tc>
        <w:tc>
          <w:tcPr>
            <w:tcW w:w="0" w:type="auto"/>
            <w:hideMark/>
          </w:tcPr>
          <w:p w14:paraId="114B82A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 of self-identity</w:t>
            </w:r>
          </w:p>
        </w:tc>
        <w:tc>
          <w:tcPr>
            <w:tcW w:w="0" w:type="auto"/>
          </w:tcPr>
          <w:p w14:paraId="2A9690F7" w14:textId="0AD206F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Identity loss</w:t>
            </w:r>
          </w:p>
        </w:tc>
        <w:tc>
          <w:tcPr>
            <w:tcW w:w="0" w:type="auto"/>
            <w:hideMark/>
          </w:tcPr>
          <w:p w14:paraId="18E0BE27" w14:textId="56E70D5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00EBA47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59AEDB4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761AA41" w14:textId="77777777" w:rsidR="00F34D15" w:rsidRPr="00732EED" w:rsidRDefault="00F34D15" w:rsidP="00F34D15">
            <w:pPr>
              <w:rPr>
                <w:sz w:val="18"/>
                <w:szCs w:val="18"/>
              </w:rPr>
            </w:pPr>
            <w:r w:rsidRPr="00732EED">
              <w:rPr>
                <w:sz w:val="18"/>
                <w:szCs w:val="18"/>
              </w:rPr>
              <w:t>43</w:t>
            </w:r>
          </w:p>
        </w:tc>
        <w:tc>
          <w:tcPr>
            <w:tcW w:w="0" w:type="auto"/>
            <w:hideMark/>
          </w:tcPr>
          <w:p w14:paraId="28CD6F2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Cannot enjoy eating/social activity</w:t>
            </w:r>
          </w:p>
        </w:tc>
        <w:tc>
          <w:tcPr>
            <w:tcW w:w="0" w:type="auto"/>
          </w:tcPr>
          <w:p w14:paraId="6802F4D6" w14:textId="3662EAC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Restricted enjoyable activities</w:t>
            </w:r>
          </w:p>
        </w:tc>
        <w:tc>
          <w:tcPr>
            <w:tcW w:w="0" w:type="auto"/>
            <w:hideMark/>
          </w:tcPr>
          <w:p w14:paraId="6C2F234E" w14:textId="5DDADF1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676A613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Limitations &amp; Disability</w:t>
            </w:r>
          </w:p>
        </w:tc>
      </w:tr>
      <w:tr w:rsidR="00F34D15" w:rsidRPr="00732EED" w14:paraId="51AD1DE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41F2A4E" w14:textId="77777777" w:rsidR="00F34D15" w:rsidRPr="00732EED" w:rsidRDefault="00F34D15" w:rsidP="00F34D15">
            <w:pPr>
              <w:rPr>
                <w:sz w:val="18"/>
                <w:szCs w:val="18"/>
              </w:rPr>
            </w:pPr>
            <w:r w:rsidRPr="00732EED">
              <w:rPr>
                <w:sz w:val="18"/>
                <w:szCs w:val="18"/>
              </w:rPr>
              <w:t>44</w:t>
            </w:r>
          </w:p>
        </w:tc>
        <w:tc>
          <w:tcPr>
            <w:tcW w:w="0" w:type="auto"/>
            <w:hideMark/>
          </w:tcPr>
          <w:p w14:paraId="5AA6C14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 and psychological consequences</w:t>
            </w:r>
          </w:p>
        </w:tc>
        <w:tc>
          <w:tcPr>
            <w:tcW w:w="0" w:type="auto"/>
          </w:tcPr>
          <w:p w14:paraId="0AA68EFA" w14:textId="0BD5D07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Physical/psychological burden</w:t>
            </w:r>
          </w:p>
        </w:tc>
        <w:tc>
          <w:tcPr>
            <w:tcW w:w="0" w:type="auto"/>
            <w:hideMark/>
          </w:tcPr>
          <w:p w14:paraId="4A52DEC5" w14:textId="5E2C33D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68391B0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&amp; Symptom Burden</w:t>
            </w:r>
          </w:p>
        </w:tc>
      </w:tr>
      <w:tr w:rsidR="00F34D15" w:rsidRPr="00732EED" w14:paraId="27E37CA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9622161" w14:textId="77777777" w:rsidR="00F34D15" w:rsidRPr="00732EED" w:rsidRDefault="00F34D15" w:rsidP="00F34D15">
            <w:pPr>
              <w:rPr>
                <w:sz w:val="18"/>
                <w:szCs w:val="18"/>
              </w:rPr>
            </w:pPr>
            <w:r w:rsidRPr="00732EED">
              <w:rPr>
                <w:sz w:val="18"/>
                <w:szCs w:val="18"/>
              </w:rPr>
              <w:t>44</w:t>
            </w:r>
          </w:p>
        </w:tc>
        <w:tc>
          <w:tcPr>
            <w:tcW w:w="0" w:type="auto"/>
            <w:hideMark/>
          </w:tcPr>
          <w:p w14:paraId="44A771F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Adapting to life after treatment</w:t>
            </w:r>
          </w:p>
        </w:tc>
        <w:tc>
          <w:tcPr>
            <w:tcW w:w="0" w:type="auto"/>
          </w:tcPr>
          <w:p w14:paraId="332640EC" w14:textId="24AAA4C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Life adaptation post-treatment</w:t>
            </w:r>
          </w:p>
        </w:tc>
        <w:tc>
          <w:tcPr>
            <w:tcW w:w="0" w:type="auto"/>
            <w:hideMark/>
          </w:tcPr>
          <w:p w14:paraId="66CCB22D" w14:textId="2B9BF0B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Ecological</w:t>
            </w:r>
          </w:p>
        </w:tc>
        <w:tc>
          <w:tcPr>
            <w:tcW w:w="0" w:type="auto"/>
            <w:hideMark/>
          </w:tcPr>
          <w:p w14:paraId="55DC5C3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Ecosystem</w:t>
            </w:r>
          </w:p>
        </w:tc>
      </w:tr>
      <w:tr w:rsidR="00F34D15" w:rsidRPr="00732EED" w14:paraId="10E9869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D30BCE6" w14:textId="77777777" w:rsidR="00F34D15" w:rsidRPr="00732EED" w:rsidRDefault="00F34D15" w:rsidP="00F34D15">
            <w:pPr>
              <w:rPr>
                <w:sz w:val="18"/>
                <w:szCs w:val="18"/>
              </w:rPr>
            </w:pPr>
            <w:r w:rsidRPr="00732EED">
              <w:rPr>
                <w:sz w:val="18"/>
                <w:szCs w:val="18"/>
              </w:rPr>
              <w:t>45</w:t>
            </w:r>
          </w:p>
        </w:tc>
        <w:tc>
          <w:tcPr>
            <w:tcW w:w="0" w:type="auto"/>
            <w:hideMark/>
          </w:tcPr>
          <w:p w14:paraId="31CBABE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Diagnosis validates and makes sense of bodily experience</w:t>
            </w:r>
          </w:p>
        </w:tc>
        <w:tc>
          <w:tcPr>
            <w:tcW w:w="0" w:type="auto"/>
          </w:tcPr>
          <w:p w14:paraId="481F2AD6" w14:textId="4180D17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Diagnosis as validation</w:t>
            </w:r>
          </w:p>
        </w:tc>
        <w:tc>
          <w:tcPr>
            <w:tcW w:w="0" w:type="auto"/>
            <w:hideMark/>
          </w:tcPr>
          <w:p w14:paraId="6D8FA446" w14:textId="608FFB8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3A9DF0F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39F0F4AA"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9DDF53F" w14:textId="77777777" w:rsidR="00F34D15" w:rsidRPr="00732EED" w:rsidRDefault="00F34D15" w:rsidP="00F34D15">
            <w:pPr>
              <w:rPr>
                <w:sz w:val="18"/>
                <w:szCs w:val="18"/>
              </w:rPr>
            </w:pPr>
            <w:r w:rsidRPr="00732EED">
              <w:rPr>
                <w:sz w:val="18"/>
                <w:szCs w:val="18"/>
              </w:rPr>
              <w:t>45</w:t>
            </w:r>
          </w:p>
        </w:tc>
        <w:tc>
          <w:tcPr>
            <w:tcW w:w="0" w:type="auto"/>
            <w:hideMark/>
          </w:tcPr>
          <w:p w14:paraId="0316654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Diagnosis legitimates sickness personally/socially</w:t>
            </w:r>
          </w:p>
        </w:tc>
        <w:tc>
          <w:tcPr>
            <w:tcW w:w="0" w:type="auto"/>
          </w:tcPr>
          <w:p w14:paraId="1D3545C9" w14:textId="05F1AF2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legitimation through diagnosis</w:t>
            </w:r>
          </w:p>
        </w:tc>
        <w:tc>
          <w:tcPr>
            <w:tcW w:w="0" w:type="auto"/>
            <w:hideMark/>
          </w:tcPr>
          <w:p w14:paraId="0D382425" w14:textId="459697F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3DCF60A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r>
      <w:tr w:rsidR="00F34D15" w:rsidRPr="00732EED" w14:paraId="0E0E692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BE6E28A" w14:textId="77777777" w:rsidR="00F34D15" w:rsidRPr="00732EED" w:rsidRDefault="00F34D15" w:rsidP="00F34D15">
            <w:pPr>
              <w:rPr>
                <w:sz w:val="18"/>
                <w:szCs w:val="18"/>
              </w:rPr>
            </w:pPr>
            <w:r w:rsidRPr="00732EED">
              <w:rPr>
                <w:sz w:val="18"/>
                <w:szCs w:val="18"/>
              </w:rPr>
              <w:t>65</w:t>
            </w:r>
          </w:p>
        </w:tc>
        <w:tc>
          <w:tcPr>
            <w:tcW w:w="0" w:type="auto"/>
            <w:hideMark/>
          </w:tcPr>
          <w:p w14:paraId="138DBE9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Validate patients by listening</w:t>
            </w:r>
          </w:p>
        </w:tc>
        <w:tc>
          <w:tcPr>
            <w:tcW w:w="0" w:type="auto"/>
          </w:tcPr>
          <w:p w14:paraId="17279C90" w14:textId="23D8757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Listening as validation</w:t>
            </w:r>
          </w:p>
        </w:tc>
        <w:tc>
          <w:tcPr>
            <w:tcW w:w="0" w:type="auto"/>
            <w:hideMark/>
          </w:tcPr>
          <w:p w14:paraId="3FD5ADCD" w14:textId="51DB886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0379707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r>
      <w:tr w:rsidR="00F34D15" w:rsidRPr="00732EED" w14:paraId="1FCCB1CA"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9E47227" w14:textId="77777777" w:rsidR="00F34D15" w:rsidRPr="00732EED" w:rsidRDefault="00F34D15" w:rsidP="00F34D15">
            <w:pPr>
              <w:rPr>
                <w:sz w:val="18"/>
                <w:szCs w:val="18"/>
              </w:rPr>
            </w:pPr>
            <w:r w:rsidRPr="00732EED">
              <w:rPr>
                <w:sz w:val="18"/>
                <w:szCs w:val="18"/>
              </w:rPr>
              <w:t>65</w:t>
            </w:r>
          </w:p>
        </w:tc>
        <w:tc>
          <w:tcPr>
            <w:tcW w:w="0" w:type="auto"/>
            <w:hideMark/>
          </w:tcPr>
          <w:p w14:paraId="2BFC277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Connect with self/self-kindness/future possibilities</w:t>
            </w:r>
          </w:p>
        </w:tc>
        <w:tc>
          <w:tcPr>
            <w:tcW w:w="0" w:type="auto"/>
          </w:tcPr>
          <w:p w14:paraId="60D276FF" w14:textId="421ED5A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Self-kindness/future orientation</w:t>
            </w:r>
          </w:p>
        </w:tc>
        <w:tc>
          <w:tcPr>
            <w:tcW w:w="0" w:type="auto"/>
            <w:hideMark/>
          </w:tcPr>
          <w:p w14:paraId="0383169E" w14:textId="0B88615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57074DB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35F637C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ACD578C" w14:textId="77777777" w:rsidR="00F34D15" w:rsidRPr="00732EED" w:rsidRDefault="00F34D15" w:rsidP="00F34D15">
            <w:pPr>
              <w:rPr>
                <w:sz w:val="18"/>
                <w:szCs w:val="18"/>
              </w:rPr>
            </w:pPr>
            <w:r w:rsidRPr="00732EED">
              <w:rPr>
                <w:sz w:val="18"/>
                <w:szCs w:val="18"/>
              </w:rPr>
              <w:t>65</w:t>
            </w:r>
          </w:p>
        </w:tc>
        <w:tc>
          <w:tcPr>
            <w:tcW w:w="0" w:type="auto"/>
            <w:hideMark/>
          </w:tcPr>
          <w:p w14:paraId="02A43C1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Reconnect safely with social world</w:t>
            </w:r>
          </w:p>
        </w:tc>
        <w:tc>
          <w:tcPr>
            <w:tcW w:w="0" w:type="auto"/>
          </w:tcPr>
          <w:p w14:paraId="048D6BC9" w14:textId="33F6704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reconnection</w:t>
            </w:r>
          </w:p>
        </w:tc>
        <w:tc>
          <w:tcPr>
            <w:tcW w:w="0" w:type="auto"/>
            <w:hideMark/>
          </w:tcPr>
          <w:p w14:paraId="71A170CD" w14:textId="0998031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597168C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System</w:t>
            </w:r>
          </w:p>
        </w:tc>
      </w:tr>
      <w:tr w:rsidR="00F34D15" w:rsidRPr="00732EED" w14:paraId="2DDA092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1C625A8" w14:textId="77777777" w:rsidR="00F34D15" w:rsidRPr="00732EED" w:rsidRDefault="00F34D15" w:rsidP="00F34D15">
            <w:pPr>
              <w:rPr>
                <w:sz w:val="18"/>
                <w:szCs w:val="18"/>
              </w:rPr>
            </w:pPr>
            <w:r w:rsidRPr="00732EED">
              <w:rPr>
                <w:sz w:val="18"/>
                <w:szCs w:val="18"/>
              </w:rPr>
              <w:t>66</w:t>
            </w:r>
          </w:p>
        </w:tc>
        <w:tc>
          <w:tcPr>
            <w:tcW w:w="0" w:type="auto"/>
            <w:hideMark/>
          </w:tcPr>
          <w:p w14:paraId="699F747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affects day-to-day life</w:t>
            </w:r>
          </w:p>
        </w:tc>
        <w:tc>
          <w:tcPr>
            <w:tcW w:w="0" w:type="auto"/>
          </w:tcPr>
          <w:p w14:paraId="245DECC2" w14:textId="103F52F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Day-to-day life impact</w:t>
            </w:r>
          </w:p>
        </w:tc>
        <w:tc>
          <w:tcPr>
            <w:tcW w:w="0" w:type="auto"/>
            <w:hideMark/>
          </w:tcPr>
          <w:p w14:paraId="25451D81" w14:textId="75FFCE1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6789B0E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Limitations &amp; Disability</w:t>
            </w:r>
          </w:p>
        </w:tc>
      </w:tr>
      <w:tr w:rsidR="00F34D15" w:rsidRPr="00732EED" w14:paraId="3F357D06"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09DEFAB" w14:textId="77777777" w:rsidR="00F34D15" w:rsidRPr="00732EED" w:rsidRDefault="00F34D15" w:rsidP="00F34D15">
            <w:pPr>
              <w:rPr>
                <w:sz w:val="18"/>
                <w:szCs w:val="18"/>
              </w:rPr>
            </w:pPr>
            <w:r w:rsidRPr="00732EED">
              <w:rPr>
                <w:sz w:val="18"/>
                <w:szCs w:val="18"/>
              </w:rPr>
              <w:t>66</w:t>
            </w:r>
          </w:p>
        </w:tc>
        <w:tc>
          <w:tcPr>
            <w:tcW w:w="0" w:type="auto"/>
            <w:hideMark/>
          </w:tcPr>
          <w:p w14:paraId="6600261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Invisibility leads to misunderstanding/misjudgment/loneliness</w:t>
            </w:r>
          </w:p>
        </w:tc>
        <w:tc>
          <w:tcPr>
            <w:tcW w:w="0" w:type="auto"/>
          </w:tcPr>
          <w:p w14:paraId="2AEE81C1" w14:textId="685F173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Invisible pain stigma</w:t>
            </w:r>
          </w:p>
        </w:tc>
        <w:tc>
          <w:tcPr>
            <w:tcW w:w="0" w:type="auto"/>
            <w:hideMark/>
          </w:tcPr>
          <w:p w14:paraId="2EC16E29" w14:textId="4358C5F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4DABEAC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&amp; Malingering</w:t>
            </w:r>
          </w:p>
        </w:tc>
      </w:tr>
      <w:tr w:rsidR="00F34D15" w:rsidRPr="00732EED" w14:paraId="4D37E82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20A384F" w14:textId="77777777" w:rsidR="00F34D15" w:rsidRPr="00732EED" w:rsidRDefault="00F34D15" w:rsidP="00F34D15">
            <w:pPr>
              <w:rPr>
                <w:sz w:val="18"/>
                <w:szCs w:val="18"/>
              </w:rPr>
            </w:pPr>
            <w:r w:rsidRPr="00732EED">
              <w:rPr>
                <w:sz w:val="18"/>
                <w:szCs w:val="18"/>
              </w:rPr>
              <w:t>66</w:t>
            </w:r>
          </w:p>
        </w:tc>
        <w:tc>
          <w:tcPr>
            <w:tcW w:w="0" w:type="auto"/>
            <w:hideMark/>
          </w:tcPr>
          <w:p w14:paraId="5D1EDC1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Cause of pain is mystery</w:t>
            </w:r>
          </w:p>
        </w:tc>
        <w:tc>
          <w:tcPr>
            <w:tcW w:w="0" w:type="auto"/>
          </w:tcPr>
          <w:p w14:paraId="354785E2" w14:textId="230A5D0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mystery</w:t>
            </w:r>
          </w:p>
        </w:tc>
        <w:tc>
          <w:tcPr>
            <w:tcW w:w="0" w:type="auto"/>
            <w:hideMark/>
          </w:tcPr>
          <w:p w14:paraId="03EED480" w14:textId="24D8BFD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7C5AF11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Variability &amp; Mystery</w:t>
            </w:r>
          </w:p>
        </w:tc>
      </w:tr>
      <w:tr w:rsidR="00F34D15" w:rsidRPr="00732EED" w14:paraId="1E55013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4D1273B" w14:textId="77777777" w:rsidR="00F34D15" w:rsidRPr="00732EED" w:rsidRDefault="00F34D15" w:rsidP="00F34D15">
            <w:pPr>
              <w:rPr>
                <w:sz w:val="18"/>
                <w:szCs w:val="18"/>
              </w:rPr>
            </w:pPr>
            <w:r w:rsidRPr="00732EED">
              <w:rPr>
                <w:sz w:val="18"/>
                <w:szCs w:val="18"/>
              </w:rPr>
              <w:t>66</w:t>
            </w:r>
          </w:p>
        </w:tc>
        <w:tc>
          <w:tcPr>
            <w:tcW w:w="0" w:type="auto"/>
            <w:hideMark/>
          </w:tcPr>
          <w:p w14:paraId="16DAFC3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Search for cure is a quest</w:t>
            </w:r>
          </w:p>
        </w:tc>
        <w:tc>
          <w:tcPr>
            <w:tcW w:w="0" w:type="auto"/>
          </w:tcPr>
          <w:p w14:paraId="474FDB5C" w14:textId="5F9F399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Cure quest</w:t>
            </w:r>
          </w:p>
        </w:tc>
        <w:tc>
          <w:tcPr>
            <w:tcW w:w="0" w:type="auto"/>
            <w:hideMark/>
          </w:tcPr>
          <w:p w14:paraId="6A09C415" w14:textId="0EE8362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13B4432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2E5C0C4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E1D7753" w14:textId="77777777" w:rsidR="00F34D15" w:rsidRPr="00732EED" w:rsidRDefault="00F34D15" w:rsidP="00F34D15">
            <w:pPr>
              <w:rPr>
                <w:sz w:val="18"/>
                <w:szCs w:val="18"/>
              </w:rPr>
            </w:pPr>
            <w:r w:rsidRPr="00732EED">
              <w:rPr>
                <w:sz w:val="18"/>
                <w:szCs w:val="18"/>
              </w:rPr>
              <w:t>66</w:t>
            </w:r>
          </w:p>
        </w:tc>
        <w:tc>
          <w:tcPr>
            <w:tcW w:w="0" w:type="auto"/>
            <w:hideMark/>
          </w:tcPr>
          <w:p w14:paraId="0B776FC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Individual ways of coping/living with pain</w:t>
            </w:r>
          </w:p>
        </w:tc>
        <w:tc>
          <w:tcPr>
            <w:tcW w:w="0" w:type="auto"/>
          </w:tcPr>
          <w:p w14:paraId="41CAA9D2" w14:textId="7A715F9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Coping</w:t>
            </w:r>
          </w:p>
        </w:tc>
        <w:tc>
          <w:tcPr>
            <w:tcW w:w="0" w:type="auto"/>
            <w:hideMark/>
          </w:tcPr>
          <w:p w14:paraId="00085A8C" w14:textId="17B5CCB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Coping/Adaptation</w:t>
            </w:r>
          </w:p>
        </w:tc>
        <w:tc>
          <w:tcPr>
            <w:tcW w:w="0" w:type="auto"/>
            <w:hideMark/>
          </w:tcPr>
          <w:p w14:paraId="5B866F3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Active Management &amp; Navigation</w:t>
            </w:r>
          </w:p>
        </w:tc>
      </w:tr>
      <w:tr w:rsidR="00F34D15" w:rsidRPr="00732EED" w14:paraId="37B3286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C4FCE18" w14:textId="77777777" w:rsidR="00F34D15" w:rsidRPr="00732EED" w:rsidRDefault="00F34D15" w:rsidP="00F34D15">
            <w:pPr>
              <w:rPr>
                <w:sz w:val="18"/>
                <w:szCs w:val="18"/>
              </w:rPr>
            </w:pPr>
            <w:r w:rsidRPr="00732EED">
              <w:rPr>
                <w:sz w:val="18"/>
                <w:szCs w:val="18"/>
              </w:rPr>
              <w:lastRenderedPageBreak/>
              <w:t>67</w:t>
            </w:r>
          </w:p>
        </w:tc>
        <w:tc>
          <w:tcPr>
            <w:tcW w:w="0" w:type="auto"/>
            <w:hideMark/>
          </w:tcPr>
          <w:p w14:paraId="3CA2417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Travel and long waiting periods</w:t>
            </w:r>
          </w:p>
        </w:tc>
        <w:tc>
          <w:tcPr>
            <w:tcW w:w="0" w:type="auto"/>
          </w:tcPr>
          <w:p w14:paraId="69C2DB1C" w14:textId="6A6C5EB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Travel/wait barriers</w:t>
            </w:r>
          </w:p>
        </w:tc>
        <w:tc>
          <w:tcPr>
            <w:tcW w:w="0" w:type="auto"/>
            <w:hideMark/>
          </w:tcPr>
          <w:p w14:paraId="37B553E8" w14:textId="5CB6A33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4260CC8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Access Barriers &amp; Logistics</w:t>
            </w:r>
          </w:p>
        </w:tc>
      </w:tr>
      <w:tr w:rsidR="00F34D15" w:rsidRPr="00732EED" w14:paraId="7CCBCD5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F215147" w14:textId="77777777" w:rsidR="00F34D15" w:rsidRPr="00732EED" w:rsidRDefault="00F34D15" w:rsidP="00F34D15">
            <w:pPr>
              <w:rPr>
                <w:sz w:val="18"/>
                <w:szCs w:val="18"/>
              </w:rPr>
            </w:pPr>
            <w:r w:rsidRPr="00732EED">
              <w:rPr>
                <w:sz w:val="18"/>
                <w:szCs w:val="18"/>
              </w:rPr>
              <w:t>67</w:t>
            </w:r>
          </w:p>
        </w:tc>
        <w:tc>
          <w:tcPr>
            <w:tcW w:w="0" w:type="auto"/>
            <w:hideMark/>
          </w:tcPr>
          <w:p w14:paraId="6C37FF8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Shortage of personnel/infrastructure</w:t>
            </w:r>
          </w:p>
        </w:tc>
        <w:tc>
          <w:tcPr>
            <w:tcW w:w="0" w:type="auto"/>
          </w:tcPr>
          <w:p w14:paraId="4645AAA3" w14:textId="5A79B9D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Service shortage</w:t>
            </w:r>
          </w:p>
        </w:tc>
        <w:tc>
          <w:tcPr>
            <w:tcW w:w="0" w:type="auto"/>
            <w:hideMark/>
          </w:tcPr>
          <w:p w14:paraId="3B531698" w14:textId="33F639C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7D96876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Access Barriers &amp; Logistics</w:t>
            </w:r>
          </w:p>
        </w:tc>
      </w:tr>
      <w:tr w:rsidR="00F34D15" w:rsidRPr="00732EED" w14:paraId="0DEFFBC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91CE90" w14:textId="77777777" w:rsidR="00F34D15" w:rsidRPr="00732EED" w:rsidRDefault="00F34D15" w:rsidP="00F34D15">
            <w:pPr>
              <w:rPr>
                <w:sz w:val="18"/>
                <w:szCs w:val="18"/>
              </w:rPr>
            </w:pPr>
            <w:r w:rsidRPr="00732EED">
              <w:rPr>
                <w:sz w:val="18"/>
                <w:szCs w:val="18"/>
              </w:rPr>
              <w:t>67</w:t>
            </w:r>
          </w:p>
        </w:tc>
        <w:tc>
          <w:tcPr>
            <w:tcW w:w="0" w:type="auto"/>
            <w:hideMark/>
          </w:tcPr>
          <w:p w14:paraId="41AE2E4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 barriers</w:t>
            </w:r>
          </w:p>
        </w:tc>
        <w:tc>
          <w:tcPr>
            <w:tcW w:w="0" w:type="auto"/>
          </w:tcPr>
          <w:p w14:paraId="705B3B23" w14:textId="0ADB4B8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 barriers</w:t>
            </w:r>
          </w:p>
        </w:tc>
        <w:tc>
          <w:tcPr>
            <w:tcW w:w="0" w:type="auto"/>
            <w:hideMark/>
          </w:tcPr>
          <w:p w14:paraId="5232039A" w14:textId="6BDB178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63C1126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w:t>
            </w:r>
          </w:p>
        </w:tc>
      </w:tr>
      <w:tr w:rsidR="00F34D15" w:rsidRPr="00732EED" w14:paraId="147C094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A9B606E" w14:textId="77777777" w:rsidR="00F34D15" w:rsidRPr="00732EED" w:rsidRDefault="00F34D15" w:rsidP="00F34D15">
            <w:pPr>
              <w:rPr>
                <w:sz w:val="18"/>
                <w:szCs w:val="18"/>
              </w:rPr>
            </w:pPr>
            <w:r w:rsidRPr="00732EED">
              <w:rPr>
                <w:sz w:val="18"/>
                <w:szCs w:val="18"/>
              </w:rPr>
              <w:t>67</w:t>
            </w:r>
          </w:p>
        </w:tc>
        <w:tc>
          <w:tcPr>
            <w:tcW w:w="0" w:type="auto"/>
            <w:hideMark/>
          </w:tcPr>
          <w:p w14:paraId="45CF3E7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influence and beliefs around cause/effect</w:t>
            </w:r>
          </w:p>
        </w:tc>
        <w:tc>
          <w:tcPr>
            <w:tcW w:w="0" w:type="auto"/>
          </w:tcPr>
          <w:p w14:paraId="3A0486D9" w14:textId="19ECDBB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 health beliefs</w:t>
            </w:r>
          </w:p>
        </w:tc>
        <w:tc>
          <w:tcPr>
            <w:tcW w:w="0" w:type="auto"/>
            <w:hideMark/>
          </w:tcPr>
          <w:p w14:paraId="3A9BCC3F" w14:textId="553C49A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05F75A2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Beliefs &amp; Explanatory Models</w:t>
            </w:r>
          </w:p>
        </w:tc>
      </w:tr>
      <w:tr w:rsidR="00F34D15" w:rsidRPr="00732EED" w14:paraId="7568C44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57CEB3D" w14:textId="77777777" w:rsidR="00F34D15" w:rsidRPr="00732EED" w:rsidRDefault="00F34D15" w:rsidP="00F34D15">
            <w:pPr>
              <w:rPr>
                <w:sz w:val="18"/>
                <w:szCs w:val="18"/>
              </w:rPr>
            </w:pPr>
            <w:r w:rsidRPr="00732EED">
              <w:rPr>
                <w:sz w:val="18"/>
                <w:szCs w:val="18"/>
              </w:rPr>
              <w:t>67</w:t>
            </w:r>
          </w:p>
        </w:tc>
        <w:tc>
          <w:tcPr>
            <w:tcW w:w="0" w:type="auto"/>
            <w:hideMark/>
          </w:tcPr>
          <w:p w14:paraId="54598C6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Misdiagnosis/inappropriate treatment</w:t>
            </w:r>
          </w:p>
        </w:tc>
        <w:tc>
          <w:tcPr>
            <w:tcW w:w="0" w:type="auto"/>
          </w:tcPr>
          <w:p w14:paraId="1339895E" w14:textId="2EB5263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Misdiagnosis/inappropriate care</w:t>
            </w:r>
          </w:p>
        </w:tc>
        <w:tc>
          <w:tcPr>
            <w:tcW w:w="0" w:type="auto"/>
            <w:hideMark/>
          </w:tcPr>
          <w:p w14:paraId="0A6D28D0" w14:textId="17F3A02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18C366A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752C3BF6"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F3E7DC8" w14:textId="77777777" w:rsidR="00F34D15" w:rsidRPr="00732EED" w:rsidRDefault="00F34D15" w:rsidP="00F34D15">
            <w:pPr>
              <w:rPr>
                <w:sz w:val="18"/>
                <w:szCs w:val="18"/>
              </w:rPr>
            </w:pPr>
            <w:r w:rsidRPr="00732EED">
              <w:rPr>
                <w:sz w:val="18"/>
                <w:szCs w:val="18"/>
              </w:rPr>
              <w:t>68</w:t>
            </w:r>
          </w:p>
        </w:tc>
        <w:tc>
          <w:tcPr>
            <w:tcW w:w="0" w:type="auto"/>
            <w:hideMark/>
          </w:tcPr>
          <w:p w14:paraId="2B6C3F1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Story of pain</w:t>
            </w:r>
          </w:p>
        </w:tc>
        <w:tc>
          <w:tcPr>
            <w:tcW w:w="0" w:type="auto"/>
          </w:tcPr>
          <w:p w14:paraId="3A8279B5" w14:textId="7687CAB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Lived pain narrative</w:t>
            </w:r>
          </w:p>
        </w:tc>
        <w:tc>
          <w:tcPr>
            <w:tcW w:w="0" w:type="auto"/>
            <w:hideMark/>
          </w:tcPr>
          <w:p w14:paraId="72BD4299" w14:textId="377A895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61B0E15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Suffering &amp; Distress</w:t>
            </w:r>
          </w:p>
        </w:tc>
      </w:tr>
      <w:tr w:rsidR="00F34D15" w:rsidRPr="00732EED" w14:paraId="303A81E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D0542FB" w14:textId="77777777" w:rsidR="00F34D15" w:rsidRPr="00732EED" w:rsidRDefault="00F34D15" w:rsidP="00F34D15">
            <w:pPr>
              <w:rPr>
                <w:sz w:val="18"/>
                <w:szCs w:val="18"/>
              </w:rPr>
            </w:pPr>
            <w:r w:rsidRPr="00732EED">
              <w:rPr>
                <w:sz w:val="18"/>
                <w:szCs w:val="18"/>
              </w:rPr>
              <w:t>68</w:t>
            </w:r>
          </w:p>
        </w:tc>
        <w:tc>
          <w:tcPr>
            <w:tcW w:w="0" w:type="auto"/>
            <w:hideMark/>
          </w:tcPr>
          <w:p w14:paraId="0DE75F5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Help seeking in Australia and home country</w:t>
            </w:r>
          </w:p>
        </w:tc>
        <w:tc>
          <w:tcPr>
            <w:tcW w:w="0" w:type="auto"/>
          </w:tcPr>
          <w:p w14:paraId="70992395" w14:textId="5277E9C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Comparative help-seeking barriers</w:t>
            </w:r>
          </w:p>
        </w:tc>
        <w:tc>
          <w:tcPr>
            <w:tcW w:w="0" w:type="auto"/>
            <w:hideMark/>
          </w:tcPr>
          <w:p w14:paraId="00416360" w14:textId="03566B5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678E1A6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Access Barriers &amp; Logistics</w:t>
            </w:r>
          </w:p>
        </w:tc>
      </w:tr>
      <w:tr w:rsidR="00F34D15" w:rsidRPr="00732EED" w14:paraId="52A368A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F9638CF" w14:textId="77777777" w:rsidR="00F34D15" w:rsidRPr="00732EED" w:rsidRDefault="00F34D15" w:rsidP="00F34D15">
            <w:pPr>
              <w:rPr>
                <w:sz w:val="18"/>
                <w:szCs w:val="18"/>
              </w:rPr>
            </w:pPr>
            <w:r w:rsidRPr="00732EED">
              <w:rPr>
                <w:sz w:val="18"/>
                <w:szCs w:val="18"/>
              </w:rPr>
              <w:t>68</w:t>
            </w:r>
          </w:p>
        </w:tc>
        <w:tc>
          <w:tcPr>
            <w:tcW w:w="0" w:type="auto"/>
            <w:hideMark/>
          </w:tcPr>
          <w:p w14:paraId="510E386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Factors shaping access to appropriate care</w:t>
            </w:r>
          </w:p>
        </w:tc>
        <w:tc>
          <w:tcPr>
            <w:tcW w:w="0" w:type="auto"/>
          </w:tcPr>
          <w:p w14:paraId="44BD8434" w14:textId="5D504C5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Access-shaping factors</w:t>
            </w:r>
          </w:p>
        </w:tc>
        <w:tc>
          <w:tcPr>
            <w:tcW w:w="0" w:type="auto"/>
            <w:hideMark/>
          </w:tcPr>
          <w:p w14:paraId="299609FA" w14:textId="1D94975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7C0997C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Access To Healthcare</w:t>
            </w:r>
          </w:p>
        </w:tc>
      </w:tr>
      <w:tr w:rsidR="00F34D15" w:rsidRPr="00732EED" w14:paraId="256C1E5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1F2B551" w14:textId="77777777" w:rsidR="00F34D15" w:rsidRPr="00732EED" w:rsidRDefault="00F34D15" w:rsidP="00F34D15">
            <w:pPr>
              <w:rPr>
                <w:sz w:val="18"/>
                <w:szCs w:val="18"/>
              </w:rPr>
            </w:pPr>
            <w:r w:rsidRPr="00732EED">
              <w:rPr>
                <w:sz w:val="18"/>
                <w:szCs w:val="18"/>
              </w:rPr>
              <w:t>68</w:t>
            </w:r>
          </w:p>
        </w:tc>
        <w:tc>
          <w:tcPr>
            <w:tcW w:w="0" w:type="auto"/>
            <w:hideMark/>
          </w:tcPr>
          <w:p w14:paraId="3722DEC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Support-seeking systems</w:t>
            </w:r>
          </w:p>
        </w:tc>
        <w:tc>
          <w:tcPr>
            <w:tcW w:w="0" w:type="auto"/>
          </w:tcPr>
          <w:p w14:paraId="5E641095" w14:textId="6C8D5F4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Support-seeking pathways</w:t>
            </w:r>
          </w:p>
        </w:tc>
        <w:tc>
          <w:tcPr>
            <w:tcW w:w="0" w:type="auto"/>
            <w:hideMark/>
          </w:tcPr>
          <w:p w14:paraId="4FC9903F" w14:textId="5DF8D42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02AFA8D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System</w:t>
            </w:r>
          </w:p>
        </w:tc>
      </w:tr>
      <w:tr w:rsidR="00F34D15" w:rsidRPr="00732EED" w14:paraId="3ED36B9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FD58E5B" w14:textId="77777777" w:rsidR="00F34D15" w:rsidRPr="00732EED" w:rsidRDefault="00F34D15" w:rsidP="00F34D15">
            <w:pPr>
              <w:rPr>
                <w:sz w:val="18"/>
                <w:szCs w:val="18"/>
              </w:rPr>
            </w:pPr>
            <w:r w:rsidRPr="00732EED">
              <w:rPr>
                <w:sz w:val="18"/>
                <w:szCs w:val="18"/>
              </w:rPr>
              <w:t>68</w:t>
            </w:r>
          </w:p>
        </w:tc>
        <w:tc>
          <w:tcPr>
            <w:tcW w:w="0" w:type="auto"/>
            <w:hideMark/>
          </w:tcPr>
          <w:p w14:paraId="7EC3183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Influence of culture and gender roles</w:t>
            </w:r>
          </w:p>
        </w:tc>
        <w:tc>
          <w:tcPr>
            <w:tcW w:w="0" w:type="auto"/>
          </w:tcPr>
          <w:p w14:paraId="1E386B8D" w14:textId="068DE19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Culture/gender role influence</w:t>
            </w:r>
          </w:p>
        </w:tc>
        <w:tc>
          <w:tcPr>
            <w:tcW w:w="0" w:type="auto"/>
            <w:hideMark/>
          </w:tcPr>
          <w:p w14:paraId="1D84EA0C" w14:textId="515F669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0F138FC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Gender Norms &amp; Roles</w:t>
            </w:r>
          </w:p>
        </w:tc>
      </w:tr>
      <w:tr w:rsidR="00F34D15" w:rsidRPr="00732EED" w14:paraId="6827356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FD23A92" w14:textId="77777777" w:rsidR="00F34D15" w:rsidRPr="00732EED" w:rsidRDefault="00F34D15" w:rsidP="00F34D15">
            <w:pPr>
              <w:rPr>
                <w:sz w:val="18"/>
                <w:szCs w:val="18"/>
              </w:rPr>
            </w:pPr>
            <w:r w:rsidRPr="00732EED">
              <w:rPr>
                <w:sz w:val="18"/>
                <w:szCs w:val="18"/>
              </w:rPr>
              <w:t>69</w:t>
            </w:r>
          </w:p>
        </w:tc>
        <w:tc>
          <w:tcPr>
            <w:tcW w:w="0" w:type="auto"/>
            <w:hideMark/>
          </w:tcPr>
          <w:p w14:paraId="4F1DC2E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through education and exercise</w:t>
            </w:r>
          </w:p>
        </w:tc>
        <w:tc>
          <w:tcPr>
            <w:tcW w:w="0" w:type="auto"/>
          </w:tcPr>
          <w:p w14:paraId="327108FC" w14:textId="0C13545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through PT/education</w:t>
            </w:r>
          </w:p>
        </w:tc>
        <w:tc>
          <w:tcPr>
            <w:tcW w:w="0" w:type="auto"/>
            <w:hideMark/>
          </w:tcPr>
          <w:p w14:paraId="43CB569C" w14:textId="29670EC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6AC6831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33556876"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337FA9F" w14:textId="77777777" w:rsidR="00F34D15" w:rsidRPr="00732EED" w:rsidRDefault="00F34D15" w:rsidP="00F34D15">
            <w:pPr>
              <w:rPr>
                <w:sz w:val="18"/>
                <w:szCs w:val="18"/>
              </w:rPr>
            </w:pPr>
            <w:r w:rsidRPr="00732EED">
              <w:rPr>
                <w:sz w:val="18"/>
                <w:szCs w:val="18"/>
              </w:rPr>
              <w:t>69</w:t>
            </w:r>
          </w:p>
        </w:tc>
        <w:tc>
          <w:tcPr>
            <w:tcW w:w="0" w:type="auto"/>
            <w:hideMark/>
          </w:tcPr>
          <w:p w14:paraId="55966F9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Interconnectedness with providers and patients</w:t>
            </w:r>
          </w:p>
        </w:tc>
        <w:tc>
          <w:tcPr>
            <w:tcW w:w="0" w:type="auto"/>
          </w:tcPr>
          <w:p w14:paraId="03ED0A3B" w14:textId="5C9841B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Provider-patient interconnectedness</w:t>
            </w:r>
          </w:p>
        </w:tc>
        <w:tc>
          <w:tcPr>
            <w:tcW w:w="0" w:type="auto"/>
            <w:hideMark/>
          </w:tcPr>
          <w:p w14:paraId="0742E44C" w14:textId="779CFBF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2C3CEA3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589321C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E954098" w14:textId="77777777" w:rsidR="00F34D15" w:rsidRPr="00732EED" w:rsidRDefault="00F34D15" w:rsidP="00F34D15">
            <w:pPr>
              <w:rPr>
                <w:sz w:val="18"/>
                <w:szCs w:val="18"/>
              </w:rPr>
            </w:pPr>
            <w:r w:rsidRPr="00732EED">
              <w:rPr>
                <w:sz w:val="18"/>
                <w:szCs w:val="18"/>
              </w:rPr>
              <w:t>69</w:t>
            </w:r>
          </w:p>
        </w:tc>
        <w:tc>
          <w:tcPr>
            <w:tcW w:w="0" w:type="auto"/>
            <w:hideMark/>
          </w:tcPr>
          <w:p w14:paraId="6EDBFD3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Improvements in pain/body mechanics/mood</w:t>
            </w:r>
          </w:p>
        </w:tc>
        <w:tc>
          <w:tcPr>
            <w:tcW w:w="0" w:type="auto"/>
          </w:tcPr>
          <w:p w14:paraId="2DAD92F5" w14:textId="581DB95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Functional improvement</w:t>
            </w:r>
          </w:p>
        </w:tc>
        <w:tc>
          <w:tcPr>
            <w:tcW w:w="0" w:type="auto"/>
            <w:hideMark/>
          </w:tcPr>
          <w:p w14:paraId="088E9D93" w14:textId="0E358A9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623FBB7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Activity &amp; Pacing</w:t>
            </w:r>
          </w:p>
        </w:tc>
      </w:tr>
      <w:tr w:rsidR="00F34D15" w:rsidRPr="00732EED" w14:paraId="34FF4393"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F83C04A" w14:textId="77777777" w:rsidR="00F34D15" w:rsidRPr="00732EED" w:rsidRDefault="00F34D15" w:rsidP="00F34D15">
            <w:pPr>
              <w:rPr>
                <w:sz w:val="18"/>
                <w:szCs w:val="18"/>
              </w:rPr>
            </w:pPr>
            <w:r w:rsidRPr="00732EED">
              <w:rPr>
                <w:sz w:val="18"/>
                <w:szCs w:val="18"/>
              </w:rPr>
              <w:t>69</w:t>
            </w:r>
          </w:p>
        </w:tc>
        <w:tc>
          <w:tcPr>
            <w:tcW w:w="0" w:type="auto"/>
            <w:hideMark/>
          </w:tcPr>
          <w:p w14:paraId="1C74871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Limited improvement due to therapist disengagement</w:t>
            </w:r>
          </w:p>
        </w:tc>
        <w:tc>
          <w:tcPr>
            <w:tcW w:w="0" w:type="auto"/>
          </w:tcPr>
          <w:p w14:paraId="484C9A62" w14:textId="075CDAE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Therapist disengagement</w:t>
            </w:r>
          </w:p>
        </w:tc>
        <w:tc>
          <w:tcPr>
            <w:tcW w:w="0" w:type="auto"/>
            <w:hideMark/>
          </w:tcPr>
          <w:p w14:paraId="3D6E42C9" w14:textId="54C94C4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4A04E7E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Validation vs Dismissal</w:t>
            </w:r>
          </w:p>
        </w:tc>
      </w:tr>
      <w:tr w:rsidR="00F34D15" w:rsidRPr="00732EED" w14:paraId="5592124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FD01C4B" w14:textId="77777777" w:rsidR="00F34D15" w:rsidRPr="00732EED" w:rsidRDefault="00F34D15" w:rsidP="00F34D15">
            <w:pPr>
              <w:rPr>
                <w:sz w:val="18"/>
                <w:szCs w:val="18"/>
              </w:rPr>
            </w:pPr>
            <w:r w:rsidRPr="00732EED">
              <w:rPr>
                <w:sz w:val="18"/>
                <w:szCs w:val="18"/>
              </w:rPr>
              <w:t>70</w:t>
            </w:r>
          </w:p>
        </w:tc>
        <w:tc>
          <w:tcPr>
            <w:tcW w:w="0" w:type="auto"/>
            <w:hideMark/>
          </w:tcPr>
          <w:p w14:paraId="2DDA446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 is persistent daily struggle</w:t>
            </w:r>
          </w:p>
        </w:tc>
        <w:tc>
          <w:tcPr>
            <w:tcW w:w="0" w:type="auto"/>
          </w:tcPr>
          <w:p w14:paraId="3FB08DBA" w14:textId="1045EF7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Daily struggle of pain</w:t>
            </w:r>
          </w:p>
        </w:tc>
        <w:tc>
          <w:tcPr>
            <w:tcW w:w="0" w:type="auto"/>
            <w:hideMark/>
          </w:tcPr>
          <w:p w14:paraId="29803256" w14:textId="00147F4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3617E92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Dominance / “Pain is the master”</w:t>
            </w:r>
          </w:p>
        </w:tc>
      </w:tr>
      <w:tr w:rsidR="00F34D15" w:rsidRPr="00732EED" w14:paraId="2982F2F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FD4ECB0" w14:textId="77777777" w:rsidR="00F34D15" w:rsidRPr="00732EED" w:rsidRDefault="00F34D15" w:rsidP="00F34D15">
            <w:pPr>
              <w:rPr>
                <w:sz w:val="18"/>
                <w:szCs w:val="18"/>
              </w:rPr>
            </w:pPr>
            <w:r w:rsidRPr="00732EED">
              <w:rPr>
                <w:sz w:val="18"/>
                <w:szCs w:val="18"/>
              </w:rPr>
              <w:t>70</w:t>
            </w:r>
          </w:p>
        </w:tc>
        <w:tc>
          <w:tcPr>
            <w:tcW w:w="0" w:type="auto"/>
            <w:hideMark/>
          </w:tcPr>
          <w:p w14:paraId="0688F82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is the new normal</w:t>
            </w:r>
          </w:p>
        </w:tc>
        <w:tc>
          <w:tcPr>
            <w:tcW w:w="0" w:type="auto"/>
          </w:tcPr>
          <w:p w14:paraId="10913DC5" w14:textId="66014AA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as new normal</w:t>
            </w:r>
          </w:p>
        </w:tc>
        <w:tc>
          <w:tcPr>
            <w:tcW w:w="0" w:type="auto"/>
            <w:hideMark/>
          </w:tcPr>
          <w:p w14:paraId="4FA5A0D3" w14:textId="7E3114D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2017ADA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21AF1EA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FAFFF3E" w14:textId="77777777" w:rsidR="00F34D15" w:rsidRPr="00732EED" w:rsidRDefault="00F34D15" w:rsidP="00F34D15">
            <w:pPr>
              <w:rPr>
                <w:sz w:val="18"/>
                <w:szCs w:val="18"/>
              </w:rPr>
            </w:pPr>
            <w:r w:rsidRPr="00732EED">
              <w:rPr>
                <w:sz w:val="18"/>
                <w:szCs w:val="18"/>
              </w:rPr>
              <w:t>70</w:t>
            </w:r>
          </w:p>
        </w:tc>
        <w:tc>
          <w:tcPr>
            <w:tcW w:w="0" w:type="auto"/>
            <w:hideMark/>
          </w:tcPr>
          <w:p w14:paraId="3DDFBD9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Mission first and invisible pain</w:t>
            </w:r>
          </w:p>
        </w:tc>
        <w:tc>
          <w:tcPr>
            <w:tcW w:w="0" w:type="auto"/>
          </w:tcPr>
          <w:p w14:paraId="7C859652" w14:textId="5A99C40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Military role and invisible pain</w:t>
            </w:r>
          </w:p>
        </w:tc>
        <w:tc>
          <w:tcPr>
            <w:tcW w:w="0" w:type="auto"/>
            <w:hideMark/>
          </w:tcPr>
          <w:p w14:paraId="4B7A5D45" w14:textId="4D5342E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3058F81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Gender Norms &amp; Roles</w:t>
            </w:r>
          </w:p>
        </w:tc>
      </w:tr>
      <w:tr w:rsidR="00F34D15" w:rsidRPr="00732EED" w14:paraId="19D1040E"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637D844" w14:textId="77777777" w:rsidR="00F34D15" w:rsidRPr="00732EED" w:rsidRDefault="00F34D15" w:rsidP="00F34D15">
            <w:pPr>
              <w:rPr>
                <w:sz w:val="18"/>
                <w:szCs w:val="18"/>
              </w:rPr>
            </w:pPr>
            <w:r w:rsidRPr="00732EED">
              <w:rPr>
                <w:sz w:val="18"/>
                <w:szCs w:val="18"/>
              </w:rPr>
              <w:t>70</w:t>
            </w:r>
          </w:p>
        </w:tc>
        <w:tc>
          <w:tcPr>
            <w:tcW w:w="0" w:type="auto"/>
            <w:hideMark/>
          </w:tcPr>
          <w:p w14:paraId="37707C4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Self-care/internal locus/nonpharmacological therapies</w:t>
            </w:r>
          </w:p>
        </w:tc>
        <w:tc>
          <w:tcPr>
            <w:tcW w:w="0" w:type="auto"/>
          </w:tcPr>
          <w:p w14:paraId="02047698" w14:textId="5801445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Internal locus of control</w:t>
            </w:r>
          </w:p>
        </w:tc>
        <w:tc>
          <w:tcPr>
            <w:tcW w:w="0" w:type="auto"/>
            <w:hideMark/>
          </w:tcPr>
          <w:p w14:paraId="715B6B07" w14:textId="7150A67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5B25EC3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Empowerment &amp; Agency</w:t>
            </w:r>
          </w:p>
        </w:tc>
      </w:tr>
      <w:tr w:rsidR="00F34D15" w:rsidRPr="00732EED" w14:paraId="71E23BB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2955971" w14:textId="77777777" w:rsidR="00F34D15" w:rsidRPr="00732EED" w:rsidRDefault="00F34D15" w:rsidP="00F34D15">
            <w:pPr>
              <w:rPr>
                <w:sz w:val="18"/>
                <w:szCs w:val="18"/>
              </w:rPr>
            </w:pPr>
            <w:r w:rsidRPr="00732EED">
              <w:rPr>
                <w:sz w:val="18"/>
                <w:szCs w:val="18"/>
              </w:rPr>
              <w:t>70</w:t>
            </w:r>
          </w:p>
        </w:tc>
        <w:tc>
          <w:tcPr>
            <w:tcW w:w="0" w:type="auto"/>
            <w:hideMark/>
          </w:tcPr>
          <w:p w14:paraId="3694FB0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accepted and managed to improve QoL</w:t>
            </w:r>
          </w:p>
        </w:tc>
        <w:tc>
          <w:tcPr>
            <w:tcW w:w="0" w:type="auto"/>
          </w:tcPr>
          <w:p w14:paraId="2674CE74" w14:textId="43A684C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Accepted pain management</w:t>
            </w:r>
          </w:p>
        </w:tc>
        <w:tc>
          <w:tcPr>
            <w:tcW w:w="0" w:type="auto"/>
            <w:hideMark/>
          </w:tcPr>
          <w:p w14:paraId="0C6FE1A4" w14:textId="00E752F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3B3018B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09AEE16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F18B7D7" w14:textId="77777777" w:rsidR="00F34D15" w:rsidRPr="00732EED" w:rsidRDefault="00F34D15" w:rsidP="00F34D15">
            <w:pPr>
              <w:rPr>
                <w:sz w:val="18"/>
                <w:szCs w:val="18"/>
              </w:rPr>
            </w:pPr>
            <w:r w:rsidRPr="00732EED">
              <w:rPr>
                <w:sz w:val="18"/>
                <w:szCs w:val="18"/>
              </w:rPr>
              <w:t>70</w:t>
            </w:r>
          </w:p>
        </w:tc>
        <w:tc>
          <w:tcPr>
            <w:tcW w:w="0" w:type="auto"/>
            <w:hideMark/>
          </w:tcPr>
          <w:p w14:paraId="425171F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COVID diminished social interactions</w:t>
            </w:r>
          </w:p>
        </w:tc>
        <w:tc>
          <w:tcPr>
            <w:tcW w:w="0" w:type="auto"/>
          </w:tcPr>
          <w:p w14:paraId="0C2F6520" w14:textId="663FDC3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Pandemic-related isolation</w:t>
            </w:r>
          </w:p>
        </w:tc>
        <w:tc>
          <w:tcPr>
            <w:tcW w:w="0" w:type="auto"/>
            <w:hideMark/>
          </w:tcPr>
          <w:p w14:paraId="498E2025" w14:textId="5EF49E0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6C73F83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065AA60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50B12BA" w14:textId="77777777" w:rsidR="00F34D15" w:rsidRPr="00732EED" w:rsidRDefault="00F34D15" w:rsidP="00F34D15">
            <w:pPr>
              <w:rPr>
                <w:sz w:val="18"/>
                <w:szCs w:val="18"/>
              </w:rPr>
            </w:pPr>
            <w:r w:rsidRPr="00732EED">
              <w:rPr>
                <w:sz w:val="18"/>
                <w:szCs w:val="18"/>
              </w:rPr>
              <w:t>70</w:t>
            </w:r>
          </w:p>
        </w:tc>
        <w:tc>
          <w:tcPr>
            <w:tcW w:w="0" w:type="auto"/>
            <w:hideMark/>
          </w:tcPr>
          <w:p w14:paraId="64DA344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Sexual trauma not reported</w:t>
            </w:r>
          </w:p>
        </w:tc>
        <w:tc>
          <w:tcPr>
            <w:tcW w:w="0" w:type="auto"/>
          </w:tcPr>
          <w:p w14:paraId="70F95F0A" w14:textId="3AEF3C3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Unreported sexual trauma</w:t>
            </w:r>
          </w:p>
        </w:tc>
        <w:tc>
          <w:tcPr>
            <w:tcW w:w="0" w:type="auto"/>
            <w:hideMark/>
          </w:tcPr>
          <w:p w14:paraId="22143EF1" w14:textId="2173B83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7DBF716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Trauma/PTSD &amp; Abuse</w:t>
            </w:r>
          </w:p>
        </w:tc>
      </w:tr>
      <w:tr w:rsidR="00F34D15" w:rsidRPr="00732EED" w14:paraId="0522E12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EA06DDA" w14:textId="77777777" w:rsidR="00F34D15" w:rsidRPr="00732EED" w:rsidRDefault="00F34D15" w:rsidP="00F34D15">
            <w:pPr>
              <w:rPr>
                <w:sz w:val="18"/>
                <w:szCs w:val="18"/>
              </w:rPr>
            </w:pPr>
            <w:r w:rsidRPr="00732EED">
              <w:rPr>
                <w:sz w:val="18"/>
                <w:szCs w:val="18"/>
              </w:rPr>
              <w:t>70</w:t>
            </w:r>
          </w:p>
        </w:tc>
        <w:tc>
          <w:tcPr>
            <w:tcW w:w="0" w:type="auto"/>
            <w:hideMark/>
          </w:tcPr>
          <w:p w14:paraId="4BA3221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Provider bias/disparities in healthcare</w:t>
            </w:r>
          </w:p>
        </w:tc>
        <w:tc>
          <w:tcPr>
            <w:tcW w:w="0" w:type="auto"/>
          </w:tcPr>
          <w:p w14:paraId="456D8699" w14:textId="06E5B97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Provider bias/disparity</w:t>
            </w:r>
          </w:p>
        </w:tc>
        <w:tc>
          <w:tcPr>
            <w:tcW w:w="0" w:type="auto"/>
            <w:hideMark/>
          </w:tcPr>
          <w:p w14:paraId="4C5F49F5" w14:textId="16FA34F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7EA51D0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 Inequities</w:t>
            </w:r>
          </w:p>
        </w:tc>
      </w:tr>
      <w:tr w:rsidR="00F34D15" w:rsidRPr="00732EED" w14:paraId="37636E2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6233C07" w14:textId="77777777" w:rsidR="00F34D15" w:rsidRPr="00732EED" w:rsidRDefault="00F34D15" w:rsidP="00F34D15">
            <w:pPr>
              <w:rPr>
                <w:sz w:val="18"/>
                <w:szCs w:val="18"/>
              </w:rPr>
            </w:pPr>
            <w:r w:rsidRPr="00732EED">
              <w:rPr>
                <w:sz w:val="18"/>
                <w:szCs w:val="18"/>
              </w:rPr>
              <w:lastRenderedPageBreak/>
              <w:t>71</w:t>
            </w:r>
          </w:p>
        </w:tc>
        <w:tc>
          <w:tcPr>
            <w:tcW w:w="0" w:type="auto"/>
            <w:hideMark/>
          </w:tcPr>
          <w:p w14:paraId="30C2A33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 barriers in transitions</w:t>
            </w:r>
          </w:p>
        </w:tc>
        <w:tc>
          <w:tcPr>
            <w:tcW w:w="0" w:type="auto"/>
          </w:tcPr>
          <w:p w14:paraId="1D5C3B63" w14:textId="3609AA0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Transition communication barriers</w:t>
            </w:r>
          </w:p>
        </w:tc>
        <w:tc>
          <w:tcPr>
            <w:tcW w:w="0" w:type="auto"/>
            <w:hideMark/>
          </w:tcPr>
          <w:p w14:paraId="35FD8566" w14:textId="0C7B9D7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59F367E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w:t>
            </w:r>
          </w:p>
        </w:tc>
      </w:tr>
      <w:tr w:rsidR="00F34D15" w:rsidRPr="00732EED" w14:paraId="38C98FF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C8646A0" w14:textId="77777777" w:rsidR="00F34D15" w:rsidRPr="00732EED" w:rsidRDefault="00F34D15" w:rsidP="00F34D15">
            <w:pPr>
              <w:rPr>
                <w:sz w:val="18"/>
                <w:szCs w:val="18"/>
              </w:rPr>
            </w:pPr>
            <w:r w:rsidRPr="00732EED">
              <w:rPr>
                <w:sz w:val="18"/>
                <w:szCs w:val="18"/>
              </w:rPr>
              <w:t>71</w:t>
            </w:r>
          </w:p>
        </w:tc>
        <w:tc>
          <w:tcPr>
            <w:tcW w:w="0" w:type="auto"/>
            <w:hideMark/>
          </w:tcPr>
          <w:p w14:paraId="4650749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Rural/location barriers</w:t>
            </w:r>
          </w:p>
        </w:tc>
        <w:tc>
          <w:tcPr>
            <w:tcW w:w="0" w:type="auto"/>
          </w:tcPr>
          <w:p w14:paraId="354B2EC4" w14:textId="2BCCC28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Location-related barrier</w:t>
            </w:r>
          </w:p>
        </w:tc>
        <w:tc>
          <w:tcPr>
            <w:tcW w:w="0" w:type="auto"/>
            <w:hideMark/>
          </w:tcPr>
          <w:p w14:paraId="17969B0E" w14:textId="39ACF39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Environmental</w:t>
            </w:r>
          </w:p>
        </w:tc>
        <w:tc>
          <w:tcPr>
            <w:tcW w:w="0" w:type="auto"/>
            <w:hideMark/>
          </w:tcPr>
          <w:p w14:paraId="07C730C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&amp; Geography</w:t>
            </w:r>
          </w:p>
        </w:tc>
      </w:tr>
      <w:tr w:rsidR="00F34D15" w:rsidRPr="00732EED" w14:paraId="4546A2C6"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7A5EECC" w14:textId="77777777" w:rsidR="00F34D15" w:rsidRPr="00732EED" w:rsidRDefault="00F34D15" w:rsidP="00F34D15">
            <w:pPr>
              <w:rPr>
                <w:sz w:val="18"/>
                <w:szCs w:val="18"/>
              </w:rPr>
            </w:pPr>
            <w:r w:rsidRPr="00732EED">
              <w:rPr>
                <w:sz w:val="18"/>
                <w:szCs w:val="18"/>
              </w:rPr>
              <w:t>71</w:t>
            </w:r>
          </w:p>
        </w:tc>
        <w:tc>
          <w:tcPr>
            <w:tcW w:w="0" w:type="auto"/>
            <w:hideMark/>
          </w:tcPr>
          <w:p w14:paraId="23C6D4B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 stress</w:t>
            </w:r>
          </w:p>
        </w:tc>
        <w:tc>
          <w:tcPr>
            <w:tcW w:w="0" w:type="auto"/>
          </w:tcPr>
          <w:p w14:paraId="673A5D4A" w14:textId="694FBC2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Transition stress</w:t>
            </w:r>
          </w:p>
        </w:tc>
        <w:tc>
          <w:tcPr>
            <w:tcW w:w="0" w:type="auto"/>
            <w:hideMark/>
          </w:tcPr>
          <w:p w14:paraId="1DDA2FD8" w14:textId="131343A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566A250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Anxiety &amp; Fear</w:t>
            </w:r>
          </w:p>
        </w:tc>
      </w:tr>
      <w:tr w:rsidR="00F34D15" w:rsidRPr="00732EED" w14:paraId="1477166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1DF5488" w14:textId="77777777" w:rsidR="00F34D15" w:rsidRPr="00732EED" w:rsidRDefault="00F34D15" w:rsidP="00F34D15">
            <w:pPr>
              <w:rPr>
                <w:sz w:val="18"/>
                <w:szCs w:val="18"/>
              </w:rPr>
            </w:pPr>
            <w:r w:rsidRPr="00732EED">
              <w:rPr>
                <w:sz w:val="18"/>
                <w:szCs w:val="18"/>
              </w:rPr>
              <w:t>71</w:t>
            </w:r>
          </w:p>
        </w:tc>
        <w:tc>
          <w:tcPr>
            <w:tcW w:w="0" w:type="auto"/>
            <w:hideMark/>
          </w:tcPr>
          <w:p w14:paraId="2FBAADA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caregiver support</w:t>
            </w:r>
          </w:p>
        </w:tc>
        <w:tc>
          <w:tcPr>
            <w:tcW w:w="0" w:type="auto"/>
          </w:tcPr>
          <w:p w14:paraId="0997619F" w14:textId="32F177A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Caregiver support</w:t>
            </w:r>
          </w:p>
        </w:tc>
        <w:tc>
          <w:tcPr>
            <w:tcW w:w="0" w:type="auto"/>
            <w:hideMark/>
          </w:tcPr>
          <w:p w14:paraId="27A423F4" w14:textId="17A1A64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5F04040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Family Dynamics</w:t>
            </w:r>
          </w:p>
        </w:tc>
      </w:tr>
      <w:tr w:rsidR="00F34D15" w:rsidRPr="00732EED" w14:paraId="4E09D43C"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7A3DB51" w14:textId="77777777" w:rsidR="00F34D15" w:rsidRPr="00732EED" w:rsidRDefault="00F34D15" w:rsidP="00F34D15">
            <w:pPr>
              <w:rPr>
                <w:sz w:val="18"/>
                <w:szCs w:val="18"/>
              </w:rPr>
            </w:pPr>
            <w:r w:rsidRPr="00732EED">
              <w:rPr>
                <w:sz w:val="18"/>
                <w:szCs w:val="18"/>
              </w:rPr>
              <w:t>71</w:t>
            </w:r>
          </w:p>
        </w:tc>
        <w:tc>
          <w:tcPr>
            <w:tcW w:w="0" w:type="auto"/>
            <w:hideMark/>
          </w:tcPr>
          <w:p w14:paraId="2421811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Nurse-provided coordination</w:t>
            </w:r>
          </w:p>
        </w:tc>
        <w:tc>
          <w:tcPr>
            <w:tcW w:w="0" w:type="auto"/>
          </w:tcPr>
          <w:p w14:paraId="0C02B3AA" w14:textId="74886C4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Patient-centered coordination</w:t>
            </w:r>
          </w:p>
        </w:tc>
        <w:tc>
          <w:tcPr>
            <w:tcW w:w="0" w:type="auto"/>
            <w:hideMark/>
          </w:tcPr>
          <w:p w14:paraId="346291A5" w14:textId="42EAEEB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447A408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1A079C4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A1FCEE5" w14:textId="77777777" w:rsidR="00F34D15" w:rsidRPr="00732EED" w:rsidRDefault="00F34D15" w:rsidP="00F34D15">
            <w:pPr>
              <w:rPr>
                <w:sz w:val="18"/>
                <w:szCs w:val="18"/>
              </w:rPr>
            </w:pPr>
            <w:r w:rsidRPr="00732EED">
              <w:rPr>
                <w:sz w:val="18"/>
                <w:szCs w:val="18"/>
              </w:rPr>
              <w:t>72</w:t>
            </w:r>
          </w:p>
        </w:tc>
        <w:tc>
          <w:tcPr>
            <w:tcW w:w="0" w:type="auto"/>
            <w:hideMark/>
          </w:tcPr>
          <w:p w14:paraId="615123D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Emotional burden</w:t>
            </w:r>
          </w:p>
        </w:tc>
        <w:tc>
          <w:tcPr>
            <w:tcW w:w="0" w:type="auto"/>
          </w:tcPr>
          <w:p w14:paraId="1CC7E962" w14:textId="30AED07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Emotional burden</w:t>
            </w:r>
          </w:p>
        </w:tc>
        <w:tc>
          <w:tcPr>
            <w:tcW w:w="0" w:type="auto"/>
            <w:hideMark/>
          </w:tcPr>
          <w:p w14:paraId="00DA0572" w14:textId="21A5B2B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470F9B5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4345B27A"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031D1F" w14:textId="77777777" w:rsidR="00F34D15" w:rsidRPr="00732EED" w:rsidRDefault="00F34D15" w:rsidP="00F34D15">
            <w:pPr>
              <w:rPr>
                <w:sz w:val="18"/>
                <w:szCs w:val="18"/>
              </w:rPr>
            </w:pPr>
            <w:r w:rsidRPr="00732EED">
              <w:rPr>
                <w:sz w:val="18"/>
                <w:szCs w:val="18"/>
              </w:rPr>
              <w:t>72</w:t>
            </w:r>
          </w:p>
        </w:tc>
        <w:tc>
          <w:tcPr>
            <w:tcW w:w="0" w:type="auto"/>
            <w:hideMark/>
          </w:tcPr>
          <w:p w14:paraId="5F80F31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Identity changes</w:t>
            </w:r>
          </w:p>
        </w:tc>
        <w:tc>
          <w:tcPr>
            <w:tcW w:w="0" w:type="auto"/>
          </w:tcPr>
          <w:p w14:paraId="0F309097" w14:textId="3D81061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Identity changes</w:t>
            </w:r>
          </w:p>
        </w:tc>
        <w:tc>
          <w:tcPr>
            <w:tcW w:w="0" w:type="auto"/>
            <w:hideMark/>
          </w:tcPr>
          <w:p w14:paraId="70FBC353" w14:textId="2B29E19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058149E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53969EC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3DCC929" w14:textId="77777777" w:rsidR="00F34D15" w:rsidRPr="00732EED" w:rsidRDefault="00F34D15" w:rsidP="00F34D15">
            <w:pPr>
              <w:rPr>
                <w:sz w:val="18"/>
                <w:szCs w:val="18"/>
              </w:rPr>
            </w:pPr>
            <w:r w:rsidRPr="00732EED">
              <w:rPr>
                <w:sz w:val="18"/>
                <w:szCs w:val="18"/>
              </w:rPr>
              <w:t>72</w:t>
            </w:r>
          </w:p>
        </w:tc>
        <w:tc>
          <w:tcPr>
            <w:tcW w:w="0" w:type="auto"/>
            <w:hideMark/>
          </w:tcPr>
          <w:p w14:paraId="281E17B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implications</w:t>
            </w:r>
          </w:p>
        </w:tc>
        <w:tc>
          <w:tcPr>
            <w:tcW w:w="0" w:type="auto"/>
          </w:tcPr>
          <w:p w14:paraId="6F8FC340" w14:textId="19D30FB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implications of pain</w:t>
            </w:r>
          </w:p>
        </w:tc>
        <w:tc>
          <w:tcPr>
            <w:tcW w:w="0" w:type="auto"/>
            <w:hideMark/>
          </w:tcPr>
          <w:p w14:paraId="25819271" w14:textId="52997D0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76DBB84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47C0DBE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45621F1" w14:textId="77777777" w:rsidR="00F34D15" w:rsidRPr="00732EED" w:rsidRDefault="00F34D15" w:rsidP="00F34D15">
            <w:pPr>
              <w:rPr>
                <w:sz w:val="18"/>
                <w:szCs w:val="18"/>
              </w:rPr>
            </w:pPr>
            <w:r w:rsidRPr="00732EED">
              <w:rPr>
                <w:sz w:val="18"/>
                <w:szCs w:val="18"/>
              </w:rPr>
              <w:t>72</w:t>
            </w:r>
          </w:p>
        </w:tc>
        <w:tc>
          <w:tcPr>
            <w:tcW w:w="0" w:type="auto"/>
            <w:hideMark/>
          </w:tcPr>
          <w:p w14:paraId="0760F8B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Struggles with pain management</w:t>
            </w:r>
          </w:p>
        </w:tc>
        <w:tc>
          <w:tcPr>
            <w:tcW w:w="0" w:type="auto"/>
          </w:tcPr>
          <w:p w14:paraId="0488AA69" w14:textId="510EF99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management struggle</w:t>
            </w:r>
          </w:p>
        </w:tc>
        <w:tc>
          <w:tcPr>
            <w:tcW w:w="0" w:type="auto"/>
            <w:hideMark/>
          </w:tcPr>
          <w:p w14:paraId="2E332A80" w14:textId="6692566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7BF2410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5A8E1E8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tcPr>
          <w:p w14:paraId="4CC08DE6" w14:textId="77777777" w:rsidR="00F34D15" w:rsidRPr="00732EED" w:rsidRDefault="00F34D15" w:rsidP="00F34D15">
            <w:pPr>
              <w:rPr>
                <w:sz w:val="18"/>
                <w:szCs w:val="18"/>
              </w:rPr>
            </w:pPr>
            <w:r w:rsidRPr="00732EED">
              <w:rPr>
                <w:sz w:val="18"/>
                <w:szCs w:val="18"/>
              </w:rPr>
              <w:t>73</w:t>
            </w:r>
          </w:p>
        </w:tc>
        <w:tc>
          <w:tcPr>
            <w:tcW w:w="0" w:type="auto"/>
          </w:tcPr>
          <w:p w14:paraId="121082C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Frequent injuries/chronic pain from high loads</w:t>
            </w:r>
          </w:p>
        </w:tc>
        <w:tc>
          <w:tcPr>
            <w:tcW w:w="0" w:type="auto"/>
          </w:tcPr>
          <w:p w14:paraId="75780CD0" w14:textId="468AA18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Injury-related pain burden</w:t>
            </w:r>
          </w:p>
        </w:tc>
        <w:tc>
          <w:tcPr>
            <w:tcW w:w="0" w:type="auto"/>
          </w:tcPr>
          <w:p w14:paraId="1E74E38F" w14:textId="4B2AB9E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tcPr>
          <w:p w14:paraId="054A965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&amp; Symptom Burden</w:t>
            </w:r>
          </w:p>
        </w:tc>
      </w:tr>
      <w:tr w:rsidR="00F34D15" w:rsidRPr="00732EED" w14:paraId="394C76A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tcPr>
          <w:p w14:paraId="1935980E" w14:textId="77777777" w:rsidR="00F34D15" w:rsidRPr="00732EED" w:rsidRDefault="00F34D15" w:rsidP="00F34D15">
            <w:pPr>
              <w:rPr>
                <w:sz w:val="18"/>
                <w:szCs w:val="18"/>
              </w:rPr>
            </w:pPr>
            <w:r w:rsidRPr="00732EED">
              <w:rPr>
                <w:sz w:val="18"/>
                <w:szCs w:val="18"/>
              </w:rPr>
              <w:t>73</w:t>
            </w:r>
          </w:p>
        </w:tc>
        <w:tc>
          <w:tcPr>
            <w:tcW w:w="0" w:type="auto"/>
          </w:tcPr>
          <w:p w14:paraId="38170C5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Self-affirmation and motivation to continue profession</w:t>
            </w:r>
          </w:p>
        </w:tc>
        <w:tc>
          <w:tcPr>
            <w:tcW w:w="0" w:type="auto"/>
          </w:tcPr>
          <w:p w14:paraId="5825826A" w14:textId="4F627E7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Motivational self-affirmation</w:t>
            </w:r>
          </w:p>
        </w:tc>
        <w:tc>
          <w:tcPr>
            <w:tcW w:w="0" w:type="auto"/>
          </w:tcPr>
          <w:p w14:paraId="6741CC88" w14:textId="491106D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tcPr>
          <w:p w14:paraId="6250769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&amp; Growth</w:t>
            </w:r>
          </w:p>
        </w:tc>
      </w:tr>
      <w:tr w:rsidR="00F34D15" w:rsidRPr="00732EED" w14:paraId="49C5028A"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tcPr>
          <w:p w14:paraId="45701C96" w14:textId="77777777" w:rsidR="00F34D15" w:rsidRPr="00732EED" w:rsidRDefault="00F34D15" w:rsidP="00F34D15">
            <w:pPr>
              <w:rPr>
                <w:sz w:val="18"/>
                <w:szCs w:val="18"/>
              </w:rPr>
            </w:pPr>
            <w:r w:rsidRPr="00732EED">
              <w:rPr>
                <w:sz w:val="18"/>
                <w:szCs w:val="18"/>
              </w:rPr>
              <w:t>74</w:t>
            </w:r>
          </w:p>
        </w:tc>
        <w:tc>
          <w:tcPr>
            <w:tcW w:w="0" w:type="auto"/>
          </w:tcPr>
          <w:p w14:paraId="79058A5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Solitude of pain experience</w:t>
            </w:r>
          </w:p>
        </w:tc>
        <w:tc>
          <w:tcPr>
            <w:tcW w:w="0" w:type="auto"/>
          </w:tcPr>
          <w:p w14:paraId="1FFBC22F" w14:textId="1099B82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Solitude</w:t>
            </w:r>
          </w:p>
        </w:tc>
        <w:tc>
          <w:tcPr>
            <w:tcW w:w="0" w:type="auto"/>
          </w:tcPr>
          <w:p w14:paraId="649A3D38" w14:textId="448C339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tcPr>
          <w:p w14:paraId="0C2B7DF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7B7A362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tcPr>
          <w:p w14:paraId="25FF353C" w14:textId="77777777" w:rsidR="00F34D15" w:rsidRPr="00732EED" w:rsidRDefault="00F34D15" w:rsidP="00F34D15">
            <w:pPr>
              <w:rPr>
                <w:sz w:val="18"/>
                <w:szCs w:val="18"/>
              </w:rPr>
            </w:pPr>
            <w:r w:rsidRPr="00732EED">
              <w:rPr>
                <w:sz w:val="18"/>
                <w:szCs w:val="18"/>
              </w:rPr>
              <w:t>74</w:t>
            </w:r>
          </w:p>
        </w:tc>
        <w:tc>
          <w:tcPr>
            <w:tcW w:w="0" w:type="auto"/>
          </w:tcPr>
          <w:p w14:paraId="4AAA151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Unsatisfactory healthcare and need for self-care</w:t>
            </w:r>
          </w:p>
        </w:tc>
        <w:tc>
          <w:tcPr>
            <w:tcW w:w="0" w:type="auto"/>
          </w:tcPr>
          <w:p w14:paraId="19BD5B82" w14:textId="743B6B3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Unsatisfactory healthcare/self-care</w:t>
            </w:r>
          </w:p>
        </w:tc>
        <w:tc>
          <w:tcPr>
            <w:tcW w:w="0" w:type="auto"/>
          </w:tcPr>
          <w:p w14:paraId="79F8DCF6" w14:textId="2747781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tcPr>
          <w:p w14:paraId="5B41CAF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01E4F89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tcPr>
          <w:p w14:paraId="1A7D0317" w14:textId="77777777" w:rsidR="00F34D15" w:rsidRPr="00732EED" w:rsidRDefault="00F34D15" w:rsidP="00F34D15">
            <w:pPr>
              <w:rPr>
                <w:sz w:val="18"/>
                <w:szCs w:val="18"/>
              </w:rPr>
            </w:pPr>
            <w:r w:rsidRPr="00732EED">
              <w:rPr>
                <w:sz w:val="18"/>
                <w:szCs w:val="18"/>
              </w:rPr>
              <w:t>74</w:t>
            </w:r>
          </w:p>
        </w:tc>
        <w:tc>
          <w:tcPr>
            <w:tcW w:w="0" w:type="auto"/>
          </w:tcPr>
          <w:p w14:paraId="48EC396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Development of pain acceptance</w:t>
            </w:r>
          </w:p>
        </w:tc>
        <w:tc>
          <w:tcPr>
            <w:tcW w:w="0" w:type="auto"/>
          </w:tcPr>
          <w:p w14:paraId="24B5C67C" w14:textId="268DFBA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acceptance</w:t>
            </w:r>
          </w:p>
        </w:tc>
        <w:tc>
          <w:tcPr>
            <w:tcW w:w="0" w:type="auto"/>
          </w:tcPr>
          <w:p w14:paraId="29624F00" w14:textId="60FC51E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Ecological</w:t>
            </w:r>
          </w:p>
        </w:tc>
        <w:tc>
          <w:tcPr>
            <w:tcW w:w="0" w:type="auto"/>
          </w:tcPr>
          <w:p w14:paraId="3B7D8A2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Ecosystem</w:t>
            </w:r>
          </w:p>
        </w:tc>
      </w:tr>
      <w:tr w:rsidR="00F34D15" w:rsidRPr="00732EED" w14:paraId="3C4F070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tcPr>
          <w:p w14:paraId="4822AC80" w14:textId="77777777" w:rsidR="00F34D15" w:rsidRPr="00732EED" w:rsidRDefault="00F34D15" w:rsidP="00F34D15">
            <w:pPr>
              <w:rPr>
                <w:sz w:val="18"/>
                <w:szCs w:val="18"/>
              </w:rPr>
            </w:pPr>
            <w:r w:rsidRPr="00732EED">
              <w:rPr>
                <w:sz w:val="18"/>
                <w:szCs w:val="18"/>
              </w:rPr>
              <w:t>75</w:t>
            </w:r>
          </w:p>
        </w:tc>
        <w:tc>
          <w:tcPr>
            <w:tcW w:w="0" w:type="auto"/>
          </w:tcPr>
          <w:p w14:paraId="754081F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as physical violence</w:t>
            </w:r>
          </w:p>
        </w:tc>
        <w:tc>
          <w:tcPr>
            <w:tcW w:w="0" w:type="auto"/>
          </w:tcPr>
          <w:p w14:paraId="5E27F568" w14:textId="2FFBC5C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as violence</w:t>
            </w:r>
          </w:p>
        </w:tc>
        <w:tc>
          <w:tcPr>
            <w:tcW w:w="0" w:type="auto"/>
          </w:tcPr>
          <w:p w14:paraId="46C5EA6B" w14:textId="49E264B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tcPr>
          <w:p w14:paraId="31BEEC0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Sensory Qualities &amp; Metaphors</w:t>
            </w:r>
          </w:p>
        </w:tc>
      </w:tr>
      <w:tr w:rsidR="00F34D15" w:rsidRPr="00732EED" w14:paraId="28EB02F2"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tcPr>
          <w:p w14:paraId="3ECE9707" w14:textId="77777777" w:rsidR="00F34D15" w:rsidRPr="00732EED" w:rsidRDefault="00F34D15" w:rsidP="00F34D15">
            <w:pPr>
              <w:rPr>
                <w:sz w:val="18"/>
                <w:szCs w:val="18"/>
              </w:rPr>
            </w:pPr>
            <w:r w:rsidRPr="00732EED">
              <w:rPr>
                <w:sz w:val="18"/>
                <w:szCs w:val="18"/>
              </w:rPr>
              <w:t>75</w:t>
            </w:r>
          </w:p>
        </w:tc>
        <w:tc>
          <w:tcPr>
            <w:tcW w:w="0" w:type="auto"/>
          </w:tcPr>
          <w:p w14:paraId="1684B37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Color as emotional representation</w:t>
            </w:r>
          </w:p>
        </w:tc>
        <w:tc>
          <w:tcPr>
            <w:tcW w:w="0" w:type="auto"/>
          </w:tcPr>
          <w:p w14:paraId="652D95B1" w14:textId="68DF3F2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Emotional color metaphor</w:t>
            </w:r>
          </w:p>
        </w:tc>
        <w:tc>
          <w:tcPr>
            <w:tcW w:w="0" w:type="auto"/>
          </w:tcPr>
          <w:p w14:paraId="7BE4F653" w14:textId="225D2C2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tcPr>
          <w:p w14:paraId="19CACD2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Sensory Qualities &amp; Metaphors</w:t>
            </w:r>
          </w:p>
        </w:tc>
      </w:tr>
      <w:tr w:rsidR="00F34D15" w:rsidRPr="00732EED" w14:paraId="4C97A3D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tcPr>
          <w:p w14:paraId="5ADCC206" w14:textId="77777777" w:rsidR="00F34D15" w:rsidRPr="00732EED" w:rsidRDefault="00F34D15" w:rsidP="00F34D15">
            <w:pPr>
              <w:rPr>
                <w:sz w:val="18"/>
                <w:szCs w:val="18"/>
              </w:rPr>
            </w:pPr>
            <w:r w:rsidRPr="00732EED">
              <w:rPr>
                <w:sz w:val="18"/>
                <w:szCs w:val="18"/>
              </w:rPr>
              <w:t>75</w:t>
            </w:r>
          </w:p>
        </w:tc>
        <w:tc>
          <w:tcPr>
            <w:tcW w:w="0" w:type="auto"/>
          </w:tcPr>
          <w:p w14:paraId="620C3E4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Texture as sensory qualities</w:t>
            </w:r>
          </w:p>
        </w:tc>
        <w:tc>
          <w:tcPr>
            <w:tcW w:w="0" w:type="auto"/>
          </w:tcPr>
          <w:p w14:paraId="1496064E" w14:textId="5786AF8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Texture-based pain expression</w:t>
            </w:r>
          </w:p>
        </w:tc>
        <w:tc>
          <w:tcPr>
            <w:tcW w:w="0" w:type="auto"/>
          </w:tcPr>
          <w:p w14:paraId="0ABE7C1F" w14:textId="5B38D20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tcPr>
          <w:p w14:paraId="48AC5F9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Sensory Qualities &amp; Metaphors</w:t>
            </w:r>
          </w:p>
        </w:tc>
      </w:tr>
      <w:tr w:rsidR="00F34D15" w:rsidRPr="00732EED" w14:paraId="75B947A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0743D4C" w14:textId="77777777" w:rsidR="00F34D15" w:rsidRPr="00732EED" w:rsidRDefault="00F34D15" w:rsidP="00F34D15">
            <w:pPr>
              <w:rPr>
                <w:sz w:val="18"/>
                <w:szCs w:val="18"/>
              </w:rPr>
            </w:pPr>
            <w:r w:rsidRPr="00732EED">
              <w:rPr>
                <w:sz w:val="18"/>
                <w:szCs w:val="18"/>
              </w:rPr>
              <w:t>75</w:t>
            </w:r>
          </w:p>
        </w:tc>
        <w:tc>
          <w:tcPr>
            <w:tcW w:w="0" w:type="auto"/>
            <w:hideMark/>
          </w:tcPr>
          <w:p w14:paraId="36608B8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Materials as sensation</w:t>
            </w:r>
          </w:p>
        </w:tc>
        <w:tc>
          <w:tcPr>
            <w:tcW w:w="0" w:type="auto"/>
          </w:tcPr>
          <w:p w14:paraId="76E47663" w14:textId="6508D19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Material/sensation metaphor</w:t>
            </w:r>
          </w:p>
        </w:tc>
        <w:tc>
          <w:tcPr>
            <w:tcW w:w="0" w:type="auto"/>
            <w:hideMark/>
          </w:tcPr>
          <w:p w14:paraId="30D5FB96" w14:textId="4F88BDC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Pain</w:t>
            </w:r>
          </w:p>
        </w:tc>
        <w:tc>
          <w:tcPr>
            <w:tcW w:w="0" w:type="auto"/>
            <w:hideMark/>
          </w:tcPr>
          <w:p w14:paraId="1C2163C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Sensory Qualities &amp; Metaphors</w:t>
            </w:r>
          </w:p>
        </w:tc>
      </w:tr>
      <w:tr w:rsidR="00F34D15" w:rsidRPr="00732EED" w14:paraId="4F56035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FFE4EE5" w14:textId="77777777" w:rsidR="00F34D15" w:rsidRPr="00732EED" w:rsidRDefault="00F34D15" w:rsidP="00F34D15">
            <w:pPr>
              <w:rPr>
                <w:sz w:val="18"/>
                <w:szCs w:val="18"/>
              </w:rPr>
            </w:pPr>
            <w:r w:rsidRPr="00732EED">
              <w:rPr>
                <w:sz w:val="18"/>
                <w:szCs w:val="18"/>
              </w:rPr>
              <w:t>76</w:t>
            </w:r>
          </w:p>
        </w:tc>
        <w:tc>
          <w:tcPr>
            <w:tcW w:w="0" w:type="auto"/>
            <w:hideMark/>
          </w:tcPr>
          <w:p w14:paraId="3A258BD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w:t>
            </w:r>
          </w:p>
        </w:tc>
        <w:tc>
          <w:tcPr>
            <w:tcW w:w="0" w:type="auto"/>
          </w:tcPr>
          <w:p w14:paraId="24F121AE" w14:textId="1E5E72B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w:t>
            </w:r>
          </w:p>
        </w:tc>
        <w:tc>
          <w:tcPr>
            <w:tcW w:w="0" w:type="auto"/>
            <w:hideMark/>
          </w:tcPr>
          <w:p w14:paraId="4D71CEF4" w14:textId="2BD996F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221D546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&amp; Agency</w:t>
            </w:r>
          </w:p>
        </w:tc>
      </w:tr>
      <w:tr w:rsidR="00F34D15" w:rsidRPr="00732EED" w14:paraId="3121E00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CBEBF1" w14:textId="77777777" w:rsidR="00F34D15" w:rsidRPr="00732EED" w:rsidRDefault="00F34D15" w:rsidP="00F34D15">
            <w:pPr>
              <w:rPr>
                <w:sz w:val="18"/>
                <w:szCs w:val="18"/>
              </w:rPr>
            </w:pPr>
            <w:r w:rsidRPr="00732EED">
              <w:rPr>
                <w:sz w:val="18"/>
                <w:szCs w:val="18"/>
              </w:rPr>
              <w:t>76</w:t>
            </w:r>
          </w:p>
        </w:tc>
        <w:tc>
          <w:tcPr>
            <w:tcW w:w="0" w:type="auto"/>
            <w:hideMark/>
          </w:tcPr>
          <w:p w14:paraId="7727384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Growth</w:t>
            </w:r>
          </w:p>
        </w:tc>
        <w:tc>
          <w:tcPr>
            <w:tcW w:w="0" w:type="auto"/>
          </w:tcPr>
          <w:p w14:paraId="61DD8B40" w14:textId="28649C6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Growth</w:t>
            </w:r>
          </w:p>
        </w:tc>
        <w:tc>
          <w:tcPr>
            <w:tcW w:w="0" w:type="auto"/>
            <w:hideMark/>
          </w:tcPr>
          <w:p w14:paraId="36A67FFD" w14:textId="4EA579D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2C88ED5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4ED131A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B9B4F31" w14:textId="77777777" w:rsidR="00F34D15" w:rsidRPr="00732EED" w:rsidRDefault="00F34D15" w:rsidP="00F34D15">
            <w:pPr>
              <w:rPr>
                <w:sz w:val="18"/>
                <w:szCs w:val="18"/>
              </w:rPr>
            </w:pPr>
            <w:r w:rsidRPr="00732EED">
              <w:rPr>
                <w:sz w:val="18"/>
                <w:szCs w:val="18"/>
              </w:rPr>
              <w:t>76</w:t>
            </w:r>
          </w:p>
        </w:tc>
        <w:tc>
          <w:tcPr>
            <w:tcW w:w="0" w:type="auto"/>
            <w:hideMark/>
          </w:tcPr>
          <w:p w14:paraId="1039F9E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 change</w:t>
            </w:r>
          </w:p>
        </w:tc>
        <w:tc>
          <w:tcPr>
            <w:tcW w:w="0" w:type="auto"/>
          </w:tcPr>
          <w:p w14:paraId="6606AC10" w14:textId="36D193F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Cultural/system change</w:t>
            </w:r>
          </w:p>
        </w:tc>
        <w:tc>
          <w:tcPr>
            <w:tcW w:w="0" w:type="auto"/>
            <w:hideMark/>
          </w:tcPr>
          <w:p w14:paraId="1B359499" w14:textId="0A15F4B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71927E7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System Reform &amp; Professional Views</w:t>
            </w:r>
          </w:p>
        </w:tc>
      </w:tr>
      <w:tr w:rsidR="00F34D15" w:rsidRPr="00732EED" w14:paraId="11B1087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A6B0180" w14:textId="77777777" w:rsidR="00F34D15" w:rsidRPr="00732EED" w:rsidRDefault="00F34D15" w:rsidP="00F34D15">
            <w:pPr>
              <w:rPr>
                <w:sz w:val="18"/>
                <w:szCs w:val="18"/>
              </w:rPr>
            </w:pPr>
            <w:r w:rsidRPr="00732EED">
              <w:rPr>
                <w:sz w:val="18"/>
                <w:szCs w:val="18"/>
              </w:rPr>
              <w:t>76</w:t>
            </w:r>
          </w:p>
        </w:tc>
        <w:tc>
          <w:tcPr>
            <w:tcW w:w="0" w:type="auto"/>
            <w:hideMark/>
          </w:tcPr>
          <w:p w14:paraId="062574E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change</w:t>
            </w:r>
          </w:p>
        </w:tc>
        <w:tc>
          <w:tcPr>
            <w:tcW w:w="0" w:type="auto"/>
          </w:tcPr>
          <w:p w14:paraId="13D4B2B5" w14:textId="2125E4B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change through participation</w:t>
            </w:r>
          </w:p>
        </w:tc>
        <w:tc>
          <w:tcPr>
            <w:tcW w:w="0" w:type="auto"/>
            <w:hideMark/>
          </w:tcPr>
          <w:p w14:paraId="66037160" w14:textId="1BC4C86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Ecological</w:t>
            </w:r>
          </w:p>
        </w:tc>
        <w:tc>
          <w:tcPr>
            <w:tcW w:w="0" w:type="auto"/>
            <w:hideMark/>
          </w:tcPr>
          <w:p w14:paraId="2D21627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Social–Structural Determinants</w:t>
            </w:r>
          </w:p>
        </w:tc>
      </w:tr>
      <w:tr w:rsidR="00F34D15" w:rsidRPr="00732EED" w14:paraId="5FF204C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F9F0729" w14:textId="77777777" w:rsidR="00F34D15" w:rsidRPr="00732EED" w:rsidRDefault="00F34D15" w:rsidP="00F34D15">
            <w:pPr>
              <w:rPr>
                <w:sz w:val="18"/>
                <w:szCs w:val="18"/>
              </w:rPr>
            </w:pPr>
            <w:r w:rsidRPr="00732EED">
              <w:rPr>
                <w:sz w:val="18"/>
                <w:szCs w:val="18"/>
              </w:rPr>
              <w:lastRenderedPageBreak/>
              <w:t>77</w:t>
            </w:r>
          </w:p>
        </w:tc>
        <w:tc>
          <w:tcPr>
            <w:tcW w:w="0" w:type="auto"/>
            <w:hideMark/>
          </w:tcPr>
          <w:p w14:paraId="22E29DB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Balancing being MVP and accepting support</w:t>
            </w:r>
          </w:p>
        </w:tc>
        <w:tc>
          <w:tcPr>
            <w:tcW w:w="0" w:type="auto"/>
          </w:tcPr>
          <w:p w14:paraId="4AD2E063" w14:textId="45C4EC1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Balancing independence and support</w:t>
            </w:r>
          </w:p>
        </w:tc>
        <w:tc>
          <w:tcPr>
            <w:tcW w:w="0" w:type="auto"/>
            <w:hideMark/>
          </w:tcPr>
          <w:p w14:paraId="6ACA4070" w14:textId="6C9CDBE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6C16EE4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System</w:t>
            </w:r>
          </w:p>
        </w:tc>
      </w:tr>
      <w:tr w:rsidR="00F34D15" w:rsidRPr="00732EED" w14:paraId="3D8DD1BE"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2AE2FF1" w14:textId="77777777" w:rsidR="00F34D15" w:rsidRPr="00732EED" w:rsidRDefault="00F34D15" w:rsidP="00F34D15">
            <w:pPr>
              <w:rPr>
                <w:sz w:val="18"/>
                <w:szCs w:val="18"/>
              </w:rPr>
            </w:pPr>
            <w:r w:rsidRPr="00732EED">
              <w:rPr>
                <w:sz w:val="18"/>
                <w:szCs w:val="18"/>
              </w:rPr>
              <w:t>77</w:t>
            </w:r>
          </w:p>
        </w:tc>
        <w:tc>
          <w:tcPr>
            <w:tcW w:w="0" w:type="auto"/>
            <w:hideMark/>
          </w:tcPr>
          <w:p w14:paraId="4F720EB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Maintaining independence</w:t>
            </w:r>
          </w:p>
        </w:tc>
        <w:tc>
          <w:tcPr>
            <w:tcW w:w="0" w:type="auto"/>
          </w:tcPr>
          <w:p w14:paraId="20B5B189" w14:textId="2EA3235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Maintaining independence</w:t>
            </w:r>
          </w:p>
        </w:tc>
        <w:tc>
          <w:tcPr>
            <w:tcW w:w="0" w:type="auto"/>
            <w:hideMark/>
          </w:tcPr>
          <w:p w14:paraId="65AC287F" w14:textId="64CB560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189A870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Autonomy &amp; Independence</w:t>
            </w:r>
          </w:p>
        </w:tc>
      </w:tr>
      <w:tr w:rsidR="00F34D15" w:rsidRPr="00732EED" w14:paraId="03AEE71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4B42C3C" w14:textId="77777777" w:rsidR="00F34D15" w:rsidRPr="00732EED" w:rsidRDefault="00F34D15" w:rsidP="00F34D15">
            <w:pPr>
              <w:rPr>
                <w:sz w:val="18"/>
                <w:szCs w:val="18"/>
              </w:rPr>
            </w:pPr>
            <w:r w:rsidRPr="00732EED">
              <w:rPr>
                <w:sz w:val="18"/>
                <w:szCs w:val="18"/>
              </w:rPr>
              <w:t>77</w:t>
            </w:r>
          </w:p>
        </w:tc>
        <w:tc>
          <w:tcPr>
            <w:tcW w:w="0" w:type="auto"/>
            <w:hideMark/>
          </w:tcPr>
          <w:p w14:paraId="0F11B4D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Deferring some decision-making to healthcare</w:t>
            </w:r>
          </w:p>
        </w:tc>
        <w:tc>
          <w:tcPr>
            <w:tcW w:w="0" w:type="auto"/>
          </w:tcPr>
          <w:p w14:paraId="469306CF" w14:textId="438FEF1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Supported decision-sharing</w:t>
            </w:r>
          </w:p>
        </w:tc>
        <w:tc>
          <w:tcPr>
            <w:tcW w:w="0" w:type="auto"/>
            <w:hideMark/>
          </w:tcPr>
          <w:p w14:paraId="35537B0A" w14:textId="1491DB8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5EA40DC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352EF7A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7E52C5C" w14:textId="77777777" w:rsidR="00F34D15" w:rsidRPr="00732EED" w:rsidRDefault="00F34D15" w:rsidP="00F34D15">
            <w:pPr>
              <w:rPr>
                <w:sz w:val="18"/>
                <w:szCs w:val="18"/>
              </w:rPr>
            </w:pPr>
            <w:r w:rsidRPr="00732EED">
              <w:rPr>
                <w:sz w:val="18"/>
                <w:szCs w:val="18"/>
              </w:rPr>
              <w:t>78</w:t>
            </w:r>
          </w:p>
        </w:tc>
        <w:tc>
          <w:tcPr>
            <w:tcW w:w="0" w:type="auto"/>
            <w:hideMark/>
          </w:tcPr>
          <w:p w14:paraId="5DE3A3A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preceding diagnosis</w:t>
            </w:r>
          </w:p>
        </w:tc>
        <w:tc>
          <w:tcPr>
            <w:tcW w:w="0" w:type="auto"/>
          </w:tcPr>
          <w:p w14:paraId="6B3E1294" w14:textId="03D506F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 before diagnosis</w:t>
            </w:r>
          </w:p>
        </w:tc>
        <w:tc>
          <w:tcPr>
            <w:tcW w:w="0" w:type="auto"/>
            <w:hideMark/>
          </w:tcPr>
          <w:p w14:paraId="010B3763" w14:textId="3EC0183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2658770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Trauma/PTSD &amp; Abuse</w:t>
            </w:r>
          </w:p>
        </w:tc>
      </w:tr>
      <w:tr w:rsidR="00F34D15" w:rsidRPr="00732EED" w14:paraId="7814C94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5E041A9" w14:textId="77777777" w:rsidR="00F34D15" w:rsidRPr="00732EED" w:rsidRDefault="00F34D15" w:rsidP="00F34D15">
            <w:pPr>
              <w:rPr>
                <w:sz w:val="18"/>
                <w:szCs w:val="18"/>
              </w:rPr>
            </w:pPr>
            <w:r w:rsidRPr="00732EED">
              <w:rPr>
                <w:sz w:val="18"/>
                <w:szCs w:val="18"/>
              </w:rPr>
              <w:t>78</w:t>
            </w:r>
          </w:p>
        </w:tc>
        <w:tc>
          <w:tcPr>
            <w:tcW w:w="0" w:type="auto"/>
            <w:hideMark/>
          </w:tcPr>
          <w:p w14:paraId="6743CD1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Pervasive misunderstanding</w:t>
            </w:r>
          </w:p>
        </w:tc>
        <w:tc>
          <w:tcPr>
            <w:tcW w:w="0" w:type="auto"/>
          </w:tcPr>
          <w:p w14:paraId="23E43FE5" w14:textId="1E7862D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misunderstanding</w:t>
            </w:r>
          </w:p>
        </w:tc>
        <w:tc>
          <w:tcPr>
            <w:tcW w:w="0" w:type="auto"/>
            <w:hideMark/>
          </w:tcPr>
          <w:p w14:paraId="2F20DC74" w14:textId="41F8F20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1AB61ED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&amp; Malingering</w:t>
            </w:r>
          </w:p>
        </w:tc>
      </w:tr>
      <w:tr w:rsidR="00F34D15" w:rsidRPr="00732EED" w14:paraId="2894DCA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07AE2C4" w14:textId="77777777" w:rsidR="00F34D15" w:rsidRPr="00732EED" w:rsidRDefault="00F34D15" w:rsidP="00F34D15">
            <w:pPr>
              <w:rPr>
                <w:sz w:val="18"/>
                <w:szCs w:val="18"/>
              </w:rPr>
            </w:pPr>
            <w:r w:rsidRPr="00732EED">
              <w:rPr>
                <w:sz w:val="18"/>
                <w:szCs w:val="18"/>
              </w:rPr>
              <w:t>78</w:t>
            </w:r>
          </w:p>
        </w:tc>
        <w:tc>
          <w:tcPr>
            <w:tcW w:w="0" w:type="auto"/>
            <w:hideMark/>
          </w:tcPr>
          <w:p w14:paraId="155A4CC0"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Struggle to maintain strength</w:t>
            </w:r>
          </w:p>
        </w:tc>
        <w:tc>
          <w:tcPr>
            <w:tcW w:w="0" w:type="auto"/>
          </w:tcPr>
          <w:p w14:paraId="2B820F24" w14:textId="0B7454F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Maintaining strength</w:t>
            </w:r>
          </w:p>
        </w:tc>
        <w:tc>
          <w:tcPr>
            <w:tcW w:w="0" w:type="auto"/>
            <w:hideMark/>
          </w:tcPr>
          <w:p w14:paraId="443F2988" w14:textId="1EE8B0C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462920B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2D7DE70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1E2F60B" w14:textId="77777777" w:rsidR="00F34D15" w:rsidRPr="00732EED" w:rsidRDefault="00F34D15" w:rsidP="00F34D15">
            <w:pPr>
              <w:rPr>
                <w:sz w:val="18"/>
                <w:szCs w:val="18"/>
              </w:rPr>
            </w:pPr>
            <w:r w:rsidRPr="00732EED">
              <w:rPr>
                <w:sz w:val="18"/>
                <w:szCs w:val="18"/>
              </w:rPr>
              <w:t>78</w:t>
            </w:r>
          </w:p>
        </w:tc>
        <w:tc>
          <w:tcPr>
            <w:tcW w:w="0" w:type="auto"/>
            <w:hideMark/>
          </w:tcPr>
          <w:p w14:paraId="2B06075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Challenges in maternal roles</w:t>
            </w:r>
          </w:p>
        </w:tc>
        <w:tc>
          <w:tcPr>
            <w:tcW w:w="0" w:type="auto"/>
          </w:tcPr>
          <w:p w14:paraId="0599F185" w14:textId="08EBEAB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Maternal role strain</w:t>
            </w:r>
          </w:p>
        </w:tc>
        <w:tc>
          <w:tcPr>
            <w:tcW w:w="0" w:type="auto"/>
            <w:hideMark/>
          </w:tcPr>
          <w:p w14:paraId="2154A4D8" w14:textId="267309F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4744BF3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Gender Norms &amp; Roles</w:t>
            </w:r>
          </w:p>
        </w:tc>
      </w:tr>
      <w:tr w:rsidR="00F34D15" w:rsidRPr="00732EED" w14:paraId="3DA7D39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2151DA9" w14:textId="77777777" w:rsidR="00F34D15" w:rsidRPr="00732EED" w:rsidRDefault="00F34D15" w:rsidP="00F34D15">
            <w:pPr>
              <w:rPr>
                <w:sz w:val="18"/>
                <w:szCs w:val="18"/>
              </w:rPr>
            </w:pPr>
            <w:r w:rsidRPr="00732EED">
              <w:rPr>
                <w:sz w:val="18"/>
                <w:szCs w:val="18"/>
              </w:rPr>
              <w:t>78</w:t>
            </w:r>
          </w:p>
        </w:tc>
        <w:tc>
          <w:tcPr>
            <w:tcW w:w="0" w:type="auto"/>
            <w:hideMark/>
          </w:tcPr>
          <w:p w14:paraId="0F1FAA9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Persistent sexual discomfort</w:t>
            </w:r>
          </w:p>
        </w:tc>
        <w:tc>
          <w:tcPr>
            <w:tcW w:w="0" w:type="auto"/>
          </w:tcPr>
          <w:p w14:paraId="2B07444A" w14:textId="5D98FCD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Sexual pain/discomfort</w:t>
            </w:r>
          </w:p>
        </w:tc>
        <w:tc>
          <w:tcPr>
            <w:tcW w:w="0" w:type="auto"/>
            <w:hideMark/>
          </w:tcPr>
          <w:p w14:paraId="4CE16184" w14:textId="2AD384A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7D66D0E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&amp; Symptom Burden</w:t>
            </w:r>
          </w:p>
        </w:tc>
      </w:tr>
      <w:tr w:rsidR="00F34D15" w:rsidRPr="00732EED" w14:paraId="49A41C8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A6C17FF" w14:textId="77777777" w:rsidR="00F34D15" w:rsidRPr="00732EED" w:rsidRDefault="00F34D15" w:rsidP="00F34D15">
            <w:pPr>
              <w:rPr>
                <w:sz w:val="18"/>
                <w:szCs w:val="18"/>
              </w:rPr>
            </w:pPr>
            <w:r w:rsidRPr="00732EED">
              <w:rPr>
                <w:sz w:val="18"/>
                <w:szCs w:val="18"/>
              </w:rPr>
              <w:t>79</w:t>
            </w:r>
          </w:p>
        </w:tc>
        <w:tc>
          <w:tcPr>
            <w:tcW w:w="0" w:type="auto"/>
            <w:hideMark/>
          </w:tcPr>
          <w:p w14:paraId="4FE185E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Feeling safe</w:t>
            </w:r>
          </w:p>
        </w:tc>
        <w:tc>
          <w:tcPr>
            <w:tcW w:w="0" w:type="auto"/>
          </w:tcPr>
          <w:p w14:paraId="5F104528" w14:textId="5127EBE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Feeling safe through support</w:t>
            </w:r>
          </w:p>
        </w:tc>
        <w:tc>
          <w:tcPr>
            <w:tcW w:w="0" w:type="auto"/>
            <w:hideMark/>
          </w:tcPr>
          <w:p w14:paraId="19DBAB58" w14:textId="73DBDA3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1B49051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System</w:t>
            </w:r>
          </w:p>
        </w:tc>
      </w:tr>
      <w:tr w:rsidR="00F34D15" w:rsidRPr="00732EED" w14:paraId="2D5AE90C"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7E84EED" w14:textId="77777777" w:rsidR="00F34D15" w:rsidRPr="00732EED" w:rsidRDefault="00F34D15" w:rsidP="00F34D15">
            <w:pPr>
              <w:rPr>
                <w:sz w:val="18"/>
                <w:szCs w:val="18"/>
              </w:rPr>
            </w:pPr>
            <w:r w:rsidRPr="00732EED">
              <w:rPr>
                <w:sz w:val="18"/>
                <w:szCs w:val="18"/>
              </w:rPr>
              <w:t>79</w:t>
            </w:r>
          </w:p>
        </w:tc>
        <w:tc>
          <w:tcPr>
            <w:tcW w:w="0" w:type="auto"/>
            <w:hideMark/>
          </w:tcPr>
          <w:p w14:paraId="66289DA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Feeling valuable</w:t>
            </w:r>
          </w:p>
        </w:tc>
        <w:tc>
          <w:tcPr>
            <w:tcW w:w="0" w:type="auto"/>
          </w:tcPr>
          <w:p w14:paraId="633E3F31" w14:textId="039251D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Feeling valued</w:t>
            </w:r>
          </w:p>
        </w:tc>
        <w:tc>
          <w:tcPr>
            <w:tcW w:w="0" w:type="auto"/>
            <w:hideMark/>
          </w:tcPr>
          <w:p w14:paraId="3F361645" w14:textId="6CA8171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19012AC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520FA573"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3AB2AFB" w14:textId="77777777" w:rsidR="00F34D15" w:rsidRPr="00732EED" w:rsidRDefault="00F34D15" w:rsidP="00F34D15">
            <w:pPr>
              <w:rPr>
                <w:sz w:val="18"/>
                <w:szCs w:val="18"/>
              </w:rPr>
            </w:pPr>
            <w:r w:rsidRPr="00732EED">
              <w:rPr>
                <w:sz w:val="18"/>
                <w:szCs w:val="18"/>
              </w:rPr>
              <w:t>79</w:t>
            </w:r>
          </w:p>
        </w:tc>
        <w:tc>
          <w:tcPr>
            <w:tcW w:w="0" w:type="auto"/>
            <w:hideMark/>
          </w:tcPr>
          <w:p w14:paraId="289CACD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Being trusted to take command</w:t>
            </w:r>
          </w:p>
        </w:tc>
        <w:tc>
          <w:tcPr>
            <w:tcW w:w="0" w:type="auto"/>
          </w:tcPr>
          <w:p w14:paraId="56C3F3F7" w14:textId="1F5B6DA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Trusted autonomy</w:t>
            </w:r>
          </w:p>
        </w:tc>
        <w:tc>
          <w:tcPr>
            <w:tcW w:w="0" w:type="auto"/>
            <w:hideMark/>
          </w:tcPr>
          <w:p w14:paraId="1D9E61EF" w14:textId="7D6560E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601FD46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&amp; Agency</w:t>
            </w:r>
          </w:p>
        </w:tc>
      </w:tr>
      <w:tr w:rsidR="00F34D15" w:rsidRPr="00732EED" w14:paraId="786A344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D4B0DCF" w14:textId="77777777" w:rsidR="00F34D15" w:rsidRPr="00732EED" w:rsidRDefault="00F34D15" w:rsidP="00F34D15">
            <w:pPr>
              <w:rPr>
                <w:sz w:val="18"/>
                <w:szCs w:val="18"/>
              </w:rPr>
            </w:pPr>
            <w:r w:rsidRPr="00732EED">
              <w:rPr>
                <w:sz w:val="18"/>
                <w:szCs w:val="18"/>
              </w:rPr>
              <w:t>79</w:t>
            </w:r>
          </w:p>
        </w:tc>
        <w:tc>
          <w:tcPr>
            <w:tcW w:w="0" w:type="auto"/>
            <w:hideMark/>
          </w:tcPr>
          <w:p w14:paraId="035DA0A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Access to dependable care</w:t>
            </w:r>
          </w:p>
        </w:tc>
        <w:tc>
          <w:tcPr>
            <w:tcW w:w="0" w:type="auto"/>
          </w:tcPr>
          <w:p w14:paraId="7E81D657" w14:textId="118AFF8F"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Dependable care access</w:t>
            </w:r>
          </w:p>
        </w:tc>
        <w:tc>
          <w:tcPr>
            <w:tcW w:w="0" w:type="auto"/>
            <w:hideMark/>
          </w:tcPr>
          <w:p w14:paraId="39E91A6F" w14:textId="5B3B374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3EA7E02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Access Barriers &amp; Logistics</w:t>
            </w:r>
          </w:p>
        </w:tc>
      </w:tr>
      <w:tr w:rsidR="00F34D15" w:rsidRPr="00732EED" w14:paraId="23F9F82A"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D651C81" w14:textId="77777777" w:rsidR="00F34D15" w:rsidRPr="00732EED" w:rsidRDefault="00F34D15" w:rsidP="00F34D15">
            <w:pPr>
              <w:rPr>
                <w:sz w:val="18"/>
                <w:szCs w:val="18"/>
              </w:rPr>
            </w:pPr>
            <w:r w:rsidRPr="00732EED">
              <w:rPr>
                <w:sz w:val="18"/>
                <w:szCs w:val="18"/>
              </w:rPr>
              <w:t>79</w:t>
            </w:r>
          </w:p>
        </w:tc>
        <w:tc>
          <w:tcPr>
            <w:tcW w:w="0" w:type="auto"/>
            <w:hideMark/>
          </w:tcPr>
          <w:p w14:paraId="4B03530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Flexibility in planning</w:t>
            </w:r>
          </w:p>
        </w:tc>
        <w:tc>
          <w:tcPr>
            <w:tcW w:w="0" w:type="auto"/>
          </w:tcPr>
          <w:p w14:paraId="28D22E5D" w14:textId="1C7ABA8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Flexible work planning</w:t>
            </w:r>
          </w:p>
        </w:tc>
        <w:tc>
          <w:tcPr>
            <w:tcW w:w="0" w:type="auto"/>
            <w:hideMark/>
          </w:tcPr>
          <w:p w14:paraId="59964A41" w14:textId="621E0F2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75AB775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Work &amp; Return to Work</w:t>
            </w:r>
          </w:p>
        </w:tc>
      </w:tr>
      <w:tr w:rsidR="00F34D15" w:rsidRPr="00732EED" w14:paraId="2EB0645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7B234EE" w14:textId="77777777" w:rsidR="00F34D15" w:rsidRPr="00732EED" w:rsidRDefault="00F34D15" w:rsidP="00F34D15">
            <w:pPr>
              <w:rPr>
                <w:sz w:val="18"/>
                <w:szCs w:val="18"/>
              </w:rPr>
            </w:pPr>
            <w:r w:rsidRPr="00732EED">
              <w:rPr>
                <w:sz w:val="18"/>
                <w:szCs w:val="18"/>
              </w:rPr>
              <w:t>79</w:t>
            </w:r>
          </w:p>
        </w:tc>
        <w:tc>
          <w:tcPr>
            <w:tcW w:w="0" w:type="auto"/>
            <w:hideMark/>
          </w:tcPr>
          <w:p w14:paraId="1AA567D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toward sustainable future</w:t>
            </w:r>
          </w:p>
        </w:tc>
        <w:tc>
          <w:tcPr>
            <w:tcW w:w="0" w:type="auto"/>
          </w:tcPr>
          <w:p w14:paraId="75B83111" w14:textId="2B52EC5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Sustainable future support</w:t>
            </w:r>
          </w:p>
        </w:tc>
        <w:tc>
          <w:tcPr>
            <w:tcW w:w="0" w:type="auto"/>
            <w:hideMark/>
          </w:tcPr>
          <w:p w14:paraId="568DE46B" w14:textId="4D7085E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1C80CEF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&amp; Return to Work</w:t>
            </w:r>
          </w:p>
        </w:tc>
      </w:tr>
      <w:tr w:rsidR="00F34D15" w:rsidRPr="00732EED" w14:paraId="5A001361"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0067EDA" w14:textId="77777777" w:rsidR="00F34D15" w:rsidRPr="00732EED" w:rsidRDefault="00F34D15" w:rsidP="00F34D15">
            <w:pPr>
              <w:rPr>
                <w:sz w:val="18"/>
                <w:szCs w:val="18"/>
              </w:rPr>
            </w:pPr>
            <w:r w:rsidRPr="00732EED">
              <w:rPr>
                <w:sz w:val="18"/>
                <w:szCs w:val="18"/>
              </w:rPr>
              <w:t>80</w:t>
            </w:r>
          </w:p>
        </w:tc>
        <w:tc>
          <w:tcPr>
            <w:tcW w:w="0" w:type="auto"/>
            <w:hideMark/>
          </w:tcPr>
          <w:p w14:paraId="543D46D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of chronic pain as ecosystem</w:t>
            </w:r>
          </w:p>
        </w:tc>
        <w:tc>
          <w:tcPr>
            <w:tcW w:w="0" w:type="auto"/>
          </w:tcPr>
          <w:p w14:paraId="3432B3FE" w14:textId="2741A5E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c>
          <w:tcPr>
            <w:tcW w:w="0" w:type="auto"/>
            <w:hideMark/>
          </w:tcPr>
          <w:p w14:paraId="4DD3712F" w14:textId="1E23541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w:t>
            </w:r>
          </w:p>
        </w:tc>
        <w:tc>
          <w:tcPr>
            <w:tcW w:w="0" w:type="auto"/>
            <w:hideMark/>
          </w:tcPr>
          <w:p w14:paraId="43A9F21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r>
      <w:tr w:rsidR="00F34D15" w:rsidRPr="00732EED" w14:paraId="011D245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FF46593" w14:textId="77777777" w:rsidR="00F34D15" w:rsidRPr="00732EED" w:rsidRDefault="00F34D15" w:rsidP="00F34D15">
            <w:pPr>
              <w:rPr>
                <w:sz w:val="18"/>
                <w:szCs w:val="18"/>
              </w:rPr>
            </w:pPr>
            <w:r w:rsidRPr="00732EED">
              <w:rPr>
                <w:sz w:val="18"/>
                <w:szCs w:val="18"/>
              </w:rPr>
              <w:t>81</w:t>
            </w:r>
          </w:p>
        </w:tc>
        <w:tc>
          <w:tcPr>
            <w:tcW w:w="0" w:type="auto"/>
            <w:hideMark/>
          </w:tcPr>
          <w:p w14:paraId="6DE9A37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Emotional factors: fear/frustration/worry</w:t>
            </w:r>
          </w:p>
        </w:tc>
        <w:tc>
          <w:tcPr>
            <w:tcW w:w="0" w:type="auto"/>
          </w:tcPr>
          <w:p w14:paraId="020559ED" w14:textId="1C85DEF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Fear-frustration-worry</w:t>
            </w:r>
          </w:p>
        </w:tc>
        <w:tc>
          <w:tcPr>
            <w:tcW w:w="0" w:type="auto"/>
            <w:hideMark/>
          </w:tcPr>
          <w:p w14:paraId="37314874" w14:textId="63D5C89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78B54867"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Anxiety &amp; Fear</w:t>
            </w:r>
          </w:p>
        </w:tc>
      </w:tr>
      <w:tr w:rsidR="00F34D15" w:rsidRPr="00732EED" w14:paraId="786DDF4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607BCA0" w14:textId="77777777" w:rsidR="00F34D15" w:rsidRPr="00732EED" w:rsidRDefault="00F34D15" w:rsidP="00F34D15">
            <w:pPr>
              <w:rPr>
                <w:sz w:val="18"/>
                <w:szCs w:val="18"/>
              </w:rPr>
            </w:pPr>
            <w:r w:rsidRPr="00732EED">
              <w:rPr>
                <w:sz w:val="18"/>
                <w:szCs w:val="18"/>
              </w:rPr>
              <w:t>81</w:t>
            </w:r>
          </w:p>
        </w:tc>
        <w:tc>
          <w:tcPr>
            <w:tcW w:w="0" w:type="auto"/>
            <w:hideMark/>
          </w:tcPr>
          <w:p w14:paraId="01DC279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 factors: predictability/perception/interference</w:t>
            </w:r>
          </w:p>
        </w:tc>
        <w:tc>
          <w:tcPr>
            <w:tcW w:w="0" w:type="auto"/>
          </w:tcPr>
          <w:p w14:paraId="152004EA" w14:textId="56C779F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predictability/perception</w:t>
            </w:r>
          </w:p>
        </w:tc>
        <w:tc>
          <w:tcPr>
            <w:tcW w:w="0" w:type="auto"/>
            <w:hideMark/>
          </w:tcPr>
          <w:p w14:paraId="75E856AC" w14:textId="4106D6B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6D51FDD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Illness Representations / Models</w:t>
            </w:r>
          </w:p>
        </w:tc>
      </w:tr>
      <w:tr w:rsidR="00F34D15" w:rsidRPr="00732EED" w14:paraId="43B66E4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A1A96DB" w14:textId="77777777" w:rsidR="00F34D15" w:rsidRPr="00732EED" w:rsidRDefault="00F34D15" w:rsidP="00F34D15">
            <w:pPr>
              <w:rPr>
                <w:sz w:val="18"/>
                <w:szCs w:val="18"/>
              </w:rPr>
            </w:pPr>
            <w:r w:rsidRPr="00732EED">
              <w:rPr>
                <w:sz w:val="18"/>
                <w:szCs w:val="18"/>
              </w:rPr>
              <w:t>81</w:t>
            </w:r>
          </w:p>
        </w:tc>
        <w:tc>
          <w:tcPr>
            <w:tcW w:w="0" w:type="auto"/>
            <w:hideMark/>
          </w:tcPr>
          <w:p w14:paraId="591A2C1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Behaviors: managing symptoms/daily tasks/social factors</w:t>
            </w:r>
          </w:p>
        </w:tc>
        <w:tc>
          <w:tcPr>
            <w:tcW w:w="0" w:type="auto"/>
          </w:tcPr>
          <w:p w14:paraId="4894741D" w14:textId="3D9F5A44"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Symptom and task management</w:t>
            </w:r>
          </w:p>
        </w:tc>
        <w:tc>
          <w:tcPr>
            <w:tcW w:w="0" w:type="auto"/>
            <w:hideMark/>
          </w:tcPr>
          <w:p w14:paraId="5C1A7B12" w14:textId="3D400CFD"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7EF0400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Activity &amp; Pacing</w:t>
            </w:r>
          </w:p>
        </w:tc>
      </w:tr>
      <w:tr w:rsidR="00F34D15" w:rsidRPr="00732EED" w14:paraId="3F729BE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8B09911" w14:textId="77777777" w:rsidR="00F34D15" w:rsidRPr="00732EED" w:rsidRDefault="00F34D15" w:rsidP="00F34D15">
            <w:pPr>
              <w:rPr>
                <w:sz w:val="18"/>
                <w:szCs w:val="18"/>
              </w:rPr>
            </w:pPr>
            <w:r w:rsidRPr="00732EED">
              <w:rPr>
                <w:sz w:val="18"/>
                <w:szCs w:val="18"/>
              </w:rPr>
              <w:t>81</w:t>
            </w:r>
          </w:p>
        </w:tc>
        <w:tc>
          <w:tcPr>
            <w:tcW w:w="0" w:type="auto"/>
            <w:hideMark/>
          </w:tcPr>
          <w:p w14:paraId="39ECF8C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Diagnosis/health system attention/medical prescriptions</w:t>
            </w:r>
          </w:p>
        </w:tc>
        <w:tc>
          <w:tcPr>
            <w:tcW w:w="0" w:type="auto"/>
          </w:tcPr>
          <w:p w14:paraId="2101E6A7" w14:textId="2556B28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System-shaped cognitions</w:t>
            </w:r>
          </w:p>
        </w:tc>
        <w:tc>
          <w:tcPr>
            <w:tcW w:w="0" w:type="auto"/>
            <w:hideMark/>
          </w:tcPr>
          <w:p w14:paraId="53105E01" w14:textId="5864696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35F32E4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r>
      <w:tr w:rsidR="00F34D15" w:rsidRPr="00732EED" w14:paraId="5F769D4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AD37084" w14:textId="77777777" w:rsidR="00F34D15" w:rsidRPr="00732EED" w:rsidRDefault="00F34D15" w:rsidP="00F34D15">
            <w:pPr>
              <w:rPr>
                <w:sz w:val="18"/>
                <w:szCs w:val="18"/>
              </w:rPr>
            </w:pPr>
            <w:r w:rsidRPr="00732EED">
              <w:rPr>
                <w:sz w:val="18"/>
                <w:szCs w:val="18"/>
              </w:rPr>
              <w:t>82</w:t>
            </w:r>
          </w:p>
        </w:tc>
        <w:tc>
          <w:tcPr>
            <w:tcW w:w="0" w:type="auto"/>
            <w:hideMark/>
          </w:tcPr>
          <w:p w14:paraId="0C90470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Severe stigmatization/social exclusion</w:t>
            </w:r>
          </w:p>
        </w:tc>
        <w:tc>
          <w:tcPr>
            <w:tcW w:w="0" w:type="auto"/>
          </w:tcPr>
          <w:p w14:paraId="7D49D521" w14:textId="0A0AC38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Severe social stigma</w:t>
            </w:r>
          </w:p>
        </w:tc>
        <w:tc>
          <w:tcPr>
            <w:tcW w:w="0" w:type="auto"/>
            <w:hideMark/>
          </w:tcPr>
          <w:p w14:paraId="1600BD0B" w14:textId="25E282D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3561140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r>
      <w:tr w:rsidR="00F34D15" w:rsidRPr="00732EED" w14:paraId="221E7737"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47D1F69" w14:textId="77777777" w:rsidR="00F34D15" w:rsidRPr="00732EED" w:rsidRDefault="00F34D15" w:rsidP="00F34D15">
            <w:pPr>
              <w:rPr>
                <w:sz w:val="18"/>
                <w:szCs w:val="18"/>
              </w:rPr>
            </w:pPr>
            <w:r w:rsidRPr="00732EED">
              <w:rPr>
                <w:sz w:val="18"/>
                <w:szCs w:val="18"/>
              </w:rPr>
              <w:t>82</w:t>
            </w:r>
          </w:p>
        </w:tc>
        <w:tc>
          <w:tcPr>
            <w:tcW w:w="0" w:type="auto"/>
            <w:hideMark/>
          </w:tcPr>
          <w:p w14:paraId="2F2ADED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 of previous life and self-identity</w:t>
            </w:r>
          </w:p>
        </w:tc>
        <w:tc>
          <w:tcPr>
            <w:tcW w:w="0" w:type="auto"/>
          </w:tcPr>
          <w:p w14:paraId="667673DB" w14:textId="59FAC7A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Loss of former self</w:t>
            </w:r>
          </w:p>
        </w:tc>
        <w:tc>
          <w:tcPr>
            <w:tcW w:w="0" w:type="auto"/>
            <w:hideMark/>
          </w:tcPr>
          <w:p w14:paraId="1AB34322" w14:textId="1247089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6A233A3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4C729CAD"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5D04902" w14:textId="77777777" w:rsidR="00F34D15" w:rsidRPr="00732EED" w:rsidRDefault="00F34D15" w:rsidP="00F34D15">
            <w:pPr>
              <w:rPr>
                <w:sz w:val="18"/>
                <w:szCs w:val="18"/>
              </w:rPr>
            </w:pPr>
            <w:r w:rsidRPr="00732EED">
              <w:rPr>
                <w:sz w:val="18"/>
                <w:szCs w:val="18"/>
              </w:rPr>
              <w:t>82</w:t>
            </w:r>
          </w:p>
        </w:tc>
        <w:tc>
          <w:tcPr>
            <w:tcW w:w="0" w:type="auto"/>
            <w:hideMark/>
          </w:tcPr>
          <w:p w14:paraId="228D84E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New routines and devalued identity</w:t>
            </w:r>
          </w:p>
        </w:tc>
        <w:tc>
          <w:tcPr>
            <w:tcW w:w="0" w:type="auto"/>
          </w:tcPr>
          <w:p w14:paraId="75332244" w14:textId="04CA872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Devalued identity and adaptation</w:t>
            </w:r>
          </w:p>
        </w:tc>
        <w:tc>
          <w:tcPr>
            <w:tcW w:w="0" w:type="auto"/>
            <w:hideMark/>
          </w:tcPr>
          <w:p w14:paraId="2A306E15" w14:textId="17D56CD2"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1EFBDF2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0431E525"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3F16A85" w14:textId="77777777" w:rsidR="00F34D15" w:rsidRPr="00732EED" w:rsidRDefault="00F34D15" w:rsidP="00F34D15">
            <w:pPr>
              <w:rPr>
                <w:sz w:val="18"/>
                <w:szCs w:val="18"/>
              </w:rPr>
            </w:pPr>
            <w:r w:rsidRPr="00732EED">
              <w:rPr>
                <w:sz w:val="18"/>
                <w:szCs w:val="18"/>
              </w:rPr>
              <w:lastRenderedPageBreak/>
              <w:t>83</w:t>
            </w:r>
          </w:p>
        </w:tc>
        <w:tc>
          <w:tcPr>
            <w:tcW w:w="0" w:type="auto"/>
            <w:hideMark/>
          </w:tcPr>
          <w:p w14:paraId="3F9049B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Behavioral, affective, cognitive improvements</w:t>
            </w:r>
          </w:p>
        </w:tc>
        <w:tc>
          <w:tcPr>
            <w:tcW w:w="0" w:type="auto"/>
          </w:tcPr>
          <w:p w14:paraId="06AE1B73" w14:textId="68AF6DB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Psychotherapy-related improvement</w:t>
            </w:r>
          </w:p>
        </w:tc>
        <w:tc>
          <w:tcPr>
            <w:tcW w:w="0" w:type="auto"/>
            <w:hideMark/>
          </w:tcPr>
          <w:p w14:paraId="1D6872FB" w14:textId="650ACEA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4B0FD2F0"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19C19735"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9306A9A" w14:textId="77777777" w:rsidR="00F34D15" w:rsidRPr="00732EED" w:rsidRDefault="00F34D15" w:rsidP="00F34D15">
            <w:pPr>
              <w:rPr>
                <w:sz w:val="18"/>
                <w:szCs w:val="18"/>
              </w:rPr>
            </w:pPr>
            <w:r w:rsidRPr="00732EED">
              <w:rPr>
                <w:sz w:val="18"/>
                <w:szCs w:val="18"/>
              </w:rPr>
              <w:t>83</w:t>
            </w:r>
          </w:p>
        </w:tc>
        <w:tc>
          <w:tcPr>
            <w:tcW w:w="0" w:type="auto"/>
            <w:hideMark/>
          </w:tcPr>
          <w:p w14:paraId="2176453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Lack of human contact/social isolation as barriers</w:t>
            </w:r>
          </w:p>
        </w:tc>
        <w:tc>
          <w:tcPr>
            <w:tcW w:w="0" w:type="auto"/>
          </w:tcPr>
          <w:p w14:paraId="536EBCA8" w14:textId="2D11903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Lack of human contact</w:t>
            </w:r>
          </w:p>
        </w:tc>
        <w:tc>
          <w:tcPr>
            <w:tcW w:w="0" w:type="auto"/>
            <w:hideMark/>
          </w:tcPr>
          <w:p w14:paraId="514A8D26" w14:textId="46E0571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3415C4CB"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16BD73C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2D29B3B" w14:textId="77777777" w:rsidR="00F34D15" w:rsidRPr="00732EED" w:rsidRDefault="00F34D15" w:rsidP="00F34D15">
            <w:pPr>
              <w:rPr>
                <w:sz w:val="18"/>
                <w:szCs w:val="18"/>
              </w:rPr>
            </w:pPr>
            <w:r w:rsidRPr="00732EED">
              <w:rPr>
                <w:sz w:val="18"/>
                <w:szCs w:val="18"/>
              </w:rPr>
              <w:t>84</w:t>
            </w:r>
          </w:p>
        </w:tc>
        <w:tc>
          <w:tcPr>
            <w:tcW w:w="0" w:type="auto"/>
            <w:hideMark/>
          </w:tcPr>
          <w:p w14:paraId="5499EB2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RTW depends on self-perceived limitations</w:t>
            </w:r>
          </w:p>
        </w:tc>
        <w:tc>
          <w:tcPr>
            <w:tcW w:w="0" w:type="auto"/>
          </w:tcPr>
          <w:p w14:paraId="2443DF50" w14:textId="15D6CD20"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Self-perceived work limitation</w:t>
            </w:r>
          </w:p>
        </w:tc>
        <w:tc>
          <w:tcPr>
            <w:tcW w:w="0" w:type="auto"/>
            <w:hideMark/>
          </w:tcPr>
          <w:p w14:paraId="2FDEB393" w14:textId="28F29DEB"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0D9BCCA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Work &amp; Return to Work</w:t>
            </w:r>
          </w:p>
        </w:tc>
      </w:tr>
      <w:tr w:rsidR="00F34D15" w:rsidRPr="00732EED" w14:paraId="4661DDC2"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D0FEA31" w14:textId="77777777" w:rsidR="00F34D15" w:rsidRPr="00732EED" w:rsidRDefault="00F34D15" w:rsidP="00F34D15">
            <w:pPr>
              <w:rPr>
                <w:sz w:val="18"/>
                <w:szCs w:val="18"/>
              </w:rPr>
            </w:pPr>
            <w:r w:rsidRPr="00732EED">
              <w:rPr>
                <w:sz w:val="18"/>
                <w:szCs w:val="18"/>
              </w:rPr>
              <w:t>84</w:t>
            </w:r>
          </w:p>
        </w:tc>
        <w:tc>
          <w:tcPr>
            <w:tcW w:w="0" w:type="auto"/>
            <w:hideMark/>
          </w:tcPr>
          <w:p w14:paraId="6698438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Coping strategies</w:t>
            </w:r>
          </w:p>
        </w:tc>
        <w:tc>
          <w:tcPr>
            <w:tcW w:w="0" w:type="auto"/>
          </w:tcPr>
          <w:p w14:paraId="181FED84" w14:textId="6C88061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Coping strategies</w:t>
            </w:r>
          </w:p>
        </w:tc>
        <w:tc>
          <w:tcPr>
            <w:tcW w:w="0" w:type="auto"/>
            <w:hideMark/>
          </w:tcPr>
          <w:p w14:paraId="7A6350E8" w14:textId="00A912A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4F23BD5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Resilience &amp; Growth</w:t>
            </w:r>
          </w:p>
        </w:tc>
      </w:tr>
      <w:tr w:rsidR="00F34D15" w:rsidRPr="00732EED" w14:paraId="7FF600B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3854726" w14:textId="77777777" w:rsidR="00F34D15" w:rsidRPr="00732EED" w:rsidRDefault="00F34D15" w:rsidP="00F34D15">
            <w:pPr>
              <w:rPr>
                <w:sz w:val="18"/>
                <w:szCs w:val="18"/>
              </w:rPr>
            </w:pPr>
            <w:r w:rsidRPr="00732EED">
              <w:rPr>
                <w:sz w:val="18"/>
                <w:szCs w:val="18"/>
              </w:rPr>
              <w:t>84</w:t>
            </w:r>
          </w:p>
        </w:tc>
        <w:tc>
          <w:tcPr>
            <w:tcW w:w="0" w:type="auto"/>
            <w:hideMark/>
          </w:tcPr>
          <w:p w14:paraId="1B07575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Motivational structures</w:t>
            </w:r>
          </w:p>
        </w:tc>
        <w:tc>
          <w:tcPr>
            <w:tcW w:w="0" w:type="auto"/>
          </w:tcPr>
          <w:p w14:paraId="20835720" w14:textId="395F56E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Motivation for RTW</w:t>
            </w:r>
          </w:p>
        </w:tc>
        <w:tc>
          <w:tcPr>
            <w:tcW w:w="0" w:type="auto"/>
            <w:hideMark/>
          </w:tcPr>
          <w:p w14:paraId="03ADA874" w14:textId="4ABE979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Cognitive</w:t>
            </w:r>
          </w:p>
        </w:tc>
        <w:tc>
          <w:tcPr>
            <w:tcW w:w="0" w:type="auto"/>
            <w:hideMark/>
          </w:tcPr>
          <w:p w14:paraId="38241E7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Existential Angst &amp; Meaning</w:t>
            </w:r>
          </w:p>
        </w:tc>
      </w:tr>
      <w:tr w:rsidR="00F34D15" w:rsidRPr="00732EED" w14:paraId="364B6BF1"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B86B1EB" w14:textId="77777777" w:rsidR="00F34D15" w:rsidRPr="00732EED" w:rsidRDefault="00F34D15" w:rsidP="00F34D15">
            <w:pPr>
              <w:rPr>
                <w:sz w:val="18"/>
                <w:szCs w:val="18"/>
              </w:rPr>
            </w:pPr>
            <w:r w:rsidRPr="00732EED">
              <w:rPr>
                <w:sz w:val="18"/>
                <w:szCs w:val="18"/>
              </w:rPr>
              <w:t>84</w:t>
            </w:r>
          </w:p>
        </w:tc>
        <w:tc>
          <w:tcPr>
            <w:tcW w:w="0" w:type="auto"/>
            <w:hideMark/>
          </w:tcPr>
          <w:p w14:paraId="19644FD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support</w:t>
            </w:r>
          </w:p>
        </w:tc>
        <w:tc>
          <w:tcPr>
            <w:tcW w:w="0" w:type="auto"/>
          </w:tcPr>
          <w:p w14:paraId="706F4B50" w14:textId="1996E4E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RTW social support</w:t>
            </w:r>
          </w:p>
        </w:tc>
        <w:tc>
          <w:tcPr>
            <w:tcW w:w="0" w:type="auto"/>
            <w:hideMark/>
          </w:tcPr>
          <w:p w14:paraId="3857281F" w14:textId="6BD0518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02AAF845"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026AAC16"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678BDF8" w14:textId="77777777" w:rsidR="00F34D15" w:rsidRPr="00732EED" w:rsidRDefault="00F34D15" w:rsidP="00F34D15">
            <w:pPr>
              <w:rPr>
                <w:sz w:val="18"/>
                <w:szCs w:val="18"/>
              </w:rPr>
            </w:pPr>
            <w:r w:rsidRPr="00732EED">
              <w:rPr>
                <w:sz w:val="18"/>
                <w:szCs w:val="18"/>
              </w:rPr>
              <w:t>84</w:t>
            </w:r>
          </w:p>
        </w:tc>
        <w:tc>
          <w:tcPr>
            <w:tcW w:w="0" w:type="auto"/>
            <w:hideMark/>
          </w:tcPr>
          <w:p w14:paraId="611C762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Workplace willingness to adapt</w:t>
            </w:r>
          </w:p>
        </w:tc>
        <w:tc>
          <w:tcPr>
            <w:tcW w:w="0" w:type="auto"/>
          </w:tcPr>
          <w:p w14:paraId="0E68BAAA" w14:textId="4CD8D9E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Workplace adaptation</w:t>
            </w:r>
          </w:p>
        </w:tc>
        <w:tc>
          <w:tcPr>
            <w:tcW w:w="0" w:type="auto"/>
            <w:hideMark/>
          </w:tcPr>
          <w:p w14:paraId="1BEDDD09" w14:textId="43BDA7D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Environmental</w:t>
            </w:r>
          </w:p>
        </w:tc>
        <w:tc>
          <w:tcPr>
            <w:tcW w:w="0" w:type="auto"/>
            <w:hideMark/>
          </w:tcPr>
          <w:p w14:paraId="0F45697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Home/Work Environment Adaptations</w:t>
            </w:r>
          </w:p>
        </w:tc>
      </w:tr>
      <w:tr w:rsidR="00F34D15" w:rsidRPr="00732EED" w14:paraId="755A1C9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15885A8" w14:textId="77777777" w:rsidR="00F34D15" w:rsidRPr="00732EED" w:rsidRDefault="00F34D15" w:rsidP="00F34D15">
            <w:pPr>
              <w:rPr>
                <w:sz w:val="18"/>
                <w:szCs w:val="18"/>
              </w:rPr>
            </w:pPr>
            <w:r w:rsidRPr="00732EED">
              <w:rPr>
                <w:sz w:val="18"/>
                <w:szCs w:val="18"/>
              </w:rPr>
              <w:t>85</w:t>
            </w:r>
          </w:p>
        </w:tc>
        <w:tc>
          <w:tcPr>
            <w:tcW w:w="0" w:type="auto"/>
            <w:hideMark/>
          </w:tcPr>
          <w:p w14:paraId="4C0C6AA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Masculine norms affect illness perception/help-seeking</w:t>
            </w:r>
          </w:p>
        </w:tc>
        <w:tc>
          <w:tcPr>
            <w:tcW w:w="0" w:type="auto"/>
          </w:tcPr>
          <w:p w14:paraId="0B4DA58A" w14:textId="362C0DD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Hegemonic masculinity</w:t>
            </w:r>
          </w:p>
        </w:tc>
        <w:tc>
          <w:tcPr>
            <w:tcW w:w="0" w:type="auto"/>
            <w:hideMark/>
          </w:tcPr>
          <w:p w14:paraId="13656E3B" w14:textId="179A58E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354278D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Gender Norms &amp; Roles</w:t>
            </w:r>
          </w:p>
        </w:tc>
      </w:tr>
      <w:tr w:rsidR="00F34D15" w:rsidRPr="00732EED" w14:paraId="26FF509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D08F241" w14:textId="77777777" w:rsidR="00F34D15" w:rsidRPr="00732EED" w:rsidRDefault="00F34D15" w:rsidP="00F34D15">
            <w:pPr>
              <w:rPr>
                <w:sz w:val="18"/>
                <w:szCs w:val="18"/>
              </w:rPr>
            </w:pPr>
            <w:r w:rsidRPr="00732EED">
              <w:rPr>
                <w:sz w:val="18"/>
                <w:szCs w:val="18"/>
              </w:rPr>
              <w:t>86</w:t>
            </w:r>
          </w:p>
        </w:tc>
        <w:tc>
          <w:tcPr>
            <w:tcW w:w="0" w:type="auto"/>
            <w:hideMark/>
          </w:tcPr>
          <w:p w14:paraId="7B42701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Trauma reprocessing and integration</w:t>
            </w:r>
          </w:p>
        </w:tc>
        <w:tc>
          <w:tcPr>
            <w:tcW w:w="0" w:type="auto"/>
          </w:tcPr>
          <w:p w14:paraId="39DC2C0D" w14:textId="531AECC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Trauma reprocessing</w:t>
            </w:r>
          </w:p>
        </w:tc>
        <w:tc>
          <w:tcPr>
            <w:tcW w:w="0" w:type="auto"/>
            <w:hideMark/>
          </w:tcPr>
          <w:p w14:paraId="3ED22ED1" w14:textId="20F5C1D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205ADE78"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Trauma/PTSD &amp; Abuse</w:t>
            </w:r>
          </w:p>
        </w:tc>
      </w:tr>
      <w:tr w:rsidR="00F34D15" w:rsidRPr="00732EED" w14:paraId="5B69758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BC2FB82" w14:textId="77777777" w:rsidR="00F34D15" w:rsidRPr="00732EED" w:rsidRDefault="00F34D15" w:rsidP="00F34D15">
            <w:pPr>
              <w:rPr>
                <w:sz w:val="18"/>
                <w:szCs w:val="18"/>
              </w:rPr>
            </w:pPr>
            <w:r w:rsidRPr="00732EED">
              <w:rPr>
                <w:sz w:val="18"/>
                <w:szCs w:val="18"/>
              </w:rPr>
              <w:t>86</w:t>
            </w:r>
          </w:p>
        </w:tc>
        <w:tc>
          <w:tcPr>
            <w:tcW w:w="0" w:type="auto"/>
            <w:hideMark/>
          </w:tcPr>
          <w:p w14:paraId="7237777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Improved pain self-management/self-efficacy</w:t>
            </w:r>
          </w:p>
        </w:tc>
        <w:tc>
          <w:tcPr>
            <w:tcW w:w="0" w:type="auto"/>
          </w:tcPr>
          <w:p w14:paraId="6D003231" w14:textId="4AFA970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Improved self-management/self-efficacy</w:t>
            </w:r>
          </w:p>
        </w:tc>
        <w:tc>
          <w:tcPr>
            <w:tcW w:w="0" w:type="auto"/>
            <w:hideMark/>
          </w:tcPr>
          <w:p w14:paraId="54EF6793" w14:textId="7E0B831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7F654DB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Positive Programs &amp; Self-Management</w:t>
            </w:r>
          </w:p>
        </w:tc>
      </w:tr>
      <w:tr w:rsidR="00F34D15" w:rsidRPr="00732EED" w14:paraId="350C5EFF"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7CE2CAE" w14:textId="77777777" w:rsidR="00F34D15" w:rsidRPr="00732EED" w:rsidRDefault="00F34D15" w:rsidP="00F34D15">
            <w:pPr>
              <w:rPr>
                <w:sz w:val="18"/>
                <w:szCs w:val="18"/>
              </w:rPr>
            </w:pPr>
            <w:r w:rsidRPr="00732EED">
              <w:rPr>
                <w:sz w:val="18"/>
                <w:szCs w:val="18"/>
              </w:rPr>
              <w:t>86</w:t>
            </w:r>
          </w:p>
        </w:tc>
        <w:tc>
          <w:tcPr>
            <w:tcW w:w="0" w:type="auto"/>
            <w:hideMark/>
          </w:tcPr>
          <w:p w14:paraId="3B95065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Dis-identification from pain as identity</w:t>
            </w:r>
          </w:p>
        </w:tc>
        <w:tc>
          <w:tcPr>
            <w:tcW w:w="0" w:type="auto"/>
          </w:tcPr>
          <w:p w14:paraId="7EF3EDB6" w14:textId="0A81211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Separation of self from pain</w:t>
            </w:r>
          </w:p>
        </w:tc>
        <w:tc>
          <w:tcPr>
            <w:tcW w:w="0" w:type="auto"/>
            <w:hideMark/>
          </w:tcPr>
          <w:p w14:paraId="5F2156FA" w14:textId="282145F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1D129C1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66112C6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6A52132" w14:textId="77777777" w:rsidR="00F34D15" w:rsidRPr="00732EED" w:rsidRDefault="00F34D15" w:rsidP="00F34D15">
            <w:pPr>
              <w:rPr>
                <w:sz w:val="18"/>
                <w:szCs w:val="18"/>
              </w:rPr>
            </w:pPr>
            <w:r w:rsidRPr="00732EED">
              <w:rPr>
                <w:sz w:val="18"/>
                <w:szCs w:val="18"/>
              </w:rPr>
              <w:t>86</w:t>
            </w:r>
          </w:p>
        </w:tc>
        <w:tc>
          <w:tcPr>
            <w:tcW w:w="0" w:type="auto"/>
            <w:hideMark/>
          </w:tcPr>
          <w:p w14:paraId="77F75CB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Confidence to self-taper medication</w:t>
            </w:r>
          </w:p>
        </w:tc>
        <w:tc>
          <w:tcPr>
            <w:tcW w:w="0" w:type="auto"/>
          </w:tcPr>
          <w:p w14:paraId="06D69E69" w14:textId="16DE592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Medication self-efficacy</w:t>
            </w:r>
          </w:p>
        </w:tc>
        <w:tc>
          <w:tcPr>
            <w:tcW w:w="0" w:type="auto"/>
            <w:hideMark/>
          </w:tcPr>
          <w:p w14:paraId="67ACEBB6" w14:textId="4F23C48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6FDBA27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Empowerment &amp; Agency</w:t>
            </w:r>
          </w:p>
        </w:tc>
      </w:tr>
      <w:tr w:rsidR="00F34D15" w:rsidRPr="00732EED" w14:paraId="6462D0A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BE19E7F" w14:textId="77777777" w:rsidR="00F34D15" w:rsidRPr="00732EED" w:rsidRDefault="00F34D15" w:rsidP="00F34D15">
            <w:pPr>
              <w:rPr>
                <w:sz w:val="18"/>
                <w:szCs w:val="18"/>
              </w:rPr>
            </w:pPr>
            <w:r w:rsidRPr="00732EED">
              <w:rPr>
                <w:sz w:val="18"/>
                <w:szCs w:val="18"/>
              </w:rPr>
              <w:t>87</w:t>
            </w:r>
          </w:p>
        </w:tc>
        <w:tc>
          <w:tcPr>
            <w:tcW w:w="0" w:type="auto"/>
            <w:hideMark/>
          </w:tcPr>
          <w:p w14:paraId="598A4C9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Rural patients with IBD face geographic/social isolation</w:t>
            </w:r>
          </w:p>
        </w:tc>
        <w:tc>
          <w:tcPr>
            <w:tcW w:w="0" w:type="auto"/>
          </w:tcPr>
          <w:p w14:paraId="5D5DA5FD" w14:textId="6B0DF332"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Rural social isolation</w:t>
            </w:r>
          </w:p>
        </w:tc>
        <w:tc>
          <w:tcPr>
            <w:tcW w:w="0" w:type="auto"/>
            <w:hideMark/>
          </w:tcPr>
          <w:p w14:paraId="29AA4B7A" w14:textId="39FED0E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Environmental</w:t>
            </w:r>
          </w:p>
        </w:tc>
        <w:tc>
          <w:tcPr>
            <w:tcW w:w="0" w:type="auto"/>
            <w:hideMark/>
          </w:tcPr>
          <w:p w14:paraId="051E4763"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Rurality &amp; Geography</w:t>
            </w:r>
          </w:p>
        </w:tc>
      </w:tr>
      <w:tr w:rsidR="00F34D15" w:rsidRPr="00732EED" w14:paraId="11F2FB2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DEC63BA" w14:textId="77777777" w:rsidR="00F34D15" w:rsidRPr="00732EED" w:rsidRDefault="00F34D15" w:rsidP="00F34D15">
            <w:pPr>
              <w:rPr>
                <w:sz w:val="18"/>
                <w:szCs w:val="18"/>
              </w:rPr>
            </w:pPr>
            <w:r w:rsidRPr="00732EED">
              <w:rPr>
                <w:sz w:val="18"/>
                <w:szCs w:val="18"/>
              </w:rPr>
              <w:t>87</w:t>
            </w:r>
          </w:p>
        </w:tc>
        <w:tc>
          <w:tcPr>
            <w:tcW w:w="0" w:type="auto"/>
            <w:hideMark/>
          </w:tcPr>
          <w:p w14:paraId="30BA991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 and social dimensions of isolation</w:t>
            </w:r>
          </w:p>
        </w:tc>
        <w:tc>
          <w:tcPr>
            <w:tcW w:w="0" w:type="auto"/>
          </w:tcPr>
          <w:p w14:paraId="130EEDFA" w14:textId="1137A57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Geographic/social isolation</w:t>
            </w:r>
          </w:p>
        </w:tc>
        <w:tc>
          <w:tcPr>
            <w:tcW w:w="0" w:type="auto"/>
            <w:hideMark/>
          </w:tcPr>
          <w:p w14:paraId="0190860A" w14:textId="039371F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2072F052"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2DC4892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9A567F" w14:textId="77777777" w:rsidR="00F34D15" w:rsidRPr="00732EED" w:rsidRDefault="00F34D15" w:rsidP="00F34D15">
            <w:pPr>
              <w:rPr>
                <w:sz w:val="18"/>
                <w:szCs w:val="18"/>
              </w:rPr>
            </w:pPr>
            <w:r w:rsidRPr="00732EED">
              <w:rPr>
                <w:sz w:val="18"/>
                <w:szCs w:val="18"/>
              </w:rPr>
              <w:t>88</w:t>
            </w:r>
          </w:p>
        </w:tc>
        <w:tc>
          <w:tcPr>
            <w:tcW w:w="0" w:type="auto"/>
            <w:hideMark/>
          </w:tcPr>
          <w:p w14:paraId="08F5109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Struggles with pain</w:t>
            </w:r>
          </w:p>
        </w:tc>
        <w:tc>
          <w:tcPr>
            <w:tcW w:w="0" w:type="auto"/>
          </w:tcPr>
          <w:p w14:paraId="3C36182E" w14:textId="1ED2EFF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Struggle with pain</w:t>
            </w:r>
          </w:p>
        </w:tc>
        <w:tc>
          <w:tcPr>
            <w:tcW w:w="0" w:type="auto"/>
            <w:hideMark/>
          </w:tcPr>
          <w:p w14:paraId="3C8B4601" w14:textId="48B7CA1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46096E9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Suffering &amp; Distress</w:t>
            </w:r>
          </w:p>
        </w:tc>
      </w:tr>
      <w:tr w:rsidR="00F34D15" w:rsidRPr="00732EED" w14:paraId="03EC76D4"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7CE93C7" w14:textId="77777777" w:rsidR="00F34D15" w:rsidRPr="00732EED" w:rsidRDefault="00F34D15" w:rsidP="00F34D15">
            <w:pPr>
              <w:rPr>
                <w:sz w:val="18"/>
                <w:szCs w:val="18"/>
              </w:rPr>
            </w:pPr>
            <w:r w:rsidRPr="00732EED">
              <w:rPr>
                <w:sz w:val="18"/>
                <w:szCs w:val="18"/>
              </w:rPr>
              <w:t>88</w:t>
            </w:r>
          </w:p>
        </w:tc>
        <w:tc>
          <w:tcPr>
            <w:tcW w:w="0" w:type="auto"/>
            <w:hideMark/>
          </w:tcPr>
          <w:p w14:paraId="7B0827B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Limitations due to pain</w:t>
            </w:r>
          </w:p>
        </w:tc>
        <w:tc>
          <w:tcPr>
            <w:tcW w:w="0" w:type="auto"/>
          </w:tcPr>
          <w:p w14:paraId="7CF5196D" w14:textId="1D4D942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Pain-related limitation</w:t>
            </w:r>
          </w:p>
        </w:tc>
        <w:tc>
          <w:tcPr>
            <w:tcW w:w="0" w:type="auto"/>
            <w:hideMark/>
          </w:tcPr>
          <w:p w14:paraId="02E94D76" w14:textId="668FF1E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4B4D6C93"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Limitations &amp; Disability</w:t>
            </w:r>
          </w:p>
        </w:tc>
      </w:tr>
      <w:tr w:rsidR="00F34D15" w:rsidRPr="00732EED" w14:paraId="0680E181"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1974B67" w14:textId="77777777" w:rsidR="00F34D15" w:rsidRPr="00732EED" w:rsidRDefault="00F34D15" w:rsidP="00F34D15">
            <w:pPr>
              <w:rPr>
                <w:sz w:val="18"/>
                <w:szCs w:val="18"/>
              </w:rPr>
            </w:pPr>
            <w:r w:rsidRPr="00732EED">
              <w:rPr>
                <w:sz w:val="18"/>
                <w:szCs w:val="18"/>
              </w:rPr>
              <w:t>88</w:t>
            </w:r>
          </w:p>
        </w:tc>
        <w:tc>
          <w:tcPr>
            <w:tcW w:w="0" w:type="auto"/>
            <w:hideMark/>
          </w:tcPr>
          <w:p w14:paraId="4434849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future</w:t>
            </w:r>
          </w:p>
        </w:tc>
        <w:tc>
          <w:tcPr>
            <w:tcW w:w="0" w:type="auto"/>
          </w:tcPr>
          <w:p w14:paraId="06CA1DFA" w14:textId="443879F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Fear of future</w:t>
            </w:r>
          </w:p>
        </w:tc>
        <w:tc>
          <w:tcPr>
            <w:tcW w:w="0" w:type="auto"/>
            <w:hideMark/>
          </w:tcPr>
          <w:p w14:paraId="2DCF43FD" w14:textId="0B941A8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036FFE0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Anxiety &amp; Fear</w:t>
            </w:r>
          </w:p>
        </w:tc>
      </w:tr>
      <w:tr w:rsidR="00F34D15" w:rsidRPr="00732EED" w14:paraId="58AE506B"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957C3D8" w14:textId="77777777" w:rsidR="00F34D15" w:rsidRPr="00732EED" w:rsidRDefault="00F34D15" w:rsidP="00F34D15">
            <w:pPr>
              <w:rPr>
                <w:sz w:val="18"/>
                <w:szCs w:val="18"/>
              </w:rPr>
            </w:pPr>
            <w:r w:rsidRPr="00732EED">
              <w:rPr>
                <w:sz w:val="18"/>
                <w:szCs w:val="18"/>
              </w:rPr>
              <w:t>88</w:t>
            </w:r>
          </w:p>
        </w:tc>
        <w:tc>
          <w:tcPr>
            <w:tcW w:w="0" w:type="auto"/>
            <w:hideMark/>
          </w:tcPr>
          <w:p w14:paraId="5700EED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Barriers: individual/interpersonal/organizational/community</w:t>
            </w:r>
          </w:p>
        </w:tc>
        <w:tc>
          <w:tcPr>
            <w:tcW w:w="0" w:type="auto"/>
          </w:tcPr>
          <w:p w14:paraId="2044FE27" w14:textId="45AB2F7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Multilevel barriers</w:t>
            </w:r>
          </w:p>
        </w:tc>
        <w:tc>
          <w:tcPr>
            <w:tcW w:w="0" w:type="auto"/>
            <w:hideMark/>
          </w:tcPr>
          <w:p w14:paraId="59D8735E" w14:textId="4870EE4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Ecological</w:t>
            </w:r>
          </w:p>
        </w:tc>
        <w:tc>
          <w:tcPr>
            <w:tcW w:w="0" w:type="auto"/>
            <w:hideMark/>
          </w:tcPr>
          <w:p w14:paraId="5FCECA3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Social–Structural Determinants</w:t>
            </w:r>
          </w:p>
        </w:tc>
      </w:tr>
      <w:tr w:rsidR="00F34D15" w:rsidRPr="00732EED" w14:paraId="4FA9039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24FFAA7" w14:textId="77777777" w:rsidR="00F34D15" w:rsidRPr="00732EED" w:rsidRDefault="00F34D15" w:rsidP="00F34D15">
            <w:pPr>
              <w:rPr>
                <w:sz w:val="18"/>
                <w:szCs w:val="18"/>
              </w:rPr>
            </w:pPr>
            <w:r w:rsidRPr="00732EED">
              <w:rPr>
                <w:sz w:val="18"/>
                <w:szCs w:val="18"/>
              </w:rPr>
              <w:t>88</w:t>
            </w:r>
          </w:p>
        </w:tc>
        <w:tc>
          <w:tcPr>
            <w:tcW w:w="0" w:type="auto"/>
            <w:hideMark/>
          </w:tcPr>
          <w:p w14:paraId="414FB415"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Stigmatization of osteoarthritis</w:t>
            </w:r>
          </w:p>
        </w:tc>
        <w:tc>
          <w:tcPr>
            <w:tcW w:w="0" w:type="auto"/>
          </w:tcPr>
          <w:p w14:paraId="78F91B53" w14:textId="53483641"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OA stigma</w:t>
            </w:r>
          </w:p>
        </w:tc>
        <w:tc>
          <w:tcPr>
            <w:tcW w:w="0" w:type="auto"/>
            <w:hideMark/>
          </w:tcPr>
          <w:p w14:paraId="29BC542F" w14:textId="2ADCA58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Cultural</w:t>
            </w:r>
          </w:p>
        </w:tc>
        <w:tc>
          <w:tcPr>
            <w:tcW w:w="0" w:type="auto"/>
            <w:hideMark/>
          </w:tcPr>
          <w:p w14:paraId="38F65EA6"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Stigma &amp; Malingering</w:t>
            </w:r>
          </w:p>
        </w:tc>
      </w:tr>
      <w:tr w:rsidR="00F34D15" w:rsidRPr="00732EED" w14:paraId="6F2B354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1FB2C65" w14:textId="77777777" w:rsidR="00F34D15" w:rsidRPr="00732EED" w:rsidRDefault="00F34D15" w:rsidP="00F34D15">
            <w:pPr>
              <w:rPr>
                <w:sz w:val="18"/>
                <w:szCs w:val="18"/>
              </w:rPr>
            </w:pPr>
            <w:r w:rsidRPr="00732EED">
              <w:rPr>
                <w:sz w:val="18"/>
                <w:szCs w:val="18"/>
              </w:rPr>
              <w:t>89</w:t>
            </w:r>
          </w:p>
        </w:tc>
        <w:tc>
          <w:tcPr>
            <w:tcW w:w="0" w:type="auto"/>
            <w:hideMark/>
          </w:tcPr>
          <w:p w14:paraId="3BE2DA2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 factors of isolation: guilt/stigma/stress</w:t>
            </w:r>
          </w:p>
        </w:tc>
        <w:tc>
          <w:tcPr>
            <w:tcW w:w="0" w:type="auto"/>
          </w:tcPr>
          <w:p w14:paraId="44E4A791" w14:textId="14562F89"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Psychologically mediated isolation</w:t>
            </w:r>
          </w:p>
        </w:tc>
        <w:tc>
          <w:tcPr>
            <w:tcW w:w="0" w:type="auto"/>
            <w:hideMark/>
          </w:tcPr>
          <w:p w14:paraId="08D91F75" w14:textId="1650D2F6"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0C9891F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Isolation</w:t>
            </w:r>
          </w:p>
        </w:tc>
      </w:tr>
      <w:tr w:rsidR="00F34D15" w:rsidRPr="00732EED" w14:paraId="29C95A80"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7A811CD" w14:textId="77777777" w:rsidR="00F34D15" w:rsidRPr="00732EED" w:rsidRDefault="00F34D15" w:rsidP="00F34D15">
            <w:pPr>
              <w:rPr>
                <w:sz w:val="18"/>
                <w:szCs w:val="18"/>
              </w:rPr>
            </w:pPr>
            <w:r w:rsidRPr="00732EED">
              <w:rPr>
                <w:sz w:val="18"/>
                <w:szCs w:val="18"/>
              </w:rPr>
              <w:t>89</w:t>
            </w:r>
          </w:p>
        </w:tc>
        <w:tc>
          <w:tcPr>
            <w:tcW w:w="0" w:type="auto"/>
            <w:hideMark/>
          </w:tcPr>
          <w:p w14:paraId="35BFCF0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Lack of social support/meaningless socialization</w:t>
            </w:r>
          </w:p>
        </w:tc>
        <w:tc>
          <w:tcPr>
            <w:tcW w:w="0" w:type="auto"/>
          </w:tcPr>
          <w:p w14:paraId="15F3B9BA" w14:textId="496A5F0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Weak social support</w:t>
            </w:r>
          </w:p>
        </w:tc>
        <w:tc>
          <w:tcPr>
            <w:tcW w:w="0" w:type="auto"/>
            <w:hideMark/>
          </w:tcPr>
          <w:p w14:paraId="1A76D694" w14:textId="3999B94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5C12AFB9"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 System</w:t>
            </w:r>
          </w:p>
        </w:tc>
      </w:tr>
      <w:tr w:rsidR="00F34D15" w:rsidRPr="00732EED" w14:paraId="5A8395C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CA1B46C" w14:textId="77777777" w:rsidR="00F34D15" w:rsidRPr="00732EED" w:rsidRDefault="00F34D15" w:rsidP="00F34D15">
            <w:pPr>
              <w:rPr>
                <w:sz w:val="18"/>
                <w:szCs w:val="18"/>
              </w:rPr>
            </w:pPr>
            <w:r w:rsidRPr="00732EED">
              <w:rPr>
                <w:sz w:val="18"/>
                <w:szCs w:val="18"/>
              </w:rPr>
              <w:t>89</w:t>
            </w:r>
          </w:p>
        </w:tc>
        <w:tc>
          <w:tcPr>
            <w:tcW w:w="0" w:type="auto"/>
            <w:hideMark/>
          </w:tcPr>
          <w:p w14:paraId="5293577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Deterioration of social environment</w:t>
            </w:r>
          </w:p>
        </w:tc>
        <w:tc>
          <w:tcPr>
            <w:tcW w:w="0" w:type="auto"/>
          </w:tcPr>
          <w:p w14:paraId="32781B8F" w14:textId="10CC7B9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Deteriorating social environment</w:t>
            </w:r>
          </w:p>
        </w:tc>
        <w:tc>
          <w:tcPr>
            <w:tcW w:w="0" w:type="auto"/>
            <w:hideMark/>
          </w:tcPr>
          <w:p w14:paraId="799068D1" w14:textId="280241E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Environmental</w:t>
            </w:r>
          </w:p>
        </w:tc>
        <w:tc>
          <w:tcPr>
            <w:tcW w:w="0" w:type="auto"/>
            <w:hideMark/>
          </w:tcPr>
          <w:p w14:paraId="3412174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&amp; Geography</w:t>
            </w:r>
          </w:p>
        </w:tc>
      </w:tr>
      <w:tr w:rsidR="00F34D15" w:rsidRPr="00732EED" w14:paraId="35379BC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517086F" w14:textId="77777777" w:rsidR="00F34D15" w:rsidRPr="00732EED" w:rsidRDefault="00F34D15" w:rsidP="00F34D15">
            <w:pPr>
              <w:rPr>
                <w:sz w:val="18"/>
                <w:szCs w:val="18"/>
              </w:rPr>
            </w:pPr>
            <w:r w:rsidRPr="00732EED">
              <w:rPr>
                <w:sz w:val="18"/>
                <w:szCs w:val="18"/>
              </w:rPr>
              <w:lastRenderedPageBreak/>
              <w:t>89</w:t>
            </w:r>
          </w:p>
        </w:tc>
        <w:tc>
          <w:tcPr>
            <w:tcW w:w="0" w:type="auto"/>
            <w:hideMark/>
          </w:tcPr>
          <w:p w14:paraId="5FAB42D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Distress from symptoms/treatment confinement</w:t>
            </w:r>
          </w:p>
        </w:tc>
        <w:tc>
          <w:tcPr>
            <w:tcW w:w="0" w:type="auto"/>
          </w:tcPr>
          <w:p w14:paraId="7A4BE441" w14:textId="0FAE26D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Symptom/treatment confinement burden</w:t>
            </w:r>
          </w:p>
        </w:tc>
        <w:tc>
          <w:tcPr>
            <w:tcW w:w="0" w:type="auto"/>
            <w:hideMark/>
          </w:tcPr>
          <w:p w14:paraId="482F4A7B" w14:textId="0C2CC56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5949228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&amp; Symptom Burden</w:t>
            </w:r>
          </w:p>
        </w:tc>
      </w:tr>
      <w:tr w:rsidR="00F34D15" w:rsidRPr="00732EED" w14:paraId="24B74613"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1603A86" w14:textId="77777777" w:rsidR="00F34D15" w:rsidRPr="00732EED" w:rsidRDefault="00F34D15" w:rsidP="00F34D15">
            <w:pPr>
              <w:rPr>
                <w:sz w:val="18"/>
                <w:szCs w:val="18"/>
              </w:rPr>
            </w:pPr>
            <w:r w:rsidRPr="00732EED">
              <w:rPr>
                <w:sz w:val="18"/>
                <w:szCs w:val="18"/>
              </w:rPr>
              <w:t>90</w:t>
            </w:r>
          </w:p>
        </w:tc>
        <w:tc>
          <w:tcPr>
            <w:tcW w:w="0" w:type="auto"/>
            <w:hideMark/>
          </w:tcPr>
          <w:p w14:paraId="53B1EB9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Chronic low back pain in Arabic cultural context</w:t>
            </w:r>
          </w:p>
        </w:tc>
        <w:tc>
          <w:tcPr>
            <w:tcW w:w="0" w:type="auto"/>
          </w:tcPr>
          <w:p w14:paraId="7C892388" w14:textId="2715284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Culturally shaped pain meaning</w:t>
            </w:r>
          </w:p>
        </w:tc>
        <w:tc>
          <w:tcPr>
            <w:tcW w:w="0" w:type="auto"/>
            <w:hideMark/>
          </w:tcPr>
          <w:p w14:paraId="6BA8C411" w14:textId="4816FC9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Cultural</w:t>
            </w:r>
          </w:p>
        </w:tc>
        <w:tc>
          <w:tcPr>
            <w:tcW w:w="0" w:type="auto"/>
            <w:hideMark/>
          </w:tcPr>
          <w:p w14:paraId="4476BECE"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Beliefs &amp; Explanatory Models</w:t>
            </w:r>
          </w:p>
        </w:tc>
      </w:tr>
      <w:tr w:rsidR="00F34D15" w:rsidRPr="00732EED" w14:paraId="664AD942"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6080505" w14:textId="77777777" w:rsidR="00F34D15" w:rsidRPr="00732EED" w:rsidRDefault="00F34D15" w:rsidP="00F34D15">
            <w:pPr>
              <w:rPr>
                <w:sz w:val="18"/>
                <w:szCs w:val="18"/>
              </w:rPr>
            </w:pPr>
            <w:r w:rsidRPr="00732EED">
              <w:rPr>
                <w:sz w:val="18"/>
                <w:szCs w:val="18"/>
              </w:rPr>
              <w:t>90</w:t>
            </w:r>
          </w:p>
        </w:tc>
        <w:tc>
          <w:tcPr>
            <w:tcW w:w="0" w:type="auto"/>
            <w:hideMark/>
          </w:tcPr>
          <w:p w14:paraId="1CB55A8C"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 influences of Lebanese society</w:t>
            </w:r>
          </w:p>
        </w:tc>
        <w:tc>
          <w:tcPr>
            <w:tcW w:w="0" w:type="auto"/>
          </w:tcPr>
          <w:p w14:paraId="0EFA0151" w14:textId="71B5FBC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Societal influence on pain roles</w:t>
            </w:r>
          </w:p>
        </w:tc>
        <w:tc>
          <w:tcPr>
            <w:tcW w:w="0" w:type="auto"/>
            <w:hideMark/>
          </w:tcPr>
          <w:p w14:paraId="745F7C81" w14:textId="2EFF76C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0E38644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Expectations &amp; Roles</w:t>
            </w:r>
          </w:p>
        </w:tc>
      </w:tr>
      <w:tr w:rsidR="00F34D15" w:rsidRPr="00732EED" w14:paraId="6D0EDB02"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07DB56E" w14:textId="77777777" w:rsidR="00F34D15" w:rsidRPr="00732EED" w:rsidRDefault="00F34D15" w:rsidP="00F34D15">
            <w:pPr>
              <w:rPr>
                <w:sz w:val="18"/>
                <w:szCs w:val="18"/>
              </w:rPr>
            </w:pPr>
            <w:r w:rsidRPr="00732EED">
              <w:rPr>
                <w:sz w:val="18"/>
                <w:szCs w:val="18"/>
              </w:rPr>
              <w:t>91</w:t>
            </w:r>
          </w:p>
        </w:tc>
        <w:tc>
          <w:tcPr>
            <w:tcW w:w="0" w:type="auto"/>
            <w:hideMark/>
          </w:tcPr>
          <w:p w14:paraId="51A631D9"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Emotional distress</w:t>
            </w:r>
          </w:p>
        </w:tc>
        <w:tc>
          <w:tcPr>
            <w:tcW w:w="0" w:type="auto"/>
          </w:tcPr>
          <w:p w14:paraId="356BA8D3" w14:textId="6D89345E"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Emotional distress</w:t>
            </w:r>
          </w:p>
        </w:tc>
        <w:tc>
          <w:tcPr>
            <w:tcW w:w="0" w:type="auto"/>
            <w:hideMark/>
          </w:tcPr>
          <w:p w14:paraId="6FD33975" w14:textId="5D63E2A3"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15501F5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Depression &amp; Hopelessness</w:t>
            </w:r>
          </w:p>
        </w:tc>
      </w:tr>
      <w:tr w:rsidR="00F34D15" w:rsidRPr="00732EED" w14:paraId="7D94408D"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DF4C9CB" w14:textId="77777777" w:rsidR="00F34D15" w:rsidRPr="00732EED" w:rsidRDefault="00F34D15" w:rsidP="00F34D15">
            <w:pPr>
              <w:rPr>
                <w:sz w:val="18"/>
                <w:szCs w:val="18"/>
              </w:rPr>
            </w:pPr>
            <w:r w:rsidRPr="00732EED">
              <w:rPr>
                <w:sz w:val="18"/>
                <w:szCs w:val="18"/>
              </w:rPr>
              <w:t>91</w:t>
            </w:r>
          </w:p>
        </w:tc>
        <w:tc>
          <w:tcPr>
            <w:tcW w:w="0" w:type="auto"/>
            <w:hideMark/>
          </w:tcPr>
          <w:p w14:paraId="62EE6A81"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Coping mechanisms</w:t>
            </w:r>
          </w:p>
        </w:tc>
        <w:tc>
          <w:tcPr>
            <w:tcW w:w="0" w:type="auto"/>
          </w:tcPr>
          <w:p w14:paraId="596C8A85" w14:textId="43AAFF2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Coping mechanisms</w:t>
            </w:r>
          </w:p>
        </w:tc>
        <w:tc>
          <w:tcPr>
            <w:tcW w:w="0" w:type="auto"/>
            <w:hideMark/>
          </w:tcPr>
          <w:p w14:paraId="6F78B725" w14:textId="32F0BF2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Psychological</w:t>
            </w:r>
          </w:p>
        </w:tc>
        <w:tc>
          <w:tcPr>
            <w:tcW w:w="0" w:type="auto"/>
            <w:hideMark/>
          </w:tcPr>
          <w:p w14:paraId="0516EFF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Resilience &amp; Growth</w:t>
            </w:r>
          </w:p>
        </w:tc>
      </w:tr>
      <w:tr w:rsidR="00F34D15" w:rsidRPr="00732EED" w14:paraId="0A2B04D3"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3B7D5763" w14:textId="77777777" w:rsidR="00F34D15" w:rsidRPr="00732EED" w:rsidRDefault="00F34D15" w:rsidP="00F34D15">
            <w:pPr>
              <w:rPr>
                <w:sz w:val="18"/>
                <w:szCs w:val="18"/>
              </w:rPr>
            </w:pPr>
            <w:r w:rsidRPr="00732EED">
              <w:rPr>
                <w:sz w:val="18"/>
                <w:szCs w:val="18"/>
              </w:rPr>
              <w:t>91</w:t>
            </w:r>
          </w:p>
        </w:tc>
        <w:tc>
          <w:tcPr>
            <w:tcW w:w="0" w:type="auto"/>
            <w:hideMark/>
          </w:tcPr>
          <w:p w14:paraId="528E35AC"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Influence of social networks</w:t>
            </w:r>
          </w:p>
        </w:tc>
        <w:tc>
          <w:tcPr>
            <w:tcW w:w="0" w:type="auto"/>
          </w:tcPr>
          <w:p w14:paraId="2518ABED" w14:textId="120B182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 network influence</w:t>
            </w:r>
          </w:p>
        </w:tc>
        <w:tc>
          <w:tcPr>
            <w:tcW w:w="0" w:type="auto"/>
            <w:hideMark/>
          </w:tcPr>
          <w:p w14:paraId="34ADF6FB" w14:textId="7008708A"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10E8B974"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Support System</w:t>
            </w:r>
          </w:p>
        </w:tc>
      </w:tr>
      <w:tr w:rsidR="00F34D15" w:rsidRPr="00732EED" w14:paraId="47C17799"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F64CA1A" w14:textId="77777777" w:rsidR="00F34D15" w:rsidRPr="00732EED" w:rsidRDefault="00F34D15" w:rsidP="00F34D15">
            <w:pPr>
              <w:rPr>
                <w:sz w:val="18"/>
                <w:szCs w:val="18"/>
              </w:rPr>
            </w:pPr>
            <w:r w:rsidRPr="00732EED">
              <w:rPr>
                <w:sz w:val="18"/>
                <w:szCs w:val="18"/>
              </w:rPr>
              <w:t>92</w:t>
            </w:r>
          </w:p>
        </w:tc>
        <w:tc>
          <w:tcPr>
            <w:tcW w:w="0" w:type="auto"/>
            <w:hideMark/>
          </w:tcPr>
          <w:p w14:paraId="48AA0AC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Dedicated courses/postgraduate programs</w:t>
            </w:r>
          </w:p>
        </w:tc>
        <w:tc>
          <w:tcPr>
            <w:tcW w:w="0" w:type="auto"/>
          </w:tcPr>
          <w:p w14:paraId="1087CA67" w14:textId="4EAAE869"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Training needs</w:t>
            </w:r>
          </w:p>
        </w:tc>
        <w:tc>
          <w:tcPr>
            <w:tcW w:w="0" w:type="auto"/>
            <w:hideMark/>
          </w:tcPr>
          <w:p w14:paraId="3E6D65FD" w14:textId="366027AA"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05EE7CFF"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System Reform &amp; Professional Views</w:t>
            </w:r>
          </w:p>
        </w:tc>
      </w:tr>
      <w:tr w:rsidR="00F34D15" w:rsidRPr="00732EED" w14:paraId="2A2EEEF0"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415F9A7" w14:textId="77777777" w:rsidR="00F34D15" w:rsidRPr="00732EED" w:rsidRDefault="00F34D15" w:rsidP="00F34D15">
            <w:pPr>
              <w:rPr>
                <w:sz w:val="18"/>
                <w:szCs w:val="18"/>
              </w:rPr>
            </w:pPr>
            <w:r w:rsidRPr="00732EED">
              <w:rPr>
                <w:sz w:val="18"/>
                <w:szCs w:val="18"/>
              </w:rPr>
              <w:t>92</w:t>
            </w:r>
          </w:p>
        </w:tc>
        <w:tc>
          <w:tcPr>
            <w:tcW w:w="0" w:type="auto"/>
            <w:hideMark/>
          </w:tcPr>
          <w:p w14:paraId="3A176A0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Improving facilities/resources</w:t>
            </w:r>
          </w:p>
        </w:tc>
        <w:tc>
          <w:tcPr>
            <w:tcW w:w="0" w:type="auto"/>
          </w:tcPr>
          <w:p w14:paraId="14D97858" w14:textId="0DA2E63B"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Resource/facility improvement</w:t>
            </w:r>
          </w:p>
        </w:tc>
        <w:tc>
          <w:tcPr>
            <w:tcW w:w="0" w:type="auto"/>
            <w:hideMark/>
          </w:tcPr>
          <w:p w14:paraId="2F4BCA77" w14:textId="6DEDF94C"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Healthcare/System</w:t>
            </w:r>
          </w:p>
        </w:tc>
        <w:tc>
          <w:tcPr>
            <w:tcW w:w="0" w:type="auto"/>
            <w:hideMark/>
          </w:tcPr>
          <w:p w14:paraId="09A2FFF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System Reform &amp; Professional Views</w:t>
            </w:r>
          </w:p>
        </w:tc>
      </w:tr>
      <w:tr w:rsidR="00F34D15" w:rsidRPr="00732EED" w14:paraId="7E8506D6"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59132B8" w14:textId="77777777" w:rsidR="00F34D15" w:rsidRPr="00732EED" w:rsidRDefault="00F34D15" w:rsidP="00F34D15">
            <w:pPr>
              <w:rPr>
                <w:sz w:val="18"/>
                <w:szCs w:val="18"/>
              </w:rPr>
            </w:pPr>
            <w:r w:rsidRPr="00732EED">
              <w:rPr>
                <w:sz w:val="18"/>
                <w:szCs w:val="18"/>
              </w:rPr>
              <w:t>92</w:t>
            </w:r>
          </w:p>
        </w:tc>
        <w:tc>
          <w:tcPr>
            <w:tcW w:w="0" w:type="auto"/>
            <w:hideMark/>
          </w:tcPr>
          <w:p w14:paraId="0E53AC4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Raising awareness/enhancing collaborations</w:t>
            </w:r>
          </w:p>
        </w:tc>
        <w:tc>
          <w:tcPr>
            <w:tcW w:w="0" w:type="auto"/>
          </w:tcPr>
          <w:p w14:paraId="4337ABED" w14:textId="3D670FFE"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Awareness/collaboration</w:t>
            </w:r>
          </w:p>
        </w:tc>
        <w:tc>
          <w:tcPr>
            <w:tcW w:w="0" w:type="auto"/>
            <w:hideMark/>
          </w:tcPr>
          <w:p w14:paraId="3B046400" w14:textId="5753AD4F"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327D2FCA"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System Reform &amp; Professional Views</w:t>
            </w:r>
          </w:p>
        </w:tc>
      </w:tr>
      <w:tr w:rsidR="00F34D15" w:rsidRPr="00732EED" w14:paraId="4CE2061F"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0643E12" w14:textId="77777777" w:rsidR="00F34D15" w:rsidRPr="00732EED" w:rsidRDefault="00F34D15" w:rsidP="00F34D15">
            <w:pPr>
              <w:rPr>
                <w:sz w:val="18"/>
                <w:szCs w:val="18"/>
              </w:rPr>
            </w:pPr>
            <w:r w:rsidRPr="00732EED">
              <w:rPr>
                <w:sz w:val="18"/>
                <w:szCs w:val="18"/>
              </w:rPr>
              <w:t>93</w:t>
            </w:r>
          </w:p>
        </w:tc>
        <w:tc>
          <w:tcPr>
            <w:tcW w:w="0" w:type="auto"/>
            <w:hideMark/>
          </w:tcPr>
          <w:p w14:paraId="30AE1BF8"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Pain-related minimal-self disruption</w:t>
            </w:r>
          </w:p>
        </w:tc>
        <w:tc>
          <w:tcPr>
            <w:tcW w:w="0" w:type="auto"/>
          </w:tcPr>
          <w:p w14:paraId="1E56D6EE" w14:textId="35DD63B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Minimal-self disruption</w:t>
            </w:r>
          </w:p>
        </w:tc>
        <w:tc>
          <w:tcPr>
            <w:tcW w:w="0" w:type="auto"/>
            <w:hideMark/>
          </w:tcPr>
          <w:p w14:paraId="2273D45C" w14:textId="08EFD5F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Psychological</w:t>
            </w:r>
          </w:p>
        </w:tc>
        <w:tc>
          <w:tcPr>
            <w:tcW w:w="0" w:type="auto"/>
            <w:hideMark/>
          </w:tcPr>
          <w:p w14:paraId="50A68A0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Self-esteem &amp; Identity Threat</w:t>
            </w:r>
          </w:p>
        </w:tc>
      </w:tr>
      <w:tr w:rsidR="00F34D15" w:rsidRPr="00732EED" w14:paraId="69BF6868"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611A8D5" w14:textId="77777777" w:rsidR="00F34D15" w:rsidRPr="00732EED" w:rsidRDefault="00F34D15" w:rsidP="00F34D15">
            <w:pPr>
              <w:rPr>
                <w:sz w:val="18"/>
                <w:szCs w:val="18"/>
              </w:rPr>
            </w:pPr>
            <w:r w:rsidRPr="00732EED">
              <w:rPr>
                <w:sz w:val="18"/>
                <w:szCs w:val="18"/>
              </w:rPr>
              <w:t>93</w:t>
            </w:r>
          </w:p>
        </w:tc>
        <w:tc>
          <w:tcPr>
            <w:tcW w:w="0" w:type="auto"/>
            <w:hideMark/>
          </w:tcPr>
          <w:p w14:paraId="3E86B77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Disrupted sense of agency</w:t>
            </w:r>
          </w:p>
        </w:tc>
        <w:tc>
          <w:tcPr>
            <w:tcW w:w="0" w:type="auto"/>
          </w:tcPr>
          <w:p w14:paraId="45CD290B" w14:textId="0946E7D4"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Disrupted agency</w:t>
            </w:r>
          </w:p>
        </w:tc>
        <w:tc>
          <w:tcPr>
            <w:tcW w:w="0" w:type="auto"/>
            <w:hideMark/>
          </w:tcPr>
          <w:p w14:paraId="513A1485" w14:textId="3285C29D"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Physical</w:t>
            </w:r>
          </w:p>
        </w:tc>
        <w:tc>
          <w:tcPr>
            <w:tcW w:w="0" w:type="auto"/>
            <w:hideMark/>
          </w:tcPr>
          <w:p w14:paraId="3C32118D"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Autonomy &amp; Independence</w:t>
            </w:r>
          </w:p>
        </w:tc>
      </w:tr>
      <w:tr w:rsidR="00F34D15" w:rsidRPr="00732EED" w14:paraId="731B1B3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F1546FA" w14:textId="77777777" w:rsidR="00F34D15" w:rsidRPr="00732EED" w:rsidRDefault="00F34D15" w:rsidP="00F34D15">
            <w:pPr>
              <w:rPr>
                <w:sz w:val="18"/>
                <w:szCs w:val="18"/>
              </w:rPr>
            </w:pPr>
            <w:r w:rsidRPr="00732EED">
              <w:rPr>
                <w:sz w:val="18"/>
                <w:szCs w:val="18"/>
              </w:rPr>
              <w:t>93</w:t>
            </w:r>
          </w:p>
        </w:tc>
        <w:tc>
          <w:tcPr>
            <w:tcW w:w="0" w:type="auto"/>
            <w:hideMark/>
          </w:tcPr>
          <w:p w14:paraId="1E50E5E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Context surrounding minimal-self disruption</w:t>
            </w:r>
          </w:p>
        </w:tc>
        <w:tc>
          <w:tcPr>
            <w:tcW w:w="0" w:type="auto"/>
          </w:tcPr>
          <w:p w14:paraId="733AB0B0" w14:textId="0038780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Contextualized self-disruption</w:t>
            </w:r>
          </w:p>
        </w:tc>
        <w:tc>
          <w:tcPr>
            <w:tcW w:w="0" w:type="auto"/>
            <w:hideMark/>
          </w:tcPr>
          <w:p w14:paraId="20916760" w14:textId="07578FE1"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Cognitive</w:t>
            </w:r>
          </w:p>
        </w:tc>
        <w:tc>
          <w:tcPr>
            <w:tcW w:w="0" w:type="auto"/>
            <w:hideMark/>
          </w:tcPr>
          <w:p w14:paraId="0537A326"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Disease Intrusiveness</w:t>
            </w:r>
          </w:p>
        </w:tc>
      </w:tr>
      <w:tr w:rsidR="00F34D15" w:rsidRPr="00732EED" w14:paraId="5EF70C7E"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1F05DCE" w14:textId="77777777" w:rsidR="00F34D15" w:rsidRPr="00732EED" w:rsidRDefault="00F34D15" w:rsidP="00F34D15">
            <w:pPr>
              <w:rPr>
                <w:sz w:val="18"/>
                <w:szCs w:val="18"/>
              </w:rPr>
            </w:pPr>
            <w:r w:rsidRPr="00732EED">
              <w:rPr>
                <w:sz w:val="18"/>
                <w:szCs w:val="18"/>
              </w:rPr>
              <w:t>93</w:t>
            </w:r>
          </w:p>
        </w:tc>
        <w:tc>
          <w:tcPr>
            <w:tcW w:w="0" w:type="auto"/>
            <w:hideMark/>
          </w:tcPr>
          <w:p w14:paraId="2D4B8AAB"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Fluidity of self and different modes of suffering</w:t>
            </w:r>
          </w:p>
        </w:tc>
        <w:tc>
          <w:tcPr>
            <w:tcW w:w="0" w:type="auto"/>
          </w:tcPr>
          <w:p w14:paraId="6A34AE65" w14:textId="1161470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Fluid self/suffering modes</w:t>
            </w:r>
          </w:p>
        </w:tc>
        <w:tc>
          <w:tcPr>
            <w:tcW w:w="0" w:type="auto"/>
            <w:hideMark/>
          </w:tcPr>
          <w:p w14:paraId="46138C13" w14:textId="76600A15"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Chronic Pain</w:t>
            </w:r>
          </w:p>
        </w:tc>
        <w:tc>
          <w:tcPr>
            <w:tcW w:w="0" w:type="auto"/>
            <w:hideMark/>
          </w:tcPr>
          <w:p w14:paraId="76F19974"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Suffering &amp; Distress</w:t>
            </w:r>
          </w:p>
        </w:tc>
      </w:tr>
      <w:tr w:rsidR="00F34D15" w:rsidRPr="00732EED" w14:paraId="456CF729"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6A7222D" w14:textId="77777777" w:rsidR="00F34D15" w:rsidRPr="00732EED" w:rsidRDefault="00F34D15" w:rsidP="00F34D15">
            <w:pPr>
              <w:rPr>
                <w:sz w:val="18"/>
                <w:szCs w:val="18"/>
              </w:rPr>
            </w:pPr>
            <w:r w:rsidRPr="00732EED">
              <w:rPr>
                <w:sz w:val="18"/>
                <w:szCs w:val="18"/>
              </w:rPr>
              <w:t>94</w:t>
            </w:r>
          </w:p>
        </w:tc>
        <w:tc>
          <w:tcPr>
            <w:tcW w:w="0" w:type="auto"/>
            <w:hideMark/>
          </w:tcPr>
          <w:p w14:paraId="14D7017A"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Fatigue, frustration, physical limitations</w:t>
            </w:r>
          </w:p>
        </w:tc>
        <w:tc>
          <w:tcPr>
            <w:tcW w:w="0" w:type="auto"/>
          </w:tcPr>
          <w:p w14:paraId="3B827826" w14:textId="5BEE06D8"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Fatigue/frustration/limitation</w:t>
            </w:r>
          </w:p>
        </w:tc>
        <w:tc>
          <w:tcPr>
            <w:tcW w:w="0" w:type="auto"/>
            <w:hideMark/>
          </w:tcPr>
          <w:p w14:paraId="176052BB" w14:textId="24188AB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Physical</w:t>
            </w:r>
          </w:p>
        </w:tc>
        <w:tc>
          <w:tcPr>
            <w:tcW w:w="0" w:type="auto"/>
            <w:hideMark/>
          </w:tcPr>
          <w:p w14:paraId="65528641"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&amp; Symptom Burden</w:t>
            </w:r>
          </w:p>
        </w:tc>
      </w:tr>
      <w:tr w:rsidR="00F34D15" w:rsidRPr="00732EED" w14:paraId="6BF942F4"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0052BC5C" w14:textId="77777777" w:rsidR="00F34D15" w:rsidRPr="00732EED" w:rsidRDefault="00F34D15" w:rsidP="00F34D15">
            <w:pPr>
              <w:rPr>
                <w:sz w:val="18"/>
                <w:szCs w:val="18"/>
              </w:rPr>
            </w:pPr>
            <w:r w:rsidRPr="00732EED">
              <w:rPr>
                <w:sz w:val="18"/>
                <w:szCs w:val="18"/>
              </w:rPr>
              <w:t>94</w:t>
            </w:r>
          </w:p>
        </w:tc>
        <w:tc>
          <w:tcPr>
            <w:tcW w:w="0" w:type="auto"/>
            <w:hideMark/>
          </w:tcPr>
          <w:p w14:paraId="0110CE72"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 challenges affecting self-expression</w:t>
            </w:r>
          </w:p>
        </w:tc>
        <w:tc>
          <w:tcPr>
            <w:tcW w:w="0" w:type="auto"/>
          </w:tcPr>
          <w:p w14:paraId="44028B55" w14:textId="558982FC"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Self-expression difficulty</w:t>
            </w:r>
          </w:p>
        </w:tc>
        <w:tc>
          <w:tcPr>
            <w:tcW w:w="0" w:type="auto"/>
            <w:hideMark/>
          </w:tcPr>
          <w:p w14:paraId="7CCCA7A8" w14:textId="5A59B098"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w:t>
            </w:r>
          </w:p>
        </w:tc>
        <w:tc>
          <w:tcPr>
            <w:tcW w:w="0" w:type="auto"/>
            <w:hideMark/>
          </w:tcPr>
          <w:p w14:paraId="5248C1B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Communication</w:t>
            </w:r>
          </w:p>
        </w:tc>
      </w:tr>
      <w:tr w:rsidR="00F34D15" w:rsidRPr="00732EED" w14:paraId="6AA064E7" w14:textId="77777777" w:rsidTr="00F34D1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548A8A64" w14:textId="77777777" w:rsidR="00F34D15" w:rsidRPr="00732EED" w:rsidRDefault="00F34D15" w:rsidP="00F34D15">
            <w:pPr>
              <w:rPr>
                <w:sz w:val="18"/>
                <w:szCs w:val="18"/>
              </w:rPr>
            </w:pPr>
            <w:r w:rsidRPr="00732EED">
              <w:rPr>
                <w:sz w:val="18"/>
                <w:szCs w:val="18"/>
              </w:rPr>
              <w:t>94</w:t>
            </w:r>
          </w:p>
        </w:tc>
        <w:tc>
          <w:tcPr>
            <w:tcW w:w="0" w:type="auto"/>
            <w:hideMark/>
          </w:tcPr>
          <w:p w14:paraId="61EC12FD"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Adjustments in social/professional life</w:t>
            </w:r>
          </w:p>
        </w:tc>
        <w:tc>
          <w:tcPr>
            <w:tcW w:w="0" w:type="auto"/>
          </w:tcPr>
          <w:p w14:paraId="3E07E67A" w14:textId="1772ECE5"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Social/professional adjustment</w:t>
            </w:r>
          </w:p>
        </w:tc>
        <w:tc>
          <w:tcPr>
            <w:tcW w:w="0" w:type="auto"/>
            <w:hideMark/>
          </w:tcPr>
          <w:p w14:paraId="38A16CFF" w14:textId="3B01FE70"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w:t>
            </w:r>
          </w:p>
        </w:tc>
        <w:tc>
          <w:tcPr>
            <w:tcW w:w="0" w:type="auto"/>
            <w:hideMark/>
          </w:tcPr>
          <w:p w14:paraId="23DF3A7F" w14:textId="77777777" w:rsidR="00F34D15" w:rsidRPr="00732EED" w:rsidRDefault="00F34D15" w:rsidP="00F34D15">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Work &amp; Return to Work</w:t>
            </w:r>
          </w:p>
        </w:tc>
      </w:tr>
      <w:tr w:rsidR="00F34D15" w:rsidRPr="00732EED" w14:paraId="6B535DAB" w14:textId="77777777" w:rsidTr="00F34D15">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264BD952" w14:textId="77777777" w:rsidR="00F34D15" w:rsidRPr="00732EED" w:rsidRDefault="00F34D15" w:rsidP="00F34D15">
            <w:pPr>
              <w:rPr>
                <w:sz w:val="18"/>
                <w:szCs w:val="18"/>
              </w:rPr>
            </w:pPr>
            <w:r w:rsidRPr="00732EED">
              <w:rPr>
                <w:sz w:val="18"/>
                <w:szCs w:val="18"/>
              </w:rPr>
              <w:t>94</w:t>
            </w:r>
          </w:p>
        </w:tc>
        <w:tc>
          <w:tcPr>
            <w:tcW w:w="0" w:type="auto"/>
            <w:hideMark/>
          </w:tcPr>
          <w:p w14:paraId="46DCEBBE"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Frustrations seeking medical help</w:t>
            </w:r>
          </w:p>
        </w:tc>
        <w:tc>
          <w:tcPr>
            <w:tcW w:w="0" w:type="auto"/>
          </w:tcPr>
          <w:p w14:paraId="38A098DC" w14:textId="2EF6BD86"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Frustrating help-seeking</w:t>
            </w:r>
          </w:p>
        </w:tc>
        <w:tc>
          <w:tcPr>
            <w:tcW w:w="0" w:type="auto"/>
            <w:hideMark/>
          </w:tcPr>
          <w:p w14:paraId="244CA068" w14:textId="28218A93"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Healthcare/System</w:t>
            </w:r>
          </w:p>
        </w:tc>
        <w:tc>
          <w:tcPr>
            <w:tcW w:w="0" w:type="auto"/>
            <w:hideMark/>
          </w:tcPr>
          <w:p w14:paraId="2AB27B17" w14:textId="77777777" w:rsidR="00F34D15" w:rsidRPr="00732EED" w:rsidRDefault="00F34D15" w:rsidP="00F34D15">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Access Barriers &amp; Logistics</w:t>
            </w:r>
          </w:p>
        </w:tc>
      </w:tr>
    </w:tbl>
    <w:p w14:paraId="783D6A25" w14:textId="77777777" w:rsidR="004D095B" w:rsidRPr="00732EED" w:rsidRDefault="004D095B" w:rsidP="004D095B">
      <w:pPr>
        <w:rPr>
          <w:sz w:val="18"/>
          <w:szCs w:val="18"/>
        </w:rPr>
      </w:pPr>
      <w:r w:rsidRPr="00732EED">
        <w:rPr>
          <w:sz w:val="18"/>
          <w:szCs w:val="18"/>
        </w:rPr>
        <w:t xml:space="preserve">Purpose and scope: This codebook organizes extracted findings from included studies into standardized Domains, Subthemes, and concise Codes/Heuristics for synthesis, counting, and network visualization (see Figures 1–2). Provenance and pages: Coding protocol and domain taxonomy are described in Methods (pp. 6–11) and protocol overview (pp. 56–58); hermeneutic–heuristic integration and visualization use are detailed on pp. 36–38 and 59–63; supplementary coding examples and decision rules in Tables S4–S8. Study IDs: The “Study” column corresponds to the included-studies inventory and main reference list (see Supplementary Table S4 and supplementary References for full citations). Domains and taxonomy: Domains follow the study’s standard set: Chronic Pain, Physical, Psychological, Cognitive, Social, Cultural, Healthcare/System, Environmental, Ecological. Use is consistent with Figure 1 and Supplementary Tables S4–S8. Subthemes: Subthemes are controlled labels used throughout the synthesis (e.g., Validation vs Dismissal; Activity &amp; Pacing; Acceptance Ecosystem; Stigma &amp; Malingering; Work &amp; Return to Work; Access Barriers &amp; Logistics). Codes/Heuristics: Codes are lowercase, concise, and action- or concept-oriented (e.g., “activity-rest balancing,” “workplace adaptation”). Each row reflects the dominant thematic emphasis; secondary mappings (if any) are recorded in Supplementary Table S6. Multiple coding: When a finding clearly spans multiple domains/subthemes, a primary assignment is shown here; secondary assignments and justifications are provided in Supplementary Table S6 and the coding audit trail (Supplementary Methods S1). Reliability and adjudication: Items were double-coded with discrepancies resolved by discussion and consensus; an audit trail of revisions and decision memos is available in Supplementary Methods S1 (see also pp. 6–11). Visualization linkage: Codes roll up to node–edge lists for the node graph and heat map in Figures 1–2; </w:t>
      </w:r>
      <w:r w:rsidRPr="00732EED">
        <w:rPr>
          <w:sz w:val="18"/>
          <w:szCs w:val="18"/>
        </w:rPr>
        <w:lastRenderedPageBreak/>
        <w:t>reproducible scripts and specifications are in the repository and Supplementary Methods S2–S3. Abbreviations: COPD = chronic obstructive pulmonary disease; IBD = inflammatory bowel disease; OA = osteoarthritis; PTSD = post</w:t>
      </w:r>
      <w:r w:rsidRPr="00732EED">
        <w:rPr>
          <w:sz w:val="18"/>
          <w:szCs w:val="18"/>
        </w:rPr>
        <w:noBreakHyphen/>
        <w:t>traumatic stress disorder; RTW = return to work; QoL = quality of life; SCI = spinal cord injury; PT = physical therapy. Terminology notes: “Healthcare/System” covers clinical care, service organization, and policy-facing access/logistics; “Ecological” denotes social–structural and participatory contexts (e.g., digital ecologies, structural determinants). Cross-references: For appraisal tools and reporting standards used in selecting and interpreting studies, see PRISMA and appraisal details in Methods and Supplementary Tables S1–S3.</w:t>
      </w:r>
    </w:p>
    <w:p w14:paraId="671E058D" w14:textId="77777777" w:rsidR="004D095B" w:rsidRPr="00732EED" w:rsidRDefault="004D095B" w:rsidP="004D095B">
      <w:pPr>
        <w:rPr>
          <w:sz w:val="18"/>
          <w:szCs w:val="18"/>
        </w:rPr>
      </w:pPr>
    </w:p>
    <w:p w14:paraId="65842FE0" w14:textId="77777777" w:rsidR="004D095B" w:rsidRPr="00732EED" w:rsidRDefault="004D095B" w:rsidP="00E9589B">
      <w:pPr>
        <w:snapToGrid w:val="0"/>
        <w:contextualSpacing/>
        <w:rPr>
          <w:sz w:val="18"/>
          <w:szCs w:val="18"/>
        </w:rPr>
      </w:pPr>
    </w:p>
    <w:p w14:paraId="3C1931D7" w14:textId="77777777" w:rsidR="00E9589B" w:rsidRPr="00732EED" w:rsidRDefault="00E9589B" w:rsidP="00E9589B">
      <w:pPr>
        <w:snapToGrid w:val="0"/>
        <w:contextualSpacing/>
        <w:rPr>
          <w:rFonts w:ascii="Segoe UI" w:hAnsi="Segoe UI" w:cs="Segoe UI"/>
          <w:color w:val="09090B"/>
          <w:sz w:val="18"/>
          <w:szCs w:val="18"/>
        </w:rPr>
      </w:pPr>
    </w:p>
    <w:p w14:paraId="1539FC92" w14:textId="77777777" w:rsidR="001F2CA8" w:rsidRPr="00732EED" w:rsidRDefault="001F2CA8" w:rsidP="00E9589B">
      <w:pPr>
        <w:rPr>
          <w:b/>
          <w:bCs/>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2D99E012" w14:textId="48483585" w:rsidR="00E9589B" w:rsidRPr="00732EED" w:rsidRDefault="00E9589B" w:rsidP="00E9589B">
      <w:pPr>
        <w:rPr>
          <w:b/>
          <w:bCs/>
          <w:sz w:val="18"/>
          <w:szCs w:val="18"/>
        </w:rPr>
      </w:pPr>
      <w:r w:rsidRPr="00732EED">
        <w:rPr>
          <w:b/>
          <w:bCs/>
          <w:sz w:val="18"/>
          <w:szCs w:val="18"/>
        </w:rPr>
        <w:lastRenderedPageBreak/>
        <w:t>Table S</w:t>
      </w:r>
      <w:r w:rsidR="000F2A82" w:rsidRPr="00732EED">
        <w:rPr>
          <w:b/>
          <w:bCs/>
          <w:sz w:val="18"/>
          <w:szCs w:val="18"/>
        </w:rPr>
        <w:t>11</w:t>
      </w:r>
      <w:r w:rsidRPr="00732EED">
        <w:rPr>
          <w:b/>
          <w:bCs/>
          <w:sz w:val="18"/>
          <w:szCs w:val="18"/>
        </w:rPr>
        <w:t>. Weighted thematic summary of principal heuristic domains and subthemes (</w:t>
      </w:r>
      <w:proofErr w:type="gramStart"/>
      <w:r w:rsidRPr="00732EED">
        <w:rPr>
          <w:b/>
          <w:bCs/>
          <w:sz w:val="18"/>
          <w:szCs w:val="18"/>
        </w:rPr>
        <w:t>n :</w:t>
      </w:r>
      <w:proofErr w:type="gramEnd"/>
      <w:r w:rsidRPr="00732EED">
        <w:rPr>
          <w:b/>
          <w:bCs/>
          <w:sz w:val="18"/>
          <w:szCs w:val="18"/>
        </w:rPr>
        <w:t xml:space="preserve"> 94 studies; Phase 1)</w:t>
      </w:r>
      <w:r w:rsidR="000F2A82" w:rsidRPr="00732EED">
        <w:rPr>
          <w:b/>
          <w:bCs/>
          <w:sz w:val="18"/>
          <w:szCs w:val="18"/>
        </w:rPr>
        <w:t>*</w:t>
      </w:r>
    </w:p>
    <w:tbl>
      <w:tblPr>
        <w:tblStyle w:val="PlainTable1"/>
        <w:tblW w:w="5000" w:type="pct"/>
        <w:tblLook w:val="0420" w:firstRow="1" w:lastRow="0" w:firstColumn="0" w:lastColumn="0" w:noHBand="0" w:noVBand="1"/>
      </w:tblPr>
      <w:tblGrid>
        <w:gridCol w:w="1542"/>
        <w:gridCol w:w="685"/>
        <w:gridCol w:w="962"/>
        <w:gridCol w:w="2214"/>
        <w:gridCol w:w="967"/>
        <w:gridCol w:w="967"/>
        <w:gridCol w:w="6225"/>
      </w:tblGrid>
      <w:tr w:rsidR="00E9589B" w:rsidRPr="00732EED" w14:paraId="2061E7DF" w14:textId="77777777" w:rsidTr="001F2CA8">
        <w:trPr>
          <w:cnfStyle w:val="100000000000" w:firstRow="1" w:lastRow="0" w:firstColumn="0" w:lastColumn="0" w:oddVBand="0" w:evenVBand="0" w:oddHBand="0" w:evenHBand="0" w:firstRowFirstColumn="0" w:firstRowLastColumn="0" w:lastRowFirstColumn="0" w:lastRowLastColumn="0"/>
        </w:trPr>
        <w:tc>
          <w:tcPr>
            <w:tcW w:w="505" w:type="pct"/>
          </w:tcPr>
          <w:p w14:paraId="0335D9A6" w14:textId="77777777" w:rsidR="00E9589B" w:rsidRPr="00732EED" w:rsidRDefault="00E9589B" w:rsidP="00DC5B3C">
            <w:pPr>
              <w:pStyle w:val="NoSpacing"/>
              <w:rPr>
                <w:sz w:val="18"/>
                <w:szCs w:val="18"/>
              </w:rPr>
            </w:pPr>
            <w:r w:rsidRPr="00732EED">
              <w:rPr>
                <w:sz w:val="18"/>
                <w:szCs w:val="18"/>
              </w:rPr>
              <w:t>Principal Heuristic Theme</w:t>
            </w:r>
          </w:p>
        </w:tc>
        <w:tc>
          <w:tcPr>
            <w:tcW w:w="205" w:type="pct"/>
          </w:tcPr>
          <w:p w14:paraId="43EB773E" w14:textId="77777777" w:rsidR="00E9589B" w:rsidRPr="00732EED" w:rsidRDefault="00E9589B" w:rsidP="00DC5B3C">
            <w:pPr>
              <w:rPr>
                <w:sz w:val="18"/>
                <w:szCs w:val="18"/>
              </w:rPr>
            </w:pPr>
            <w:r w:rsidRPr="00732EED">
              <w:rPr>
                <w:sz w:val="18"/>
                <w:szCs w:val="18"/>
              </w:rPr>
              <w:t>Total Count</w:t>
            </w:r>
          </w:p>
        </w:tc>
        <w:tc>
          <w:tcPr>
            <w:tcW w:w="496" w:type="pct"/>
          </w:tcPr>
          <w:p w14:paraId="3B4A595F" w14:textId="77777777" w:rsidR="00E9589B" w:rsidRPr="00732EED" w:rsidRDefault="00E9589B" w:rsidP="00DC5B3C">
            <w:pPr>
              <w:rPr>
                <w:sz w:val="18"/>
                <w:szCs w:val="18"/>
              </w:rPr>
            </w:pPr>
            <w:r w:rsidRPr="00732EED">
              <w:rPr>
                <w:sz w:val="18"/>
                <w:szCs w:val="18"/>
              </w:rPr>
              <w:t>Total Weight</w:t>
            </w:r>
          </w:p>
        </w:tc>
        <w:tc>
          <w:tcPr>
            <w:tcW w:w="1158" w:type="pct"/>
          </w:tcPr>
          <w:p w14:paraId="2E5365CF" w14:textId="77777777" w:rsidR="00E9589B" w:rsidRPr="00732EED" w:rsidRDefault="00E9589B" w:rsidP="00DC5B3C">
            <w:pPr>
              <w:rPr>
                <w:sz w:val="18"/>
                <w:szCs w:val="18"/>
              </w:rPr>
            </w:pPr>
            <w:r w:rsidRPr="00732EED">
              <w:rPr>
                <w:sz w:val="18"/>
                <w:szCs w:val="18"/>
              </w:rPr>
              <w:t>Heuristic Subtheme</w:t>
            </w:r>
          </w:p>
        </w:tc>
        <w:tc>
          <w:tcPr>
            <w:tcW w:w="285" w:type="pct"/>
          </w:tcPr>
          <w:p w14:paraId="507576F0" w14:textId="77777777" w:rsidR="00E9589B" w:rsidRPr="00732EED" w:rsidRDefault="00E9589B" w:rsidP="00DC5B3C">
            <w:pPr>
              <w:rPr>
                <w:sz w:val="18"/>
                <w:szCs w:val="18"/>
              </w:rPr>
            </w:pPr>
            <w:r w:rsidRPr="00732EED">
              <w:rPr>
                <w:sz w:val="18"/>
                <w:szCs w:val="18"/>
              </w:rPr>
              <w:t>Subtheme Count</w:t>
            </w:r>
          </w:p>
        </w:tc>
        <w:tc>
          <w:tcPr>
            <w:tcW w:w="527" w:type="pct"/>
          </w:tcPr>
          <w:p w14:paraId="4560ACA1" w14:textId="77777777" w:rsidR="00E9589B" w:rsidRPr="00732EED" w:rsidRDefault="00E9589B" w:rsidP="00DC5B3C">
            <w:pPr>
              <w:rPr>
                <w:sz w:val="18"/>
                <w:szCs w:val="18"/>
              </w:rPr>
            </w:pPr>
            <w:r w:rsidRPr="00732EED">
              <w:rPr>
                <w:sz w:val="18"/>
                <w:szCs w:val="18"/>
              </w:rPr>
              <w:t>Subtheme Weight</w:t>
            </w:r>
          </w:p>
        </w:tc>
        <w:tc>
          <w:tcPr>
            <w:tcW w:w="1824" w:type="pct"/>
          </w:tcPr>
          <w:p w14:paraId="28CB755B" w14:textId="77777777" w:rsidR="00E9589B" w:rsidRPr="00732EED" w:rsidRDefault="00E9589B" w:rsidP="00DC5B3C">
            <w:pPr>
              <w:rPr>
                <w:sz w:val="18"/>
                <w:szCs w:val="18"/>
              </w:rPr>
            </w:pPr>
            <w:r w:rsidRPr="00732EED">
              <w:rPr>
                <w:sz w:val="18"/>
                <w:szCs w:val="18"/>
              </w:rPr>
              <w:t>Representative Study IDs</w:t>
            </w:r>
          </w:p>
        </w:tc>
      </w:tr>
      <w:tr w:rsidR="00E9589B" w:rsidRPr="00732EED" w14:paraId="1E2B9983"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6709183F" w14:textId="77777777" w:rsidR="00E9589B" w:rsidRPr="00732EED" w:rsidRDefault="00E9589B" w:rsidP="00DC5B3C">
            <w:pPr>
              <w:pStyle w:val="NoSpacing"/>
              <w:rPr>
                <w:sz w:val="18"/>
                <w:szCs w:val="18"/>
              </w:rPr>
            </w:pPr>
            <w:r w:rsidRPr="00732EED">
              <w:rPr>
                <w:sz w:val="18"/>
                <w:szCs w:val="18"/>
              </w:rPr>
              <w:t>Social</w:t>
            </w:r>
          </w:p>
        </w:tc>
        <w:tc>
          <w:tcPr>
            <w:tcW w:w="205" w:type="pct"/>
          </w:tcPr>
          <w:p w14:paraId="62F4189A" w14:textId="77777777" w:rsidR="00E9589B" w:rsidRPr="00732EED" w:rsidRDefault="00E9589B" w:rsidP="00DC5B3C">
            <w:pPr>
              <w:rPr>
                <w:sz w:val="18"/>
                <w:szCs w:val="18"/>
              </w:rPr>
            </w:pPr>
            <w:r w:rsidRPr="00732EED">
              <w:rPr>
                <w:sz w:val="18"/>
                <w:szCs w:val="18"/>
              </w:rPr>
              <w:t>185</w:t>
            </w:r>
          </w:p>
        </w:tc>
        <w:tc>
          <w:tcPr>
            <w:tcW w:w="496" w:type="pct"/>
          </w:tcPr>
          <w:p w14:paraId="4960C57B" w14:textId="77777777" w:rsidR="00E9589B" w:rsidRPr="00732EED" w:rsidRDefault="00E9589B" w:rsidP="00DC5B3C">
            <w:pPr>
              <w:rPr>
                <w:sz w:val="18"/>
                <w:szCs w:val="18"/>
              </w:rPr>
            </w:pPr>
            <w:r w:rsidRPr="00732EED">
              <w:rPr>
                <w:sz w:val="18"/>
                <w:szCs w:val="18"/>
              </w:rPr>
              <w:t>1.9681 (196.81%)</w:t>
            </w:r>
          </w:p>
        </w:tc>
        <w:tc>
          <w:tcPr>
            <w:tcW w:w="1158" w:type="pct"/>
          </w:tcPr>
          <w:p w14:paraId="2084CAFD" w14:textId="77777777" w:rsidR="00E9589B" w:rsidRPr="00732EED" w:rsidRDefault="00E9589B" w:rsidP="00DC5B3C">
            <w:pPr>
              <w:rPr>
                <w:sz w:val="18"/>
                <w:szCs w:val="18"/>
              </w:rPr>
            </w:pPr>
            <w:r w:rsidRPr="00732EED">
              <w:rPr>
                <w:sz w:val="18"/>
                <w:szCs w:val="18"/>
              </w:rPr>
              <w:t>Support System</w:t>
            </w:r>
          </w:p>
        </w:tc>
        <w:tc>
          <w:tcPr>
            <w:tcW w:w="285" w:type="pct"/>
          </w:tcPr>
          <w:p w14:paraId="216C1471" w14:textId="77777777" w:rsidR="00E9589B" w:rsidRPr="00732EED" w:rsidRDefault="00E9589B" w:rsidP="00DC5B3C">
            <w:pPr>
              <w:rPr>
                <w:sz w:val="18"/>
                <w:szCs w:val="18"/>
              </w:rPr>
            </w:pPr>
            <w:r w:rsidRPr="00732EED">
              <w:rPr>
                <w:sz w:val="18"/>
                <w:szCs w:val="18"/>
              </w:rPr>
              <w:t>32</w:t>
            </w:r>
          </w:p>
        </w:tc>
        <w:tc>
          <w:tcPr>
            <w:tcW w:w="527" w:type="pct"/>
          </w:tcPr>
          <w:p w14:paraId="4A59064C" w14:textId="77777777" w:rsidR="00E9589B" w:rsidRPr="00732EED" w:rsidRDefault="00E9589B" w:rsidP="00DC5B3C">
            <w:pPr>
              <w:rPr>
                <w:sz w:val="18"/>
                <w:szCs w:val="18"/>
              </w:rPr>
            </w:pPr>
            <w:r w:rsidRPr="00732EED">
              <w:rPr>
                <w:sz w:val="18"/>
                <w:szCs w:val="18"/>
              </w:rPr>
              <w:t>0.3404 (34.04%)</w:t>
            </w:r>
          </w:p>
        </w:tc>
        <w:tc>
          <w:tcPr>
            <w:tcW w:w="1824" w:type="pct"/>
          </w:tcPr>
          <w:p w14:paraId="545363E1" w14:textId="77777777" w:rsidR="00E9589B" w:rsidRPr="00732EED" w:rsidRDefault="00E9589B" w:rsidP="00DC5B3C">
            <w:pPr>
              <w:rPr>
                <w:sz w:val="18"/>
                <w:szCs w:val="18"/>
              </w:rPr>
            </w:pPr>
            <w:r w:rsidRPr="00732EED">
              <w:rPr>
                <w:sz w:val="18"/>
                <w:szCs w:val="18"/>
              </w:rPr>
              <w:t>5,12,13,17,18,21,24,32,33,39,45,52,55,57,58,60,65,69,71,73,74,77,79,83,87,89,90,91</w:t>
            </w:r>
          </w:p>
        </w:tc>
      </w:tr>
      <w:tr w:rsidR="00E9589B" w:rsidRPr="00732EED" w14:paraId="0C1F67D1" w14:textId="77777777" w:rsidTr="001F2CA8">
        <w:tc>
          <w:tcPr>
            <w:tcW w:w="505" w:type="pct"/>
          </w:tcPr>
          <w:p w14:paraId="09AD0A37" w14:textId="77777777" w:rsidR="00E9589B" w:rsidRPr="00732EED" w:rsidRDefault="00E9589B" w:rsidP="00DC5B3C">
            <w:pPr>
              <w:pStyle w:val="NoSpacing"/>
              <w:rPr>
                <w:sz w:val="18"/>
                <w:szCs w:val="18"/>
              </w:rPr>
            </w:pPr>
            <w:r w:rsidRPr="00732EED">
              <w:rPr>
                <w:sz w:val="18"/>
                <w:szCs w:val="18"/>
              </w:rPr>
              <w:t>Social</w:t>
            </w:r>
          </w:p>
        </w:tc>
        <w:tc>
          <w:tcPr>
            <w:tcW w:w="205" w:type="pct"/>
          </w:tcPr>
          <w:p w14:paraId="4E6D885E" w14:textId="77777777" w:rsidR="00E9589B" w:rsidRPr="00732EED" w:rsidRDefault="00E9589B" w:rsidP="00DC5B3C">
            <w:pPr>
              <w:rPr>
                <w:sz w:val="18"/>
                <w:szCs w:val="18"/>
              </w:rPr>
            </w:pPr>
            <w:r w:rsidRPr="00732EED">
              <w:rPr>
                <w:sz w:val="18"/>
                <w:szCs w:val="18"/>
              </w:rPr>
              <w:t>185</w:t>
            </w:r>
          </w:p>
        </w:tc>
        <w:tc>
          <w:tcPr>
            <w:tcW w:w="496" w:type="pct"/>
          </w:tcPr>
          <w:p w14:paraId="5B155451" w14:textId="77777777" w:rsidR="00E9589B" w:rsidRPr="00732EED" w:rsidRDefault="00E9589B" w:rsidP="00DC5B3C">
            <w:pPr>
              <w:rPr>
                <w:sz w:val="18"/>
                <w:szCs w:val="18"/>
              </w:rPr>
            </w:pPr>
            <w:r w:rsidRPr="00732EED">
              <w:rPr>
                <w:sz w:val="18"/>
                <w:szCs w:val="18"/>
              </w:rPr>
              <w:t>1.9681 (196.81%)</w:t>
            </w:r>
          </w:p>
        </w:tc>
        <w:tc>
          <w:tcPr>
            <w:tcW w:w="1158" w:type="pct"/>
          </w:tcPr>
          <w:p w14:paraId="5C507CEB" w14:textId="77777777" w:rsidR="00E9589B" w:rsidRPr="00732EED" w:rsidRDefault="00E9589B" w:rsidP="00DC5B3C">
            <w:pPr>
              <w:rPr>
                <w:sz w:val="18"/>
                <w:szCs w:val="18"/>
              </w:rPr>
            </w:pPr>
            <w:r w:rsidRPr="00732EED">
              <w:rPr>
                <w:sz w:val="18"/>
                <w:szCs w:val="18"/>
              </w:rPr>
              <w:t>Access To Healthcare (socially mediated)</w:t>
            </w:r>
          </w:p>
        </w:tc>
        <w:tc>
          <w:tcPr>
            <w:tcW w:w="285" w:type="pct"/>
          </w:tcPr>
          <w:p w14:paraId="16D526E1" w14:textId="77777777" w:rsidR="00E9589B" w:rsidRPr="00732EED" w:rsidRDefault="00E9589B" w:rsidP="00DC5B3C">
            <w:pPr>
              <w:rPr>
                <w:sz w:val="18"/>
                <w:szCs w:val="18"/>
              </w:rPr>
            </w:pPr>
            <w:r w:rsidRPr="00732EED">
              <w:rPr>
                <w:sz w:val="18"/>
                <w:szCs w:val="18"/>
              </w:rPr>
              <w:t>30</w:t>
            </w:r>
          </w:p>
        </w:tc>
        <w:tc>
          <w:tcPr>
            <w:tcW w:w="527" w:type="pct"/>
          </w:tcPr>
          <w:p w14:paraId="0A41419C" w14:textId="77777777" w:rsidR="00E9589B" w:rsidRPr="00732EED" w:rsidRDefault="00E9589B" w:rsidP="00DC5B3C">
            <w:pPr>
              <w:rPr>
                <w:sz w:val="18"/>
                <w:szCs w:val="18"/>
              </w:rPr>
            </w:pPr>
            <w:r w:rsidRPr="00732EED">
              <w:rPr>
                <w:sz w:val="18"/>
                <w:szCs w:val="18"/>
              </w:rPr>
              <w:t>0.3191 (31.91%)</w:t>
            </w:r>
          </w:p>
        </w:tc>
        <w:tc>
          <w:tcPr>
            <w:tcW w:w="1824" w:type="pct"/>
          </w:tcPr>
          <w:p w14:paraId="047EB62C" w14:textId="77777777" w:rsidR="00E9589B" w:rsidRPr="00732EED" w:rsidRDefault="00E9589B" w:rsidP="00DC5B3C">
            <w:pPr>
              <w:rPr>
                <w:sz w:val="18"/>
                <w:szCs w:val="18"/>
              </w:rPr>
            </w:pPr>
            <w:r w:rsidRPr="00732EED">
              <w:rPr>
                <w:sz w:val="18"/>
                <w:szCs w:val="18"/>
              </w:rPr>
              <w:t>6,21,34,35,39,49,52,53,56,57,58,62,67,68,69,71,72,76,79,83,84,86,87,90,92</w:t>
            </w:r>
          </w:p>
        </w:tc>
      </w:tr>
      <w:tr w:rsidR="00E9589B" w:rsidRPr="00732EED" w14:paraId="6AD1E815"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2BDE6863" w14:textId="77777777" w:rsidR="00E9589B" w:rsidRPr="00732EED" w:rsidRDefault="00E9589B" w:rsidP="00DC5B3C">
            <w:pPr>
              <w:pStyle w:val="NoSpacing"/>
              <w:rPr>
                <w:sz w:val="18"/>
                <w:szCs w:val="18"/>
              </w:rPr>
            </w:pPr>
            <w:r w:rsidRPr="00732EED">
              <w:rPr>
                <w:sz w:val="18"/>
                <w:szCs w:val="18"/>
              </w:rPr>
              <w:t>Social</w:t>
            </w:r>
          </w:p>
        </w:tc>
        <w:tc>
          <w:tcPr>
            <w:tcW w:w="205" w:type="pct"/>
          </w:tcPr>
          <w:p w14:paraId="0E575EEE" w14:textId="77777777" w:rsidR="00E9589B" w:rsidRPr="00732EED" w:rsidRDefault="00E9589B" w:rsidP="00DC5B3C">
            <w:pPr>
              <w:rPr>
                <w:sz w:val="18"/>
                <w:szCs w:val="18"/>
              </w:rPr>
            </w:pPr>
            <w:r w:rsidRPr="00732EED">
              <w:rPr>
                <w:sz w:val="18"/>
                <w:szCs w:val="18"/>
              </w:rPr>
              <w:t>185</w:t>
            </w:r>
          </w:p>
        </w:tc>
        <w:tc>
          <w:tcPr>
            <w:tcW w:w="496" w:type="pct"/>
          </w:tcPr>
          <w:p w14:paraId="48E19672" w14:textId="77777777" w:rsidR="00E9589B" w:rsidRPr="00732EED" w:rsidRDefault="00E9589B" w:rsidP="00DC5B3C">
            <w:pPr>
              <w:rPr>
                <w:sz w:val="18"/>
                <w:szCs w:val="18"/>
              </w:rPr>
            </w:pPr>
            <w:r w:rsidRPr="00732EED">
              <w:rPr>
                <w:sz w:val="18"/>
                <w:szCs w:val="18"/>
              </w:rPr>
              <w:t>1.9681 (196.81%)</w:t>
            </w:r>
          </w:p>
        </w:tc>
        <w:tc>
          <w:tcPr>
            <w:tcW w:w="1158" w:type="pct"/>
          </w:tcPr>
          <w:p w14:paraId="11555FEB" w14:textId="77777777" w:rsidR="00E9589B" w:rsidRPr="00732EED" w:rsidRDefault="00E9589B" w:rsidP="00DC5B3C">
            <w:pPr>
              <w:rPr>
                <w:sz w:val="18"/>
                <w:szCs w:val="18"/>
              </w:rPr>
            </w:pPr>
            <w:r w:rsidRPr="00732EED">
              <w:rPr>
                <w:sz w:val="18"/>
                <w:szCs w:val="18"/>
              </w:rPr>
              <w:t>Isolation</w:t>
            </w:r>
          </w:p>
        </w:tc>
        <w:tc>
          <w:tcPr>
            <w:tcW w:w="285" w:type="pct"/>
          </w:tcPr>
          <w:p w14:paraId="134D7F4F" w14:textId="77777777" w:rsidR="00E9589B" w:rsidRPr="00732EED" w:rsidRDefault="00E9589B" w:rsidP="00DC5B3C">
            <w:pPr>
              <w:rPr>
                <w:sz w:val="18"/>
                <w:szCs w:val="18"/>
              </w:rPr>
            </w:pPr>
            <w:r w:rsidRPr="00732EED">
              <w:rPr>
                <w:sz w:val="18"/>
                <w:szCs w:val="18"/>
              </w:rPr>
              <w:t>26</w:t>
            </w:r>
          </w:p>
        </w:tc>
        <w:tc>
          <w:tcPr>
            <w:tcW w:w="527" w:type="pct"/>
          </w:tcPr>
          <w:p w14:paraId="1F19B160" w14:textId="77777777" w:rsidR="00E9589B" w:rsidRPr="00732EED" w:rsidRDefault="00E9589B" w:rsidP="00DC5B3C">
            <w:pPr>
              <w:rPr>
                <w:sz w:val="18"/>
                <w:szCs w:val="18"/>
              </w:rPr>
            </w:pPr>
            <w:r w:rsidRPr="00732EED">
              <w:rPr>
                <w:sz w:val="18"/>
                <w:szCs w:val="18"/>
              </w:rPr>
              <w:t>0.2766 (27.66%)</w:t>
            </w:r>
          </w:p>
        </w:tc>
        <w:tc>
          <w:tcPr>
            <w:tcW w:w="1824" w:type="pct"/>
          </w:tcPr>
          <w:p w14:paraId="37B661C7" w14:textId="77777777" w:rsidR="00E9589B" w:rsidRPr="00732EED" w:rsidRDefault="00E9589B" w:rsidP="00DC5B3C">
            <w:pPr>
              <w:rPr>
                <w:sz w:val="18"/>
                <w:szCs w:val="18"/>
              </w:rPr>
            </w:pPr>
            <w:r w:rsidRPr="00732EED">
              <w:rPr>
                <w:sz w:val="18"/>
                <w:szCs w:val="18"/>
              </w:rPr>
              <w:t>6,18,19,21,24,28,29,32,37,49,52,56,57,59,61,72,74,79,87,89</w:t>
            </w:r>
          </w:p>
        </w:tc>
      </w:tr>
      <w:tr w:rsidR="00E9589B" w:rsidRPr="00732EED" w14:paraId="11CCD1D8" w14:textId="77777777" w:rsidTr="001F2CA8">
        <w:tc>
          <w:tcPr>
            <w:tcW w:w="505" w:type="pct"/>
          </w:tcPr>
          <w:p w14:paraId="11C150D6" w14:textId="77777777" w:rsidR="00E9589B" w:rsidRPr="00732EED" w:rsidRDefault="00E9589B" w:rsidP="00DC5B3C">
            <w:pPr>
              <w:pStyle w:val="NoSpacing"/>
              <w:rPr>
                <w:sz w:val="18"/>
                <w:szCs w:val="18"/>
              </w:rPr>
            </w:pPr>
            <w:r w:rsidRPr="00732EED">
              <w:rPr>
                <w:sz w:val="18"/>
                <w:szCs w:val="18"/>
              </w:rPr>
              <w:t>Social</w:t>
            </w:r>
          </w:p>
        </w:tc>
        <w:tc>
          <w:tcPr>
            <w:tcW w:w="205" w:type="pct"/>
          </w:tcPr>
          <w:p w14:paraId="4046E81A" w14:textId="77777777" w:rsidR="00E9589B" w:rsidRPr="00732EED" w:rsidRDefault="00E9589B" w:rsidP="00DC5B3C">
            <w:pPr>
              <w:rPr>
                <w:sz w:val="18"/>
                <w:szCs w:val="18"/>
              </w:rPr>
            </w:pPr>
            <w:r w:rsidRPr="00732EED">
              <w:rPr>
                <w:sz w:val="18"/>
                <w:szCs w:val="18"/>
              </w:rPr>
              <w:t>185</w:t>
            </w:r>
          </w:p>
        </w:tc>
        <w:tc>
          <w:tcPr>
            <w:tcW w:w="496" w:type="pct"/>
          </w:tcPr>
          <w:p w14:paraId="7B42F66C" w14:textId="77777777" w:rsidR="00E9589B" w:rsidRPr="00732EED" w:rsidRDefault="00E9589B" w:rsidP="00DC5B3C">
            <w:pPr>
              <w:rPr>
                <w:sz w:val="18"/>
                <w:szCs w:val="18"/>
              </w:rPr>
            </w:pPr>
            <w:r w:rsidRPr="00732EED">
              <w:rPr>
                <w:sz w:val="18"/>
                <w:szCs w:val="18"/>
              </w:rPr>
              <w:t>1.9681 (196.81%)</w:t>
            </w:r>
          </w:p>
        </w:tc>
        <w:tc>
          <w:tcPr>
            <w:tcW w:w="1158" w:type="pct"/>
          </w:tcPr>
          <w:p w14:paraId="52F48A4A" w14:textId="77777777" w:rsidR="00E9589B" w:rsidRPr="00732EED" w:rsidRDefault="00E9589B" w:rsidP="00DC5B3C">
            <w:pPr>
              <w:rPr>
                <w:sz w:val="18"/>
                <w:szCs w:val="18"/>
              </w:rPr>
            </w:pPr>
            <w:r w:rsidRPr="00732EED">
              <w:rPr>
                <w:sz w:val="18"/>
                <w:szCs w:val="18"/>
              </w:rPr>
              <w:t>Family Dynamics</w:t>
            </w:r>
          </w:p>
        </w:tc>
        <w:tc>
          <w:tcPr>
            <w:tcW w:w="285" w:type="pct"/>
          </w:tcPr>
          <w:p w14:paraId="0A6A18DF" w14:textId="77777777" w:rsidR="00E9589B" w:rsidRPr="00732EED" w:rsidRDefault="00E9589B" w:rsidP="00DC5B3C">
            <w:pPr>
              <w:rPr>
                <w:sz w:val="18"/>
                <w:szCs w:val="18"/>
              </w:rPr>
            </w:pPr>
            <w:r w:rsidRPr="00732EED">
              <w:rPr>
                <w:sz w:val="18"/>
                <w:szCs w:val="18"/>
              </w:rPr>
              <w:t>24</w:t>
            </w:r>
          </w:p>
        </w:tc>
        <w:tc>
          <w:tcPr>
            <w:tcW w:w="527" w:type="pct"/>
          </w:tcPr>
          <w:p w14:paraId="2348CA47" w14:textId="77777777" w:rsidR="00E9589B" w:rsidRPr="00732EED" w:rsidRDefault="00E9589B" w:rsidP="00DC5B3C">
            <w:pPr>
              <w:rPr>
                <w:sz w:val="18"/>
                <w:szCs w:val="18"/>
              </w:rPr>
            </w:pPr>
            <w:r w:rsidRPr="00732EED">
              <w:rPr>
                <w:sz w:val="18"/>
                <w:szCs w:val="18"/>
              </w:rPr>
              <w:t>0.2553 (25.53%)</w:t>
            </w:r>
          </w:p>
        </w:tc>
        <w:tc>
          <w:tcPr>
            <w:tcW w:w="1824" w:type="pct"/>
          </w:tcPr>
          <w:p w14:paraId="3A84C02A" w14:textId="77777777" w:rsidR="00E9589B" w:rsidRPr="00732EED" w:rsidRDefault="00E9589B" w:rsidP="00DC5B3C">
            <w:pPr>
              <w:rPr>
                <w:sz w:val="18"/>
                <w:szCs w:val="18"/>
              </w:rPr>
            </w:pPr>
            <w:r w:rsidRPr="00732EED">
              <w:rPr>
                <w:sz w:val="18"/>
                <w:szCs w:val="18"/>
              </w:rPr>
              <w:t>5,11,18,21,24,29,35,40,43,52,55,57,61,68,71,73,78,79,83,89,90</w:t>
            </w:r>
          </w:p>
        </w:tc>
      </w:tr>
      <w:tr w:rsidR="00E9589B" w:rsidRPr="00732EED" w14:paraId="2D814967"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799B02FD" w14:textId="77777777" w:rsidR="00E9589B" w:rsidRPr="00732EED" w:rsidRDefault="00E9589B" w:rsidP="00DC5B3C">
            <w:pPr>
              <w:pStyle w:val="NoSpacing"/>
              <w:rPr>
                <w:sz w:val="18"/>
                <w:szCs w:val="18"/>
              </w:rPr>
            </w:pPr>
            <w:r w:rsidRPr="00732EED">
              <w:rPr>
                <w:sz w:val="18"/>
                <w:szCs w:val="18"/>
              </w:rPr>
              <w:t>Social</w:t>
            </w:r>
          </w:p>
        </w:tc>
        <w:tc>
          <w:tcPr>
            <w:tcW w:w="205" w:type="pct"/>
          </w:tcPr>
          <w:p w14:paraId="4ACE949A" w14:textId="77777777" w:rsidR="00E9589B" w:rsidRPr="00732EED" w:rsidRDefault="00E9589B" w:rsidP="00DC5B3C">
            <w:pPr>
              <w:rPr>
                <w:sz w:val="18"/>
                <w:szCs w:val="18"/>
              </w:rPr>
            </w:pPr>
            <w:r w:rsidRPr="00732EED">
              <w:rPr>
                <w:sz w:val="18"/>
                <w:szCs w:val="18"/>
              </w:rPr>
              <w:t>185</w:t>
            </w:r>
          </w:p>
        </w:tc>
        <w:tc>
          <w:tcPr>
            <w:tcW w:w="496" w:type="pct"/>
          </w:tcPr>
          <w:p w14:paraId="7227B8FA" w14:textId="77777777" w:rsidR="00E9589B" w:rsidRPr="00732EED" w:rsidRDefault="00E9589B" w:rsidP="00DC5B3C">
            <w:pPr>
              <w:rPr>
                <w:sz w:val="18"/>
                <w:szCs w:val="18"/>
              </w:rPr>
            </w:pPr>
            <w:r w:rsidRPr="00732EED">
              <w:rPr>
                <w:sz w:val="18"/>
                <w:szCs w:val="18"/>
              </w:rPr>
              <w:t>1.9681 (196.81%)</w:t>
            </w:r>
          </w:p>
        </w:tc>
        <w:tc>
          <w:tcPr>
            <w:tcW w:w="1158" w:type="pct"/>
          </w:tcPr>
          <w:p w14:paraId="78F03146" w14:textId="77777777" w:rsidR="00E9589B" w:rsidRPr="00732EED" w:rsidRDefault="00E9589B" w:rsidP="00DC5B3C">
            <w:pPr>
              <w:rPr>
                <w:sz w:val="18"/>
                <w:szCs w:val="18"/>
              </w:rPr>
            </w:pPr>
            <w:r w:rsidRPr="00732EED">
              <w:rPr>
                <w:sz w:val="18"/>
                <w:szCs w:val="18"/>
              </w:rPr>
              <w:t>Work &amp; Return to Work</w:t>
            </w:r>
          </w:p>
        </w:tc>
        <w:tc>
          <w:tcPr>
            <w:tcW w:w="285" w:type="pct"/>
          </w:tcPr>
          <w:p w14:paraId="319F3E58" w14:textId="77777777" w:rsidR="00E9589B" w:rsidRPr="00732EED" w:rsidRDefault="00E9589B" w:rsidP="00DC5B3C">
            <w:pPr>
              <w:rPr>
                <w:sz w:val="18"/>
                <w:szCs w:val="18"/>
              </w:rPr>
            </w:pPr>
            <w:r w:rsidRPr="00732EED">
              <w:rPr>
                <w:sz w:val="18"/>
                <w:szCs w:val="18"/>
              </w:rPr>
              <w:t>23</w:t>
            </w:r>
          </w:p>
        </w:tc>
        <w:tc>
          <w:tcPr>
            <w:tcW w:w="527" w:type="pct"/>
          </w:tcPr>
          <w:p w14:paraId="45278FCF" w14:textId="77777777" w:rsidR="00E9589B" w:rsidRPr="00732EED" w:rsidRDefault="00E9589B" w:rsidP="00DC5B3C">
            <w:pPr>
              <w:rPr>
                <w:sz w:val="18"/>
                <w:szCs w:val="18"/>
              </w:rPr>
            </w:pPr>
            <w:r w:rsidRPr="00732EED">
              <w:rPr>
                <w:sz w:val="18"/>
                <w:szCs w:val="18"/>
              </w:rPr>
              <w:t>0.2447 (24.47%)</w:t>
            </w:r>
          </w:p>
        </w:tc>
        <w:tc>
          <w:tcPr>
            <w:tcW w:w="1824" w:type="pct"/>
          </w:tcPr>
          <w:p w14:paraId="19C4C9E0" w14:textId="77777777" w:rsidR="00E9589B" w:rsidRPr="00732EED" w:rsidRDefault="00E9589B" w:rsidP="00DC5B3C">
            <w:pPr>
              <w:rPr>
                <w:sz w:val="18"/>
                <w:szCs w:val="18"/>
              </w:rPr>
            </w:pPr>
            <w:r w:rsidRPr="00732EED">
              <w:rPr>
                <w:sz w:val="18"/>
                <w:szCs w:val="18"/>
              </w:rPr>
              <w:t>18,19,21,24,32,34,37,39,46–49,50,55,73,79,84</w:t>
            </w:r>
          </w:p>
        </w:tc>
      </w:tr>
      <w:tr w:rsidR="00E9589B" w:rsidRPr="00732EED" w14:paraId="2346C3BE" w14:textId="77777777" w:rsidTr="001F2CA8">
        <w:tc>
          <w:tcPr>
            <w:tcW w:w="505" w:type="pct"/>
          </w:tcPr>
          <w:p w14:paraId="53E9C2A4" w14:textId="77777777" w:rsidR="00E9589B" w:rsidRPr="00732EED" w:rsidRDefault="00E9589B" w:rsidP="00DC5B3C">
            <w:pPr>
              <w:pStyle w:val="NoSpacing"/>
              <w:rPr>
                <w:sz w:val="18"/>
                <w:szCs w:val="18"/>
              </w:rPr>
            </w:pPr>
            <w:r w:rsidRPr="00732EED">
              <w:rPr>
                <w:sz w:val="18"/>
                <w:szCs w:val="18"/>
              </w:rPr>
              <w:t>Social</w:t>
            </w:r>
          </w:p>
        </w:tc>
        <w:tc>
          <w:tcPr>
            <w:tcW w:w="205" w:type="pct"/>
          </w:tcPr>
          <w:p w14:paraId="49DCFFB2" w14:textId="77777777" w:rsidR="00E9589B" w:rsidRPr="00732EED" w:rsidRDefault="00E9589B" w:rsidP="00DC5B3C">
            <w:pPr>
              <w:rPr>
                <w:sz w:val="18"/>
                <w:szCs w:val="18"/>
              </w:rPr>
            </w:pPr>
            <w:r w:rsidRPr="00732EED">
              <w:rPr>
                <w:sz w:val="18"/>
                <w:szCs w:val="18"/>
              </w:rPr>
              <w:t>185</w:t>
            </w:r>
          </w:p>
        </w:tc>
        <w:tc>
          <w:tcPr>
            <w:tcW w:w="496" w:type="pct"/>
          </w:tcPr>
          <w:p w14:paraId="3E4A1BA4" w14:textId="77777777" w:rsidR="00E9589B" w:rsidRPr="00732EED" w:rsidRDefault="00E9589B" w:rsidP="00DC5B3C">
            <w:pPr>
              <w:rPr>
                <w:sz w:val="18"/>
                <w:szCs w:val="18"/>
              </w:rPr>
            </w:pPr>
            <w:r w:rsidRPr="00732EED">
              <w:rPr>
                <w:sz w:val="18"/>
                <w:szCs w:val="18"/>
              </w:rPr>
              <w:t>1.9681 (196.81%)</w:t>
            </w:r>
          </w:p>
        </w:tc>
        <w:tc>
          <w:tcPr>
            <w:tcW w:w="1158" w:type="pct"/>
          </w:tcPr>
          <w:p w14:paraId="3C134376" w14:textId="77777777" w:rsidR="00E9589B" w:rsidRPr="00732EED" w:rsidRDefault="00E9589B" w:rsidP="00DC5B3C">
            <w:pPr>
              <w:rPr>
                <w:sz w:val="18"/>
                <w:szCs w:val="18"/>
              </w:rPr>
            </w:pPr>
            <w:r w:rsidRPr="00732EED">
              <w:rPr>
                <w:sz w:val="18"/>
                <w:szCs w:val="18"/>
              </w:rPr>
              <w:t>Communication</w:t>
            </w:r>
          </w:p>
        </w:tc>
        <w:tc>
          <w:tcPr>
            <w:tcW w:w="285" w:type="pct"/>
          </w:tcPr>
          <w:p w14:paraId="4A0FDA63" w14:textId="77777777" w:rsidR="00E9589B" w:rsidRPr="00732EED" w:rsidRDefault="00E9589B" w:rsidP="00DC5B3C">
            <w:pPr>
              <w:rPr>
                <w:sz w:val="18"/>
                <w:szCs w:val="18"/>
              </w:rPr>
            </w:pPr>
            <w:r w:rsidRPr="00732EED">
              <w:rPr>
                <w:sz w:val="18"/>
                <w:szCs w:val="18"/>
              </w:rPr>
              <w:t>20</w:t>
            </w:r>
          </w:p>
        </w:tc>
        <w:tc>
          <w:tcPr>
            <w:tcW w:w="527" w:type="pct"/>
          </w:tcPr>
          <w:p w14:paraId="5D39DD9B" w14:textId="77777777" w:rsidR="00E9589B" w:rsidRPr="00732EED" w:rsidRDefault="00E9589B" w:rsidP="00DC5B3C">
            <w:pPr>
              <w:rPr>
                <w:sz w:val="18"/>
                <w:szCs w:val="18"/>
              </w:rPr>
            </w:pPr>
            <w:r w:rsidRPr="00732EED">
              <w:rPr>
                <w:sz w:val="18"/>
                <w:szCs w:val="18"/>
              </w:rPr>
              <w:t>0.2128 (21.28%)</w:t>
            </w:r>
          </w:p>
        </w:tc>
        <w:tc>
          <w:tcPr>
            <w:tcW w:w="1824" w:type="pct"/>
          </w:tcPr>
          <w:p w14:paraId="0FF774C1" w14:textId="77777777" w:rsidR="00E9589B" w:rsidRPr="00732EED" w:rsidRDefault="00E9589B" w:rsidP="00DC5B3C">
            <w:pPr>
              <w:rPr>
                <w:sz w:val="18"/>
                <w:szCs w:val="18"/>
              </w:rPr>
            </w:pPr>
            <w:r w:rsidRPr="00732EED">
              <w:rPr>
                <w:sz w:val="18"/>
                <w:szCs w:val="18"/>
              </w:rPr>
              <w:t>4,6,11,17,21,35,39,42,44,52,53,62,67,68,71,72,76,87,92</w:t>
            </w:r>
          </w:p>
        </w:tc>
      </w:tr>
      <w:tr w:rsidR="00E9589B" w:rsidRPr="00732EED" w14:paraId="14323CE5"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6CD00944" w14:textId="77777777" w:rsidR="00E9589B" w:rsidRPr="00732EED" w:rsidRDefault="00E9589B" w:rsidP="00DC5B3C">
            <w:pPr>
              <w:pStyle w:val="NoSpacing"/>
              <w:rPr>
                <w:sz w:val="18"/>
                <w:szCs w:val="18"/>
              </w:rPr>
            </w:pPr>
            <w:r w:rsidRPr="00732EED">
              <w:rPr>
                <w:sz w:val="18"/>
                <w:szCs w:val="18"/>
              </w:rPr>
              <w:t>Social</w:t>
            </w:r>
          </w:p>
        </w:tc>
        <w:tc>
          <w:tcPr>
            <w:tcW w:w="205" w:type="pct"/>
          </w:tcPr>
          <w:p w14:paraId="04006D38" w14:textId="77777777" w:rsidR="00E9589B" w:rsidRPr="00732EED" w:rsidRDefault="00E9589B" w:rsidP="00DC5B3C">
            <w:pPr>
              <w:rPr>
                <w:sz w:val="18"/>
                <w:szCs w:val="18"/>
              </w:rPr>
            </w:pPr>
            <w:r w:rsidRPr="00732EED">
              <w:rPr>
                <w:sz w:val="18"/>
                <w:szCs w:val="18"/>
              </w:rPr>
              <w:t>185</w:t>
            </w:r>
          </w:p>
        </w:tc>
        <w:tc>
          <w:tcPr>
            <w:tcW w:w="496" w:type="pct"/>
          </w:tcPr>
          <w:p w14:paraId="1F6AA608" w14:textId="77777777" w:rsidR="00E9589B" w:rsidRPr="00732EED" w:rsidRDefault="00E9589B" w:rsidP="00DC5B3C">
            <w:pPr>
              <w:rPr>
                <w:sz w:val="18"/>
                <w:szCs w:val="18"/>
              </w:rPr>
            </w:pPr>
            <w:r w:rsidRPr="00732EED">
              <w:rPr>
                <w:sz w:val="18"/>
                <w:szCs w:val="18"/>
              </w:rPr>
              <w:t>1.9681 (196.81%)</w:t>
            </w:r>
          </w:p>
        </w:tc>
        <w:tc>
          <w:tcPr>
            <w:tcW w:w="1158" w:type="pct"/>
          </w:tcPr>
          <w:p w14:paraId="59704C95" w14:textId="77777777" w:rsidR="00E9589B" w:rsidRPr="00732EED" w:rsidRDefault="00E9589B" w:rsidP="00DC5B3C">
            <w:pPr>
              <w:rPr>
                <w:sz w:val="18"/>
                <w:szCs w:val="18"/>
              </w:rPr>
            </w:pPr>
            <w:r w:rsidRPr="00732EED">
              <w:rPr>
                <w:sz w:val="18"/>
                <w:szCs w:val="18"/>
              </w:rPr>
              <w:t>Expectations &amp; Roles</w:t>
            </w:r>
          </w:p>
        </w:tc>
        <w:tc>
          <w:tcPr>
            <w:tcW w:w="285" w:type="pct"/>
          </w:tcPr>
          <w:p w14:paraId="4436DB80" w14:textId="77777777" w:rsidR="00E9589B" w:rsidRPr="00732EED" w:rsidRDefault="00E9589B" w:rsidP="00DC5B3C">
            <w:pPr>
              <w:rPr>
                <w:sz w:val="18"/>
                <w:szCs w:val="18"/>
              </w:rPr>
            </w:pPr>
            <w:r w:rsidRPr="00732EED">
              <w:rPr>
                <w:sz w:val="18"/>
                <w:szCs w:val="18"/>
              </w:rPr>
              <w:t>15</w:t>
            </w:r>
          </w:p>
        </w:tc>
        <w:tc>
          <w:tcPr>
            <w:tcW w:w="527" w:type="pct"/>
          </w:tcPr>
          <w:p w14:paraId="078FA282" w14:textId="77777777" w:rsidR="00E9589B" w:rsidRPr="00732EED" w:rsidRDefault="00E9589B" w:rsidP="00DC5B3C">
            <w:pPr>
              <w:rPr>
                <w:sz w:val="18"/>
                <w:szCs w:val="18"/>
              </w:rPr>
            </w:pPr>
            <w:r w:rsidRPr="00732EED">
              <w:rPr>
                <w:sz w:val="18"/>
                <w:szCs w:val="18"/>
              </w:rPr>
              <w:t>0.1596 (15.96%)</w:t>
            </w:r>
          </w:p>
        </w:tc>
        <w:tc>
          <w:tcPr>
            <w:tcW w:w="1824" w:type="pct"/>
          </w:tcPr>
          <w:p w14:paraId="2C5A0302" w14:textId="77777777" w:rsidR="00E9589B" w:rsidRPr="00732EED" w:rsidRDefault="00E9589B" w:rsidP="00DC5B3C">
            <w:pPr>
              <w:rPr>
                <w:sz w:val="18"/>
                <w:szCs w:val="18"/>
              </w:rPr>
            </w:pPr>
            <w:r w:rsidRPr="00732EED">
              <w:rPr>
                <w:sz w:val="18"/>
                <w:szCs w:val="18"/>
              </w:rPr>
              <w:t>2,5,9,11,18,24,38,40,55,61,68,70,78,85,90</w:t>
            </w:r>
          </w:p>
        </w:tc>
      </w:tr>
      <w:tr w:rsidR="00E9589B" w:rsidRPr="00732EED" w14:paraId="20BAC070" w14:textId="77777777" w:rsidTr="001F2CA8">
        <w:tc>
          <w:tcPr>
            <w:tcW w:w="505" w:type="pct"/>
          </w:tcPr>
          <w:p w14:paraId="6656D682" w14:textId="77777777" w:rsidR="00E9589B" w:rsidRPr="00732EED" w:rsidRDefault="00E9589B" w:rsidP="00DC5B3C">
            <w:pPr>
              <w:pStyle w:val="NoSpacing"/>
              <w:rPr>
                <w:sz w:val="18"/>
                <w:szCs w:val="18"/>
              </w:rPr>
            </w:pPr>
            <w:r w:rsidRPr="00732EED">
              <w:rPr>
                <w:sz w:val="18"/>
                <w:szCs w:val="18"/>
              </w:rPr>
              <w:t>Social</w:t>
            </w:r>
          </w:p>
        </w:tc>
        <w:tc>
          <w:tcPr>
            <w:tcW w:w="205" w:type="pct"/>
          </w:tcPr>
          <w:p w14:paraId="2C7037B5" w14:textId="77777777" w:rsidR="00E9589B" w:rsidRPr="00732EED" w:rsidRDefault="00E9589B" w:rsidP="00DC5B3C">
            <w:pPr>
              <w:rPr>
                <w:sz w:val="18"/>
                <w:szCs w:val="18"/>
              </w:rPr>
            </w:pPr>
            <w:r w:rsidRPr="00732EED">
              <w:rPr>
                <w:sz w:val="18"/>
                <w:szCs w:val="18"/>
              </w:rPr>
              <w:t>185</w:t>
            </w:r>
          </w:p>
        </w:tc>
        <w:tc>
          <w:tcPr>
            <w:tcW w:w="496" w:type="pct"/>
          </w:tcPr>
          <w:p w14:paraId="6815E59B" w14:textId="77777777" w:rsidR="00E9589B" w:rsidRPr="00732EED" w:rsidRDefault="00E9589B" w:rsidP="00DC5B3C">
            <w:pPr>
              <w:rPr>
                <w:sz w:val="18"/>
                <w:szCs w:val="18"/>
              </w:rPr>
            </w:pPr>
            <w:r w:rsidRPr="00732EED">
              <w:rPr>
                <w:sz w:val="18"/>
                <w:szCs w:val="18"/>
              </w:rPr>
              <w:t>1.9681 (196.81%)</w:t>
            </w:r>
          </w:p>
        </w:tc>
        <w:tc>
          <w:tcPr>
            <w:tcW w:w="1158" w:type="pct"/>
          </w:tcPr>
          <w:p w14:paraId="2B1656C2" w14:textId="77777777" w:rsidR="00E9589B" w:rsidRPr="00732EED" w:rsidRDefault="00E9589B" w:rsidP="00DC5B3C">
            <w:pPr>
              <w:rPr>
                <w:sz w:val="18"/>
                <w:szCs w:val="18"/>
              </w:rPr>
            </w:pPr>
            <w:r w:rsidRPr="00732EED">
              <w:rPr>
                <w:sz w:val="18"/>
                <w:szCs w:val="18"/>
              </w:rPr>
              <w:t>Health Inequities</w:t>
            </w:r>
          </w:p>
        </w:tc>
        <w:tc>
          <w:tcPr>
            <w:tcW w:w="285" w:type="pct"/>
          </w:tcPr>
          <w:p w14:paraId="130B1617" w14:textId="77777777" w:rsidR="00E9589B" w:rsidRPr="00732EED" w:rsidRDefault="00E9589B" w:rsidP="00DC5B3C">
            <w:pPr>
              <w:rPr>
                <w:sz w:val="18"/>
                <w:szCs w:val="18"/>
              </w:rPr>
            </w:pPr>
            <w:r w:rsidRPr="00732EED">
              <w:rPr>
                <w:sz w:val="18"/>
                <w:szCs w:val="18"/>
              </w:rPr>
              <w:t>10</w:t>
            </w:r>
          </w:p>
        </w:tc>
        <w:tc>
          <w:tcPr>
            <w:tcW w:w="527" w:type="pct"/>
          </w:tcPr>
          <w:p w14:paraId="2B5B1A04" w14:textId="77777777" w:rsidR="00E9589B" w:rsidRPr="00732EED" w:rsidRDefault="00E9589B" w:rsidP="00DC5B3C">
            <w:pPr>
              <w:rPr>
                <w:sz w:val="18"/>
                <w:szCs w:val="18"/>
              </w:rPr>
            </w:pPr>
            <w:r w:rsidRPr="00732EED">
              <w:rPr>
                <w:sz w:val="18"/>
                <w:szCs w:val="18"/>
              </w:rPr>
              <w:t>0.1064 (10.64%)</w:t>
            </w:r>
          </w:p>
        </w:tc>
        <w:tc>
          <w:tcPr>
            <w:tcW w:w="1824" w:type="pct"/>
          </w:tcPr>
          <w:p w14:paraId="6101E4FE" w14:textId="77777777" w:rsidR="00E9589B" w:rsidRPr="00732EED" w:rsidRDefault="00E9589B" w:rsidP="00DC5B3C">
            <w:pPr>
              <w:rPr>
                <w:sz w:val="18"/>
                <w:szCs w:val="18"/>
              </w:rPr>
            </w:pPr>
            <w:r w:rsidRPr="00732EED">
              <w:rPr>
                <w:sz w:val="18"/>
                <w:szCs w:val="18"/>
              </w:rPr>
              <w:t>17,21,34,39,49,67,68,69,72,76</w:t>
            </w:r>
          </w:p>
        </w:tc>
      </w:tr>
      <w:tr w:rsidR="00E9589B" w:rsidRPr="00732EED" w14:paraId="2239A066"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37754C33" w14:textId="77777777" w:rsidR="00E9589B" w:rsidRPr="00732EED" w:rsidRDefault="00E9589B" w:rsidP="00DC5B3C">
            <w:pPr>
              <w:pStyle w:val="NoSpacing"/>
              <w:rPr>
                <w:sz w:val="18"/>
                <w:szCs w:val="18"/>
              </w:rPr>
            </w:pPr>
            <w:r w:rsidRPr="00732EED">
              <w:rPr>
                <w:sz w:val="18"/>
                <w:szCs w:val="18"/>
              </w:rPr>
              <w:t>Social</w:t>
            </w:r>
          </w:p>
        </w:tc>
        <w:tc>
          <w:tcPr>
            <w:tcW w:w="205" w:type="pct"/>
          </w:tcPr>
          <w:p w14:paraId="29F90D41" w14:textId="77777777" w:rsidR="00E9589B" w:rsidRPr="00732EED" w:rsidRDefault="00E9589B" w:rsidP="00DC5B3C">
            <w:pPr>
              <w:rPr>
                <w:sz w:val="18"/>
                <w:szCs w:val="18"/>
              </w:rPr>
            </w:pPr>
            <w:r w:rsidRPr="00732EED">
              <w:rPr>
                <w:sz w:val="18"/>
                <w:szCs w:val="18"/>
              </w:rPr>
              <w:t>185</w:t>
            </w:r>
          </w:p>
        </w:tc>
        <w:tc>
          <w:tcPr>
            <w:tcW w:w="496" w:type="pct"/>
          </w:tcPr>
          <w:p w14:paraId="527E5074" w14:textId="77777777" w:rsidR="00E9589B" w:rsidRPr="00732EED" w:rsidRDefault="00E9589B" w:rsidP="00DC5B3C">
            <w:pPr>
              <w:rPr>
                <w:sz w:val="18"/>
                <w:szCs w:val="18"/>
              </w:rPr>
            </w:pPr>
            <w:r w:rsidRPr="00732EED">
              <w:rPr>
                <w:sz w:val="18"/>
                <w:szCs w:val="18"/>
              </w:rPr>
              <w:t>1.9681 (196.81%)</w:t>
            </w:r>
          </w:p>
        </w:tc>
        <w:tc>
          <w:tcPr>
            <w:tcW w:w="1158" w:type="pct"/>
          </w:tcPr>
          <w:p w14:paraId="52E143D0" w14:textId="77777777" w:rsidR="00E9589B" w:rsidRPr="00732EED" w:rsidRDefault="00E9589B" w:rsidP="00DC5B3C">
            <w:pPr>
              <w:rPr>
                <w:sz w:val="18"/>
                <w:szCs w:val="18"/>
              </w:rPr>
            </w:pPr>
            <w:r w:rsidRPr="00732EED">
              <w:rPr>
                <w:sz w:val="18"/>
                <w:szCs w:val="18"/>
              </w:rPr>
              <w:t>Peer &amp; Online Communities</w:t>
            </w:r>
          </w:p>
        </w:tc>
        <w:tc>
          <w:tcPr>
            <w:tcW w:w="285" w:type="pct"/>
          </w:tcPr>
          <w:p w14:paraId="26F35BF4" w14:textId="77777777" w:rsidR="00E9589B" w:rsidRPr="00732EED" w:rsidRDefault="00E9589B" w:rsidP="00DC5B3C">
            <w:pPr>
              <w:rPr>
                <w:sz w:val="18"/>
                <w:szCs w:val="18"/>
              </w:rPr>
            </w:pPr>
            <w:r w:rsidRPr="00732EED">
              <w:rPr>
                <w:sz w:val="18"/>
                <w:szCs w:val="18"/>
              </w:rPr>
              <w:t>5</w:t>
            </w:r>
          </w:p>
        </w:tc>
        <w:tc>
          <w:tcPr>
            <w:tcW w:w="527" w:type="pct"/>
          </w:tcPr>
          <w:p w14:paraId="611B6DDD" w14:textId="77777777" w:rsidR="00E9589B" w:rsidRPr="00732EED" w:rsidRDefault="00E9589B" w:rsidP="00DC5B3C">
            <w:pPr>
              <w:rPr>
                <w:sz w:val="18"/>
                <w:szCs w:val="18"/>
              </w:rPr>
            </w:pPr>
            <w:r w:rsidRPr="00732EED">
              <w:rPr>
                <w:sz w:val="18"/>
                <w:szCs w:val="18"/>
              </w:rPr>
              <w:t>0.0532 (5.32%)</w:t>
            </w:r>
          </w:p>
        </w:tc>
        <w:tc>
          <w:tcPr>
            <w:tcW w:w="1824" w:type="pct"/>
          </w:tcPr>
          <w:p w14:paraId="7452A966" w14:textId="77777777" w:rsidR="00E9589B" w:rsidRPr="00732EED" w:rsidRDefault="00E9589B" w:rsidP="00DC5B3C">
            <w:pPr>
              <w:rPr>
                <w:sz w:val="18"/>
                <w:szCs w:val="18"/>
              </w:rPr>
            </w:pPr>
            <w:r w:rsidRPr="00732EED">
              <w:rPr>
                <w:sz w:val="18"/>
                <w:szCs w:val="18"/>
              </w:rPr>
              <w:t>12,13,16,17,60,65,69,83</w:t>
            </w:r>
          </w:p>
        </w:tc>
      </w:tr>
      <w:tr w:rsidR="00E9589B" w:rsidRPr="00732EED" w14:paraId="2D48552E" w14:textId="77777777" w:rsidTr="001F2CA8">
        <w:tc>
          <w:tcPr>
            <w:tcW w:w="505" w:type="pct"/>
          </w:tcPr>
          <w:p w14:paraId="17CB23BA" w14:textId="77777777" w:rsidR="00E9589B" w:rsidRPr="00732EED" w:rsidRDefault="00E9589B" w:rsidP="00DC5B3C">
            <w:pPr>
              <w:pStyle w:val="NoSpacing"/>
              <w:rPr>
                <w:sz w:val="18"/>
                <w:szCs w:val="18"/>
              </w:rPr>
            </w:pPr>
            <w:r w:rsidRPr="00732EED">
              <w:rPr>
                <w:sz w:val="18"/>
                <w:szCs w:val="18"/>
              </w:rPr>
              <w:t>Physical</w:t>
            </w:r>
          </w:p>
        </w:tc>
        <w:tc>
          <w:tcPr>
            <w:tcW w:w="205" w:type="pct"/>
          </w:tcPr>
          <w:p w14:paraId="672652A9" w14:textId="77777777" w:rsidR="00E9589B" w:rsidRPr="00732EED" w:rsidRDefault="00E9589B" w:rsidP="00DC5B3C">
            <w:pPr>
              <w:rPr>
                <w:sz w:val="18"/>
                <w:szCs w:val="18"/>
              </w:rPr>
            </w:pPr>
            <w:r w:rsidRPr="00732EED">
              <w:rPr>
                <w:sz w:val="18"/>
                <w:szCs w:val="18"/>
              </w:rPr>
              <w:t>135</w:t>
            </w:r>
          </w:p>
        </w:tc>
        <w:tc>
          <w:tcPr>
            <w:tcW w:w="496" w:type="pct"/>
          </w:tcPr>
          <w:p w14:paraId="443E1129" w14:textId="77777777" w:rsidR="00E9589B" w:rsidRPr="00732EED" w:rsidRDefault="00E9589B" w:rsidP="00DC5B3C">
            <w:pPr>
              <w:rPr>
                <w:sz w:val="18"/>
                <w:szCs w:val="18"/>
              </w:rPr>
            </w:pPr>
            <w:r w:rsidRPr="00732EED">
              <w:rPr>
                <w:sz w:val="18"/>
                <w:szCs w:val="18"/>
              </w:rPr>
              <w:t>1.4362 (143.62%)</w:t>
            </w:r>
          </w:p>
        </w:tc>
        <w:tc>
          <w:tcPr>
            <w:tcW w:w="1158" w:type="pct"/>
          </w:tcPr>
          <w:p w14:paraId="1C251DB9" w14:textId="77777777" w:rsidR="00E9589B" w:rsidRPr="00732EED" w:rsidRDefault="00E9589B" w:rsidP="00DC5B3C">
            <w:pPr>
              <w:rPr>
                <w:sz w:val="18"/>
                <w:szCs w:val="18"/>
              </w:rPr>
            </w:pPr>
            <w:r w:rsidRPr="00732EED">
              <w:rPr>
                <w:sz w:val="18"/>
                <w:szCs w:val="18"/>
              </w:rPr>
              <w:t>Pain &amp; Symptom Burden</w:t>
            </w:r>
          </w:p>
        </w:tc>
        <w:tc>
          <w:tcPr>
            <w:tcW w:w="285" w:type="pct"/>
          </w:tcPr>
          <w:p w14:paraId="56F21527" w14:textId="77777777" w:rsidR="00E9589B" w:rsidRPr="00732EED" w:rsidRDefault="00E9589B" w:rsidP="00DC5B3C">
            <w:pPr>
              <w:rPr>
                <w:sz w:val="18"/>
                <w:szCs w:val="18"/>
              </w:rPr>
            </w:pPr>
            <w:r w:rsidRPr="00732EED">
              <w:rPr>
                <w:sz w:val="18"/>
                <w:szCs w:val="18"/>
              </w:rPr>
              <w:t>40</w:t>
            </w:r>
          </w:p>
        </w:tc>
        <w:tc>
          <w:tcPr>
            <w:tcW w:w="527" w:type="pct"/>
          </w:tcPr>
          <w:p w14:paraId="202255EE" w14:textId="77777777" w:rsidR="00E9589B" w:rsidRPr="00732EED" w:rsidRDefault="00E9589B" w:rsidP="00DC5B3C">
            <w:pPr>
              <w:rPr>
                <w:sz w:val="18"/>
                <w:szCs w:val="18"/>
              </w:rPr>
            </w:pPr>
            <w:r w:rsidRPr="00732EED">
              <w:rPr>
                <w:sz w:val="18"/>
                <w:szCs w:val="18"/>
              </w:rPr>
              <w:t>0.4255 (42.55%)</w:t>
            </w:r>
          </w:p>
        </w:tc>
        <w:tc>
          <w:tcPr>
            <w:tcW w:w="1824" w:type="pct"/>
          </w:tcPr>
          <w:p w14:paraId="6047605A" w14:textId="77777777" w:rsidR="00E9589B" w:rsidRPr="00732EED" w:rsidRDefault="00E9589B" w:rsidP="00DC5B3C">
            <w:pPr>
              <w:rPr>
                <w:sz w:val="18"/>
                <w:szCs w:val="18"/>
              </w:rPr>
            </w:pPr>
            <w:r w:rsidRPr="00732EED">
              <w:rPr>
                <w:sz w:val="18"/>
                <w:szCs w:val="18"/>
              </w:rPr>
              <w:t>1–3,6,10,18–21,24,29,31,37,39–41,46–49,52,55,61,66,69–71,73–75,78,81,87,90,93,94</w:t>
            </w:r>
          </w:p>
        </w:tc>
      </w:tr>
      <w:tr w:rsidR="00E9589B" w:rsidRPr="00732EED" w14:paraId="4F84CBE5"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4AF8A28C" w14:textId="77777777" w:rsidR="00E9589B" w:rsidRPr="00732EED" w:rsidRDefault="00E9589B" w:rsidP="00DC5B3C">
            <w:pPr>
              <w:pStyle w:val="NoSpacing"/>
              <w:rPr>
                <w:sz w:val="18"/>
                <w:szCs w:val="18"/>
              </w:rPr>
            </w:pPr>
            <w:r w:rsidRPr="00732EED">
              <w:rPr>
                <w:sz w:val="18"/>
                <w:szCs w:val="18"/>
              </w:rPr>
              <w:t>Physical</w:t>
            </w:r>
          </w:p>
        </w:tc>
        <w:tc>
          <w:tcPr>
            <w:tcW w:w="205" w:type="pct"/>
          </w:tcPr>
          <w:p w14:paraId="3F80B0B9" w14:textId="77777777" w:rsidR="00E9589B" w:rsidRPr="00732EED" w:rsidRDefault="00E9589B" w:rsidP="00DC5B3C">
            <w:pPr>
              <w:rPr>
                <w:sz w:val="18"/>
                <w:szCs w:val="18"/>
              </w:rPr>
            </w:pPr>
            <w:r w:rsidRPr="00732EED">
              <w:rPr>
                <w:sz w:val="18"/>
                <w:szCs w:val="18"/>
              </w:rPr>
              <w:t>135</w:t>
            </w:r>
          </w:p>
        </w:tc>
        <w:tc>
          <w:tcPr>
            <w:tcW w:w="496" w:type="pct"/>
          </w:tcPr>
          <w:p w14:paraId="47087735" w14:textId="77777777" w:rsidR="00E9589B" w:rsidRPr="00732EED" w:rsidRDefault="00E9589B" w:rsidP="00DC5B3C">
            <w:pPr>
              <w:rPr>
                <w:sz w:val="18"/>
                <w:szCs w:val="18"/>
              </w:rPr>
            </w:pPr>
            <w:r w:rsidRPr="00732EED">
              <w:rPr>
                <w:sz w:val="18"/>
                <w:szCs w:val="18"/>
              </w:rPr>
              <w:t>1.4362 (143.62%)</w:t>
            </w:r>
          </w:p>
        </w:tc>
        <w:tc>
          <w:tcPr>
            <w:tcW w:w="1158" w:type="pct"/>
          </w:tcPr>
          <w:p w14:paraId="2AD20977" w14:textId="77777777" w:rsidR="00E9589B" w:rsidRPr="00732EED" w:rsidRDefault="00E9589B" w:rsidP="00DC5B3C">
            <w:pPr>
              <w:rPr>
                <w:sz w:val="18"/>
                <w:szCs w:val="18"/>
              </w:rPr>
            </w:pPr>
            <w:r w:rsidRPr="00732EED">
              <w:rPr>
                <w:sz w:val="18"/>
                <w:szCs w:val="18"/>
              </w:rPr>
              <w:t>Activity &amp; Pacing</w:t>
            </w:r>
          </w:p>
        </w:tc>
        <w:tc>
          <w:tcPr>
            <w:tcW w:w="285" w:type="pct"/>
          </w:tcPr>
          <w:p w14:paraId="56C1F292" w14:textId="77777777" w:rsidR="00E9589B" w:rsidRPr="00732EED" w:rsidRDefault="00E9589B" w:rsidP="00DC5B3C">
            <w:pPr>
              <w:rPr>
                <w:sz w:val="18"/>
                <w:szCs w:val="18"/>
              </w:rPr>
            </w:pPr>
            <w:r w:rsidRPr="00732EED">
              <w:rPr>
                <w:sz w:val="18"/>
                <w:szCs w:val="18"/>
              </w:rPr>
              <w:t>32</w:t>
            </w:r>
          </w:p>
        </w:tc>
        <w:tc>
          <w:tcPr>
            <w:tcW w:w="527" w:type="pct"/>
          </w:tcPr>
          <w:p w14:paraId="6983AACC" w14:textId="77777777" w:rsidR="00E9589B" w:rsidRPr="00732EED" w:rsidRDefault="00E9589B" w:rsidP="00DC5B3C">
            <w:pPr>
              <w:rPr>
                <w:sz w:val="18"/>
                <w:szCs w:val="18"/>
              </w:rPr>
            </w:pPr>
            <w:r w:rsidRPr="00732EED">
              <w:rPr>
                <w:sz w:val="18"/>
                <w:szCs w:val="18"/>
              </w:rPr>
              <w:t>0.3404 (34.04%)</w:t>
            </w:r>
          </w:p>
        </w:tc>
        <w:tc>
          <w:tcPr>
            <w:tcW w:w="1824" w:type="pct"/>
          </w:tcPr>
          <w:p w14:paraId="7B3C3331" w14:textId="77777777" w:rsidR="00E9589B" w:rsidRPr="00732EED" w:rsidRDefault="00E9589B" w:rsidP="00DC5B3C">
            <w:pPr>
              <w:rPr>
                <w:sz w:val="18"/>
                <w:szCs w:val="18"/>
              </w:rPr>
            </w:pPr>
            <w:r w:rsidRPr="00732EED">
              <w:rPr>
                <w:sz w:val="18"/>
                <w:szCs w:val="18"/>
              </w:rPr>
              <w:t>1,2,9,18,19,21,24,29,32,34,37,39,40,46–49,50,55,57,60,65,69,70,73,79,80,81,86</w:t>
            </w:r>
          </w:p>
        </w:tc>
      </w:tr>
      <w:tr w:rsidR="00E9589B" w:rsidRPr="00732EED" w14:paraId="7534CCF9" w14:textId="77777777" w:rsidTr="001F2CA8">
        <w:tc>
          <w:tcPr>
            <w:tcW w:w="505" w:type="pct"/>
          </w:tcPr>
          <w:p w14:paraId="348EFC04" w14:textId="77777777" w:rsidR="00E9589B" w:rsidRPr="00732EED" w:rsidRDefault="00E9589B" w:rsidP="00DC5B3C">
            <w:pPr>
              <w:pStyle w:val="NoSpacing"/>
              <w:rPr>
                <w:sz w:val="18"/>
                <w:szCs w:val="18"/>
              </w:rPr>
            </w:pPr>
            <w:r w:rsidRPr="00732EED">
              <w:rPr>
                <w:sz w:val="18"/>
                <w:szCs w:val="18"/>
              </w:rPr>
              <w:t>Physical</w:t>
            </w:r>
          </w:p>
        </w:tc>
        <w:tc>
          <w:tcPr>
            <w:tcW w:w="205" w:type="pct"/>
          </w:tcPr>
          <w:p w14:paraId="6C66E78A" w14:textId="77777777" w:rsidR="00E9589B" w:rsidRPr="00732EED" w:rsidRDefault="00E9589B" w:rsidP="00DC5B3C">
            <w:pPr>
              <w:rPr>
                <w:sz w:val="18"/>
                <w:szCs w:val="18"/>
              </w:rPr>
            </w:pPr>
            <w:r w:rsidRPr="00732EED">
              <w:rPr>
                <w:sz w:val="18"/>
                <w:szCs w:val="18"/>
              </w:rPr>
              <w:t>135</w:t>
            </w:r>
          </w:p>
        </w:tc>
        <w:tc>
          <w:tcPr>
            <w:tcW w:w="496" w:type="pct"/>
          </w:tcPr>
          <w:p w14:paraId="42CD7AEA" w14:textId="77777777" w:rsidR="00E9589B" w:rsidRPr="00732EED" w:rsidRDefault="00E9589B" w:rsidP="00DC5B3C">
            <w:pPr>
              <w:rPr>
                <w:sz w:val="18"/>
                <w:szCs w:val="18"/>
              </w:rPr>
            </w:pPr>
            <w:r w:rsidRPr="00732EED">
              <w:rPr>
                <w:sz w:val="18"/>
                <w:szCs w:val="18"/>
              </w:rPr>
              <w:t>1.4362 (143.62%)</w:t>
            </w:r>
          </w:p>
        </w:tc>
        <w:tc>
          <w:tcPr>
            <w:tcW w:w="1158" w:type="pct"/>
          </w:tcPr>
          <w:p w14:paraId="5FF13E7E" w14:textId="77777777" w:rsidR="00E9589B" w:rsidRPr="00732EED" w:rsidRDefault="00E9589B" w:rsidP="00DC5B3C">
            <w:pPr>
              <w:rPr>
                <w:sz w:val="18"/>
                <w:szCs w:val="18"/>
              </w:rPr>
            </w:pPr>
            <w:r w:rsidRPr="00732EED">
              <w:rPr>
                <w:sz w:val="18"/>
                <w:szCs w:val="18"/>
              </w:rPr>
              <w:t>Limitations &amp; Disability</w:t>
            </w:r>
          </w:p>
        </w:tc>
        <w:tc>
          <w:tcPr>
            <w:tcW w:w="285" w:type="pct"/>
          </w:tcPr>
          <w:p w14:paraId="44F75FA9" w14:textId="77777777" w:rsidR="00E9589B" w:rsidRPr="00732EED" w:rsidRDefault="00E9589B" w:rsidP="00DC5B3C">
            <w:pPr>
              <w:rPr>
                <w:sz w:val="18"/>
                <w:szCs w:val="18"/>
              </w:rPr>
            </w:pPr>
            <w:r w:rsidRPr="00732EED">
              <w:rPr>
                <w:sz w:val="18"/>
                <w:szCs w:val="18"/>
              </w:rPr>
              <w:t>28</w:t>
            </w:r>
          </w:p>
        </w:tc>
        <w:tc>
          <w:tcPr>
            <w:tcW w:w="527" w:type="pct"/>
          </w:tcPr>
          <w:p w14:paraId="611DA1D8" w14:textId="77777777" w:rsidR="00E9589B" w:rsidRPr="00732EED" w:rsidRDefault="00E9589B" w:rsidP="00DC5B3C">
            <w:pPr>
              <w:rPr>
                <w:sz w:val="18"/>
                <w:szCs w:val="18"/>
              </w:rPr>
            </w:pPr>
            <w:r w:rsidRPr="00732EED">
              <w:rPr>
                <w:sz w:val="18"/>
                <w:szCs w:val="18"/>
              </w:rPr>
              <w:t>0.2979 (29.79%)</w:t>
            </w:r>
          </w:p>
        </w:tc>
        <w:tc>
          <w:tcPr>
            <w:tcW w:w="1824" w:type="pct"/>
          </w:tcPr>
          <w:p w14:paraId="48D6D84D" w14:textId="77777777" w:rsidR="00E9589B" w:rsidRPr="00732EED" w:rsidRDefault="00E9589B" w:rsidP="00DC5B3C">
            <w:pPr>
              <w:rPr>
                <w:sz w:val="18"/>
                <w:szCs w:val="18"/>
              </w:rPr>
            </w:pPr>
            <w:r w:rsidRPr="00732EED">
              <w:rPr>
                <w:sz w:val="18"/>
                <w:szCs w:val="18"/>
              </w:rPr>
              <w:t>1–3,10,18–21,24,29,31,37,39,41,46–49,50,52,55,61,66,71,73,81,87,93,94</w:t>
            </w:r>
          </w:p>
        </w:tc>
      </w:tr>
      <w:tr w:rsidR="00E9589B" w:rsidRPr="00732EED" w14:paraId="0136C645"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05A865D8" w14:textId="77777777" w:rsidR="00E9589B" w:rsidRPr="00732EED" w:rsidRDefault="00E9589B" w:rsidP="00DC5B3C">
            <w:pPr>
              <w:pStyle w:val="NoSpacing"/>
              <w:rPr>
                <w:sz w:val="18"/>
                <w:szCs w:val="18"/>
              </w:rPr>
            </w:pPr>
            <w:r w:rsidRPr="00732EED">
              <w:rPr>
                <w:sz w:val="18"/>
                <w:szCs w:val="18"/>
              </w:rPr>
              <w:t>Physical</w:t>
            </w:r>
          </w:p>
        </w:tc>
        <w:tc>
          <w:tcPr>
            <w:tcW w:w="205" w:type="pct"/>
          </w:tcPr>
          <w:p w14:paraId="2857CCD6" w14:textId="77777777" w:rsidR="00E9589B" w:rsidRPr="00732EED" w:rsidRDefault="00E9589B" w:rsidP="00DC5B3C">
            <w:pPr>
              <w:rPr>
                <w:sz w:val="18"/>
                <w:szCs w:val="18"/>
              </w:rPr>
            </w:pPr>
            <w:r w:rsidRPr="00732EED">
              <w:rPr>
                <w:sz w:val="18"/>
                <w:szCs w:val="18"/>
              </w:rPr>
              <w:t>135</w:t>
            </w:r>
          </w:p>
        </w:tc>
        <w:tc>
          <w:tcPr>
            <w:tcW w:w="496" w:type="pct"/>
          </w:tcPr>
          <w:p w14:paraId="4B59FE84" w14:textId="77777777" w:rsidR="00E9589B" w:rsidRPr="00732EED" w:rsidRDefault="00E9589B" w:rsidP="00DC5B3C">
            <w:pPr>
              <w:rPr>
                <w:sz w:val="18"/>
                <w:szCs w:val="18"/>
              </w:rPr>
            </w:pPr>
            <w:r w:rsidRPr="00732EED">
              <w:rPr>
                <w:sz w:val="18"/>
                <w:szCs w:val="18"/>
              </w:rPr>
              <w:t>1.4362 (143.62%)</w:t>
            </w:r>
          </w:p>
        </w:tc>
        <w:tc>
          <w:tcPr>
            <w:tcW w:w="1158" w:type="pct"/>
          </w:tcPr>
          <w:p w14:paraId="5685E073" w14:textId="77777777" w:rsidR="00E9589B" w:rsidRPr="00732EED" w:rsidRDefault="00E9589B" w:rsidP="00DC5B3C">
            <w:pPr>
              <w:rPr>
                <w:sz w:val="18"/>
                <w:szCs w:val="18"/>
              </w:rPr>
            </w:pPr>
            <w:r w:rsidRPr="00732EED">
              <w:rPr>
                <w:sz w:val="18"/>
                <w:szCs w:val="18"/>
              </w:rPr>
              <w:t>Fluctuation/Unpredictability</w:t>
            </w:r>
          </w:p>
        </w:tc>
        <w:tc>
          <w:tcPr>
            <w:tcW w:w="285" w:type="pct"/>
          </w:tcPr>
          <w:p w14:paraId="69007517" w14:textId="77777777" w:rsidR="00E9589B" w:rsidRPr="00732EED" w:rsidRDefault="00E9589B" w:rsidP="00DC5B3C">
            <w:pPr>
              <w:rPr>
                <w:sz w:val="18"/>
                <w:szCs w:val="18"/>
              </w:rPr>
            </w:pPr>
            <w:r w:rsidRPr="00732EED">
              <w:rPr>
                <w:sz w:val="18"/>
                <w:szCs w:val="18"/>
              </w:rPr>
              <w:t>18</w:t>
            </w:r>
          </w:p>
        </w:tc>
        <w:tc>
          <w:tcPr>
            <w:tcW w:w="527" w:type="pct"/>
          </w:tcPr>
          <w:p w14:paraId="5198E0FA" w14:textId="77777777" w:rsidR="00E9589B" w:rsidRPr="00732EED" w:rsidRDefault="00E9589B" w:rsidP="00DC5B3C">
            <w:pPr>
              <w:rPr>
                <w:sz w:val="18"/>
                <w:szCs w:val="18"/>
              </w:rPr>
            </w:pPr>
            <w:r w:rsidRPr="00732EED">
              <w:rPr>
                <w:sz w:val="18"/>
                <w:szCs w:val="18"/>
              </w:rPr>
              <w:t>0.1915 (19.15%)</w:t>
            </w:r>
          </w:p>
        </w:tc>
        <w:tc>
          <w:tcPr>
            <w:tcW w:w="1824" w:type="pct"/>
          </w:tcPr>
          <w:p w14:paraId="70FBA6B1" w14:textId="77777777" w:rsidR="00E9589B" w:rsidRPr="00732EED" w:rsidRDefault="00E9589B" w:rsidP="00DC5B3C">
            <w:pPr>
              <w:rPr>
                <w:sz w:val="18"/>
                <w:szCs w:val="18"/>
              </w:rPr>
            </w:pPr>
            <w:r w:rsidRPr="00732EED">
              <w:rPr>
                <w:sz w:val="18"/>
                <w:szCs w:val="18"/>
              </w:rPr>
              <w:t>1,6,19,24,29,37,39,40,42,54,66,72,74,75,78,81</w:t>
            </w:r>
          </w:p>
        </w:tc>
      </w:tr>
      <w:tr w:rsidR="00E9589B" w:rsidRPr="00732EED" w14:paraId="1E0BC215" w14:textId="77777777" w:rsidTr="001F2CA8">
        <w:tc>
          <w:tcPr>
            <w:tcW w:w="505" w:type="pct"/>
          </w:tcPr>
          <w:p w14:paraId="2D61032F" w14:textId="77777777" w:rsidR="00E9589B" w:rsidRPr="00732EED" w:rsidRDefault="00E9589B" w:rsidP="00DC5B3C">
            <w:pPr>
              <w:pStyle w:val="NoSpacing"/>
              <w:rPr>
                <w:sz w:val="18"/>
                <w:szCs w:val="18"/>
              </w:rPr>
            </w:pPr>
            <w:r w:rsidRPr="00732EED">
              <w:rPr>
                <w:sz w:val="18"/>
                <w:szCs w:val="18"/>
              </w:rPr>
              <w:t>Physical</w:t>
            </w:r>
          </w:p>
        </w:tc>
        <w:tc>
          <w:tcPr>
            <w:tcW w:w="205" w:type="pct"/>
          </w:tcPr>
          <w:p w14:paraId="7DC3EBCD" w14:textId="77777777" w:rsidR="00E9589B" w:rsidRPr="00732EED" w:rsidRDefault="00E9589B" w:rsidP="00DC5B3C">
            <w:pPr>
              <w:rPr>
                <w:sz w:val="18"/>
                <w:szCs w:val="18"/>
              </w:rPr>
            </w:pPr>
            <w:r w:rsidRPr="00732EED">
              <w:rPr>
                <w:sz w:val="18"/>
                <w:szCs w:val="18"/>
              </w:rPr>
              <w:t>135</w:t>
            </w:r>
          </w:p>
        </w:tc>
        <w:tc>
          <w:tcPr>
            <w:tcW w:w="496" w:type="pct"/>
          </w:tcPr>
          <w:p w14:paraId="603A18FC" w14:textId="77777777" w:rsidR="00E9589B" w:rsidRPr="00732EED" w:rsidRDefault="00E9589B" w:rsidP="00DC5B3C">
            <w:pPr>
              <w:rPr>
                <w:sz w:val="18"/>
                <w:szCs w:val="18"/>
              </w:rPr>
            </w:pPr>
            <w:r w:rsidRPr="00732EED">
              <w:rPr>
                <w:sz w:val="18"/>
                <w:szCs w:val="18"/>
              </w:rPr>
              <w:t>1.4362 (143.62%)</w:t>
            </w:r>
          </w:p>
        </w:tc>
        <w:tc>
          <w:tcPr>
            <w:tcW w:w="1158" w:type="pct"/>
          </w:tcPr>
          <w:p w14:paraId="2FDD675F" w14:textId="77777777" w:rsidR="00E9589B" w:rsidRPr="00732EED" w:rsidRDefault="00E9589B" w:rsidP="00DC5B3C">
            <w:pPr>
              <w:rPr>
                <w:sz w:val="18"/>
                <w:szCs w:val="18"/>
              </w:rPr>
            </w:pPr>
            <w:r w:rsidRPr="00732EED">
              <w:rPr>
                <w:sz w:val="18"/>
                <w:szCs w:val="18"/>
              </w:rPr>
              <w:t>Autonomy &amp; Independence</w:t>
            </w:r>
          </w:p>
        </w:tc>
        <w:tc>
          <w:tcPr>
            <w:tcW w:w="285" w:type="pct"/>
          </w:tcPr>
          <w:p w14:paraId="5BD36999" w14:textId="77777777" w:rsidR="00E9589B" w:rsidRPr="00732EED" w:rsidRDefault="00E9589B" w:rsidP="00DC5B3C">
            <w:pPr>
              <w:rPr>
                <w:sz w:val="18"/>
                <w:szCs w:val="18"/>
              </w:rPr>
            </w:pPr>
            <w:r w:rsidRPr="00732EED">
              <w:rPr>
                <w:sz w:val="18"/>
                <w:szCs w:val="18"/>
              </w:rPr>
              <w:t>10</w:t>
            </w:r>
          </w:p>
        </w:tc>
        <w:tc>
          <w:tcPr>
            <w:tcW w:w="527" w:type="pct"/>
          </w:tcPr>
          <w:p w14:paraId="5886F45D" w14:textId="77777777" w:rsidR="00E9589B" w:rsidRPr="00732EED" w:rsidRDefault="00E9589B" w:rsidP="00DC5B3C">
            <w:pPr>
              <w:rPr>
                <w:sz w:val="18"/>
                <w:szCs w:val="18"/>
              </w:rPr>
            </w:pPr>
            <w:r w:rsidRPr="00732EED">
              <w:rPr>
                <w:sz w:val="18"/>
                <w:szCs w:val="18"/>
              </w:rPr>
              <w:t>0.1064 (10.64%)</w:t>
            </w:r>
          </w:p>
        </w:tc>
        <w:tc>
          <w:tcPr>
            <w:tcW w:w="1824" w:type="pct"/>
          </w:tcPr>
          <w:p w14:paraId="4C596F32" w14:textId="77777777" w:rsidR="00E9589B" w:rsidRPr="00732EED" w:rsidRDefault="00E9589B" w:rsidP="00DC5B3C">
            <w:pPr>
              <w:rPr>
                <w:sz w:val="18"/>
                <w:szCs w:val="18"/>
              </w:rPr>
            </w:pPr>
            <w:r w:rsidRPr="00732EED">
              <w:rPr>
                <w:sz w:val="18"/>
                <w:szCs w:val="18"/>
              </w:rPr>
              <w:t>21,24,29,39,46–49,52,61,79</w:t>
            </w:r>
          </w:p>
        </w:tc>
      </w:tr>
      <w:tr w:rsidR="00E9589B" w:rsidRPr="00732EED" w14:paraId="1113F1FE"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44216F34" w14:textId="77777777" w:rsidR="00E9589B" w:rsidRPr="00732EED" w:rsidRDefault="00E9589B" w:rsidP="00DC5B3C">
            <w:pPr>
              <w:pStyle w:val="NoSpacing"/>
              <w:rPr>
                <w:sz w:val="18"/>
                <w:szCs w:val="18"/>
              </w:rPr>
            </w:pPr>
            <w:r w:rsidRPr="00732EED">
              <w:rPr>
                <w:sz w:val="18"/>
                <w:szCs w:val="18"/>
              </w:rPr>
              <w:lastRenderedPageBreak/>
              <w:t>Physical</w:t>
            </w:r>
          </w:p>
        </w:tc>
        <w:tc>
          <w:tcPr>
            <w:tcW w:w="205" w:type="pct"/>
          </w:tcPr>
          <w:p w14:paraId="51B3F3FC" w14:textId="77777777" w:rsidR="00E9589B" w:rsidRPr="00732EED" w:rsidRDefault="00E9589B" w:rsidP="00DC5B3C">
            <w:pPr>
              <w:rPr>
                <w:sz w:val="18"/>
                <w:szCs w:val="18"/>
              </w:rPr>
            </w:pPr>
            <w:r w:rsidRPr="00732EED">
              <w:rPr>
                <w:sz w:val="18"/>
                <w:szCs w:val="18"/>
              </w:rPr>
              <w:t>135</w:t>
            </w:r>
          </w:p>
        </w:tc>
        <w:tc>
          <w:tcPr>
            <w:tcW w:w="496" w:type="pct"/>
          </w:tcPr>
          <w:p w14:paraId="7FA3D911" w14:textId="77777777" w:rsidR="00E9589B" w:rsidRPr="00732EED" w:rsidRDefault="00E9589B" w:rsidP="00DC5B3C">
            <w:pPr>
              <w:rPr>
                <w:sz w:val="18"/>
                <w:szCs w:val="18"/>
              </w:rPr>
            </w:pPr>
            <w:r w:rsidRPr="00732EED">
              <w:rPr>
                <w:sz w:val="18"/>
                <w:szCs w:val="18"/>
              </w:rPr>
              <w:t>1.4362 (143.62%)</w:t>
            </w:r>
          </w:p>
        </w:tc>
        <w:tc>
          <w:tcPr>
            <w:tcW w:w="1158" w:type="pct"/>
          </w:tcPr>
          <w:p w14:paraId="4BCB6F2A" w14:textId="77777777" w:rsidR="00E9589B" w:rsidRPr="00732EED" w:rsidRDefault="00E9589B" w:rsidP="00DC5B3C">
            <w:pPr>
              <w:rPr>
                <w:sz w:val="18"/>
                <w:szCs w:val="18"/>
              </w:rPr>
            </w:pPr>
            <w:r w:rsidRPr="00732EED">
              <w:rPr>
                <w:sz w:val="18"/>
                <w:szCs w:val="18"/>
              </w:rPr>
              <w:t>Transportation &amp; Environment</w:t>
            </w:r>
          </w:p>
        </w:tc>
        <w:tc>
          <w:tcPr>
            <w:tcW w:w="285" w:type="pct"/>
          </w:tcPr>
          <w:p w14:paraId="56748030" w14:textId="77777777" w:rsidR="00E9589B" w:rsidRPr="00732EED" w:rsidRDefault="00E9589B" w:rsidP="00DC5B3C">
            <w:pPr>
              <w:rPr>
                <w:sz w:val="18"/>
                <w:szCs w:val="18"/>
              </w:rPr>
            </w:pPr>
            <w:r w:rsidRPr="00732EED">
              <w:rPr>
                <w:sz w:val="18"/>
                <w:szCs w:val="18"/>
              </w:rPr>
              <w:t>7</w:t>
            </w:r>
          </w:p>
        </w:tc>
        <w:tc>
          <w:tcPr>
            <w:tcW w:w="527" w:type="pct"/>
          </w:tcPr>
          <w:p w14:paraId="4E669AC9" w14:textId="77777777" w:rsidR="00E9589B" w:rsidRPr="00732EED" w:rsidRDefault="00E9589B" w:rsidP="00DC5B3C">
            <w:pPr>
              <w:rPr>
                <w:sz w:val="18"/>
                <w:szCs w:val="18"/>
              </w:rPr>
            </w:pPr>
            <w:r w:rsidRPr="00732EED">
              <w:rPr>
                <w:sz w:val="18"/>
                <w:szCs w:val="18"/>
              </w:rPr>
              <w:t>0.0745 (7.45%)</w:t>
            </w:r>
          </w:p>
        </w:tc>
        <w:tc>
          <w:tcPr>
            <w:tcW w:w="1824" w:type="pct"/>
          </w:tcPr>
          <w:p w14:paraId="514CF9B2" w14:textId="77777777" w:rsidR="00E9589B" w:rsidRPr="00732EED" w:rsidRDefault="00E9589B" w:rsidP="00DC5B3C">
            <w:pPr>
              <w:rPr>
                <w:sz w:val="18"/>
                <w:szCs w:val="18"/>
              </w:rPr>
            </w:pPr>
            <w:r w:rsidRPr="00732EED">
              <w:rPr>
                <w:sz w:val="18"/>
                <w:szCs w:val="18"/>
              </w:rPr>
              <w:t>6,21,34,49,52,67,71,87,88</w:t>
            </w:r>
          </w:p>
        </w:tc>
      </w:tr>
      <w:tr w:rsidR="00E9589B" w:rsidRPr="00732EED" w14:paraId="0A80EFCE" w14:textId="77777777" w:rsidTr="001F2CA8">
        <w:tc>
          <w:tcPr>
            <w:tcW w:w="505" w:type="pct"/>
          </w:tcPr>
          <w:p w14:paraId="453745F6" w14:textId="77777777" w:rsidR="00E9589B" w:rsidRPr="00732EED" w:rsidRDefault="00E9589B" w:rsidP="00DC5B3C">
            <w:pPr>
              <w:pStyle w:val="NoSpacing"/>
              <w:rPr>
                <w:sz w:val="18"/>
                <w:szCs w:val="18"/>
              </w:rPr>
            </w:pPr>
            <w:r w:rsidRPr="00732EED">
              <w:rPr>
                <w:sz w:val="18"/>
                <w:szCs w:val="18"/>
              </w:rPr>
              <w:t>Psychological</w:t>
            </w:r>
          </w:p>
        </w:tc>
        <w:tc>
          <w:tcPr>
            <w:tcW w:w="205" w:type="pct"/>
          </w:tcPr>
          <w:p w14:paraId="7483BA0B" w14:textId="77777777" w:rsidR="00E9589B" w:rsidRPr="00732EED" w:rsidRDefault="00E9589B" w:rsidP="00DC5B3C">
            <w:pPr>
              <w:rPr>
                <w:sz w:val="18"/>
                <w:szCs w:val="18"/>
              </w:rPr>
            </w:pPr>
            <w:r w:rsidRPr="00732EED">
              <w:rPr>
                <w:sz w:val="18"/>
                <w:szCs w:val="18"/>
              </w:rPr>
              <w:t>145</w:t>
            </w:r>
          </w:p>
        </w:tc>
        <w:tc>
          <w:tcPr>
            <w:tcW w:w="496" w:type="pct"/>
          </w:tcPr>
          <w:p w14:paraId="7C85235D" w14:textId="77777777" w:rsidR="00E9589B" w:rsidRPr="00732EED" w:rsidRDefault="00E9589B" w:rsidP="00DC5B3C">
            <w:pPr>
              <w:rPr>
                <w:sz w:val="18"/>
                <w:szCs w:val="18"/>
              </w:rPr>
            </w:pPr>
            <w:r w:rsidRPr="00732EED">
              <w:rPr>
                <w:sz w:val="18"/>
                <w:szCs w:val="18"/>
              </w:rPr>
              <w:t>1.543 (154.26%)</w:t>
            </w:r>
          </w:p>
        </w:tc>
        <w:tc>
          <w:tcPr>
            <w:tcW w:w="1158" w:type="pct"/>
          </w:tcPr>
          <w:p w14:paraId="1AAAB23B" w14:textId="77777777" w:rsidR="00E9589B" w:rsidRPr="00732EED" w:rsidRDefault="00E9589B" w:rsidP="00DC5B3C">
            <w:pPr>
              <w:rPr>
                <w:sz w:val="18"/>
                <w:szCs w:val="18"/>
              </w:rPr>
            </w:pPr>
            <w:r w:rsidRPr="00732EED">
              <w:rPr>
                <w:sz w:val="18"/>
                <w:szCs w:val="18"/>
              </w:rPr>
              <w:t>Depression &amp; Hopelessness</w:t>
            </w:r>
          </w:p>
        </w:tc>
        <w:tc>
          <w:tcPr>
            <w:tcW w:w="285" w:type="pct"/>
          </w:tcPr>
          <w:p w14:paraId="21843643" w14:textId="77777777" w:rsidR="00E9589B" w:rsidRPr="00732EED" w:rsidRDefault="00E9589B" w:rsidP="00DC5B3C">
            <w:pPr>
              <w:rPr>
                <w:sz w:val="18"/>
                <w:szCs w:val="18"/>
              </w:rPr>
            </w:pPr>
            <w:r w:rsidRPr="00732EED">
              <w:rPr>
                <w:sz w:val="18"/>
                <w:szCs w:val="18"/>
              </w:rPr>
              <w:t>38</w:t>
            </w:r>
          </w:p>
        </w:tc>
        <w:tc>
          <w:tcPr>
            <w:tcW w:w="527" w:type="pct"/>
          </w:tcPr>
          <w:p w14:paraId="68225DFD" w14:textId="77777777" w:rsidR="00E9589B" w:rsidRPr="00732EED" w:rsidRDefault="00E9589B" w:rsidP="00DC5B3C">
            <w:pPr>
              <w:rPr>
                <w:sz w:val="18"/>
                <w:szCs w:val="18"/>
              </w:rPr>
            </w:pPr>
            <w:r w:rsidRPr="00732EED">
              <w:rPr>
                <w:sz w:val="18"/>
                <w:szCs w:val="18"/>
              </w:rPr>
              <w:t>0.4043 (40.43%)</w:t>
            </w:r>
          </w:p>
        </w:tc>
        <w:tc>
          <w:tcPr>
            <w:tcW w:w="1824" w:type="pct"/>
          </w:tcPr>
          <w:p w14:paraId="097C8EDA" w14:textId="77777777" w:rsidR="00E9589B" w:rsidRPr="00732EED" w:rsidRDefault="00E9589B" w:rsidP="00DC5B3C">
            <w:pPr>
              <w:rPr>
                <w:sz w:val="18"/>
                <w:szCs w:val="18"/>
              </w:rPr>
            </w:pPr>
            <w:r w:rsidRPr="00732EED">
              <w:rPr>
                <w:sz w:val="18"/>
                <w:szCs w:val="18"/>
              </w:rPr>
              <w:t>10,14,18,19,24,25,27,29,31,32,37,38,41,45,46–49,57,59,61,64,66,69,72,78,81,83,89,90,93</w:t>
            </w:r>
          </w:p>
        </w:tc>
      </w:tr>
      <w:tr w:rsidR="00E9589B" w:rsidRPr="00732EED" w14:paraId="7A11D5A0"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0F7C6491" w14:textId="77777777" w:rsidR="00E9589B" w:rsidRPr="00732EED" w:rsidRDefault="00E9589B" w:rsidP="00DC5B3C">
            <w:pPr>
              <w:pStyle w:val="NoSpacing"/>
              <w:rPr>
                <w:sz w:val="18"/>
                <w:szCs w:val="18"/>
              </w:rPr>
            </w:pPr>
            <w:r w:rsidRPr="00732EED">
              <w:rPr>
                <w:sz w:val="18"/>
                <w:szCs w:val="18"/>
              </w:rPr>
              <w:t>Psychological</w:t>
            </w:r>
          </w:p>
        </w:tc>
        <w:tc>
          <w:tcPr>
            <w:tcW w:w="205" w:type="pct"/>
          </w:tcPr>
          <w:p w14:paraId="322AC107" w14:textId="77777777" w:rsidR="00E9589B" w:rsidRPr="00732EED" w:rsidRDefault="00E9589B" w:rsidP="00DC5B3C">
            <w:pPr>
              <w:rPr>
                <w:sz w:val="18"/>
                <w:szCs w:val="18"/>
              </w:rPr>
            </w:pPr>
            <w:r w:rsidRPr="00732EED">
              <w:rPr>
                <w:sz w:val="18"/>
                <w:szCs w:val="18"/>
              </w:rPr>
              <w:t>145</w:t>
            </w:r>
          </w:p>
        </w:tc>
        <w:tc>
          <w:tcPr>
            <w:tcW w:w="496" w:type="pct"/>
          </w:tcPr>
          <w:p w14:paraId="2D3C05C8" w14:textId="77777777" w:rsidR="00E9589B" w:rsidRPr="00732EED" w:rsidRDefault="00E9589B" w:rsidP="00DC5B3C">
            <w:pPr>
              <w:rPr>
                <w:sz w:val="18"/>
                <w:szCs w:val="18"/>
              </w:rPr>
            </w:pPr>
            <w:r w:rsidRPr="00732EED">
              <w:rPr>
                <w:sz w:val="18"/>
                <w:szCs w:val="18"/>
              </w:rPr>
              <w:t>1.543 (154.26%)</w:t>
            </w:r>
          </w:p>
        </w:tc>
        <w:tc>
          <w:tcPr>
            <w:tcW w:w="1158" w:type="pct"/>
          </w:tcPr>
          <w:p w14:paraId="72B69422" w14:textId="77777777" w:rsidR="00E9589B" w:rsidRPr="00732EED" w:rsidRDefault="00E9589B" w:rsidP="00DC5B3C">
            <w:pPr>
              <w:rPr>
                <w:sz w:val="18"/>
                <w:szCs w:val="18"/>
              </w:rPr>
            </w:pPr>
            <w:r w:rsidRPr="00732EED">
              <w:rPr>
                <w:sz w:val="18"/>
                <w:szCs w:val="18"/>
              </w:rPr>
              <w:t>Anxiety &amp; Fear</w:t>
            </w:r>
          </w:p>
        </w:tc>
        <w:tc>
          <w:tcPr>
            <w:tcW w:w="285" w:type="pct"/>
          </w:tcPr>
          <w:p w14:paraId="615DCB52" w14:textId="77777777" w:rsidR="00E9589B" w:rsidRPr="00732EED" w:rsidRDefault="00E9589B" w:rsidP="00DC5B3C">
            <w:pPr>
              <w:rPr>
                <w:sz w:val="18"/>
                <w:szCs w:val="18"/>
              </w:rPr>
            </w:pPr>
            <w:r w:rsidRPr="00732EED">
              <w:rPr>
                <w:sz w:val="18"/>
                <w:szCs w:val="18"/>
              </w:rPr>
              <w:t>28</w:t>
            </w:r>
          </w:p>
        </w:tc>
        <w:tc>
          <w:tcPr>
            <w:tcW w:w="527" w:type="pct"/>
          </w:tcPr>
          <w:p w14:paraId="664DE313" w14:textId="77777777" w:rsidR="00E9589B" w:rsidRPr="00732EED" w:rsidRDefault="00E9589B" w:rsidP="00DC5B3C">
            <w:pPr>
              <w:rPr>
                <w:sz w:val="18"/>
                <w:szCs w:val="18"/>
              </w:rPr>
            </w:pPr>
            <w:r w:rsidRPr="00732EED">
              <w:rPr>
                <w:sz w:val="18"/>
                <w:szCs w:val="18"/>
              </w:rPr>
              <w:t>0.2979 (29.79%)</w:t>
            </w:r>
          </w:p>
        </w:tc>
        <w:tc>
          <w:tcPr>
            <w:tcW w:w="1824" w:type="pct"/>
          </w:tcPr>
          <w:p w14:paraId="550D4B62" w14:textId="77777777" w:rsidR="00E9589B" w:rsidRPr="00732EED" w:rsidRDefault="00E9589B" w:rsidP="00DC5B3C">
            <w:pPr>
              <w:rPr>
                <w:sz w:val="18"/>
                <w:szCs w:val="18"/>
              </w:rPr>
            </w:pPr>
            <w:r w:rsidRPr="00732EED">
              <w:rPr>
                <w:sz w:val="18"/>
                <w:szCs w:val="18"/>
              </w:rPr>
              <w:t>10,14,18,19,21,24,25,27,29,31,33,37,39,40,41,42,45,49,55,61,66,69,72,78,81,85,89</w:t>
            </w:r>
          </w:p>
        </w:tc>
      </w:tr>
      <w:tr w:rsidR="00E9589B" w:rsidRPr="00732EED" w14:paraId="48A9A838" w14:textId="77777777" w:rsidTr="001F2CA8">
        <w:tc>
          <w:tcPr>
            <w:tcW w:w="505" w:type="pct"/>
          </w:tcPr>
          <w:p w14:paraId="193D51F7" w14:textId="77777777" w:rsidR="00E9589B" w:rsidRPr="00732EED" w:rsidRDefault="00E9589B" w:rsidP="00DC5B3C">
            <w:pPr>
              <w:pStyle w:val="NoSpacing"/>
              <w:rPr>
                <w:sz w:val="18"/>
                <w:szCs w:val="18"/>
              </w:rPr>
            </w:pPr>
            <w:r w:rsidRPr="00732EED">
              <w:rPr>
                <w:sz w:val="18"/>
                <w:szCs w:val="18"/>
              </w:rPr>
              <w:t>Psychological</w:t>
            </w:r>
          </w:p>
        </w:tc>
        <w:tc>
          <w:tcPr>
            <w:tcW w:w="205" w:type="pct"/>
          </w:tcPr>
          <w:p w14:paraId="607E2780" w14:textId="77777777" w:rsidR="00E9589B" w:rsidRPr="00732EED" w:rsidRDefault="00E9589B" w:rsidP="00DC5B3C">
            <w:pPr>
              <w:rPr>
                <w:sz w:val="18"/>
                <w:szCs w:val="18"/>
              </w:rPr>
            </w:pPr>
            <w:r w:rsidRPr="00732EED">
              <w:rPr>
                <w:sz w:val="18"/>
                <w:szCs w:val="18"/>
              </w:rPr>
              <w:t>145</w:t>
            </w:r>
          </w:p>
        </w:tc>
        <w:tc>
          <w:tcPr>
            <w:tcW w:w="496" w:type="pct"/>
          </w:tcPr>
          <w:p w14:paraId="62BE513C" w14:textId="77777777" w:rsidR="00E9589B" w:rsidRPr="00732EED" w:rsidRDefault="00E9589B" w:rsidP="00DC5B3C">
            <w:pPr>
              <w:rPr>
                <w:sz w:val="18"/>
                <w:szCs w:val="18"/>
              </w:rPr>
            </w:pPr>
            <w:r w:rsidRPr="00732EED">
              <w:rPr>
                <w:sz w:val="18"/>
                <w:szCs w:val="18"/>
              </w:rPr>
              <w:t>1.543 (154.26%)</w:t>
            </w:r>
          </w:p>
        </w:tc>
        <w:tc>
          <w:tcPr>
            <w:tcW w:w="1158" w:type="pct"/>
          </w:tcPr>
          <w:p w14:paraId="3A3F4EAD" w14:textId="77777777" w:rsidR="00E9589B" w:rsidRPr="00732EED" w:rsidRDefault="00E9589B" w:rsidP="00DC5B3C">
            <w:pPr>
              <w:rPr>
                <w:sz w:val="18"/>
                <w:szCs w:val="18"/>
              </w:rPr>
            </w:pPr>
            <w:r w:rsidRPr="00732EED">
              <w:rPr>
                <w:sz w:val="18"/>
                <w:szCs w:val="18"/>
              </w:rPr>
              <w:t>Self-esteem &amp; Identity Threat</w:t>
            </w:r>
          </w:p>
        </w:tc>
        <w:tc>
          <w:tcPr>
            <w:tcW w:w="285" w:type="pct"/>
          </w:tcPr>
          <w:p w14:paraId="29BA218F" w14:textId="77777777" w:rsidR="00E9589B" w:rsidRPr="00732EED" w:rsidRDefault="00E9589B" w:rsidP="00DC5B3C">
            <w:pPr>
              <w:rPr>
                <w:sz w:val="18"/>
                <w:szCs w:val="18"/>
              </w:rPr>
            </w:pPr>
            <w:r w:rsidRPr="00732EED">
              <w:rPr>
                <w:sz w:val="18"/>
                <w:szCs w:val="18"/>
              </w:rPr>
              <w:t>25</w:t>
            </w:r>
          </w:p>
        </w:tc>
        <w:tc>
          <w:tcPr>
            <w:tcW w:w="527" w:type="pct"/>
          </w:tcPr>
          <w:p w14:paraId="64A63534" w14:textId="77777777" w:rsidR="00E9589B" w:rsidRPr="00732EED" w:rsidRDefault="00E9589B" w:rsidP="00DC5B3C">
            <w:pPr>
              <w:rPr>
                <w:sz w:val="18"/>
                <w:szCs w:val="18"/>
              </w:rPr>
            </w:pPr>
            <w:r w:rsidRPr="00732EED">
              <w:rPr>
                <w:sz w:val="18"/>
                <w:szCs w:val="18"/>
              </w:rPr>
              <w:t>0.2660 (26.60%)</w:t>
            </w:r>
          </w:p>
        </w:tc>
        <w:tc>
          <w:tcPr>
            <w:tcW w:w="1824" w:type="pct"/>
          </w:tcPr>
          <w:p w14:paraId="5753E5F4" w14:textId="77777777" w:rsidR="00E9589B" w:rsidRPr="00732EED" w:rsidRDefault="00E9589B" w:rsidP="00DC5B3C">
            <w:pPr>
              <w:rPr>
                <w:sz w:val="18"/>
                <w:szCs w:val="18"/>
              </w:rPr>
            </w:pPr>
            <w:r w:rsidRPr="00732EED">
              <w:rPr>
                <w:sz w:val="18"/>
                <w:szCs w:val="18"/>
              </w:rPr>
              <w:t>2,5,7,10,14,18,19,24,25–28,28,29,33,37,40,45,52,59,72,78,80,82,93</w:t>
            </w:r>
          </w:p>
        </w:tc>
      </w:tr>
      <w:tr w:rsidR="00E9589B" w:rsidRPr="00732EED" w14:paraId="5C58EE69"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2FA7395F" w14:textId="77777777" w:rsidR="00E9589B" w:rsidRPr="00732EED" w:rsidRDefault="00E9589B" w:rsidP="00DC5B3C">
            <w:pPr>
              <w:pStyle w:val="NoSpacing"/>
              <w:rPr>
                <w:sz w:val="18"/>
                <w:szCs w:val="18"/>
              </w:rPr>
            </w:pPr>
            <w:r w:rsidRPr="00732EED">
              <w:rPr>
                <w:sz w:val="18"/>
                <w:szCs w:val="18"/>
              </w:rPr>
              <w:t>Psychological</w:t>
            </w:r>
          </w:p>
        </w:tc>
        <w:tc>
          <w:tcPr>
            <w:tcW w:w="205" w:type="pct"/>
          </w:tcPr>
          <w:p w14:paraId="3D50C0DC" w14:textId="77777777" w:rsidR="00E9589B" w:rsidRPr="00732EED" w:rsidRDefault="00E9589B" w:rsidP="00DC5B3C">
            <w:pPr>
              <w:rPr>
                <w:sz w:val="18"/>
                <w:szCs w:val="18"/>
              </w:rPr>
            </w:pPr>
            <w:r w:rsidRPr="00732EED">
              <w:rPr>
                <w:sz w:val="18"/>
                <w:szCs w:val="18"/>
              </w:rPr>
              <w:t>145</w:t>
            </w:r>
          </w:p>
        </w:tc>
        <w:tc>
          <w:tcPr>
            <w:tcW w:w="496" w:type="pct"/>
          </w:tcPr>
          <w:p w14:paraId="5E039F79" w14:textId="77777777" w:rsidR="00E9589B" w:rsidRPr="00732EED" w:rsidRDefault="00E9589B" w:rsidP="00DC5B3C">
            <w:pPr>
              <w:rPr>
                <w:sz w:val="18"/>
                <w:szCs w:val="18"/>
              </w:rPr>
            </w:pPr>
            <w:r w:rsidRPr="00732EED">
              <w:rPr>
                <w:sz w:val="18"/>
                <w:szCs w:val="18"/>
              </w:rPr>
              <w:t>1.543 (154.26%)</w:t>
            </w:r>
          </w:p>
        </w:tc>
        <w:tc>
          <w:tcPr>
            <w:tcW w:w="1158" w:type="pct"/>
          </w:tcPr>
          <w:p w14:paraId="4C09BFD8" w14:textId="77777777" w:rsidR="00E9589B" w:rsidRPr="00732EED" w:rsidRDefault="00E9589B" w:rsidP="00DC5B3C">
            <w:pPr>
              <w:rPr>
                <w:sz w:val="18"/>
                <w:szCs w:val="18"/>
              </w:rPr>
            </w:pPr>
            <w:r w:rsidRPr="00732EED">
              <w:rPr>
                <w:sz w:val="18"/>
                <w:szCs w:val="18"/>
              </w:rPr>
              <w:t>Resilience &amp; Growth</w:t>
            </w:r>
          </w:p>
        </w:tc>
        <w:tc>
          <w:tcPr>
            <w:tcW w:w="285" w:type="pct"/>
          </w:tcPr>
          <w:p w14:paraId="2D11A7F9" w14:textId="77777777" w:rsidR="00E9589B" w:rsidRPr="00732EED" w:rsidRDefault="00E9589B" w:rsidP="00DC5B3C">
            <w:pPr>
              <w:rPr>
                <w:sz w:val="18"/>
                <w:szCs w:val="18"/>
              </w:rPr>
            </w:pPr>
            <w:r w:rsidRPr="00732EED">
              <w:rPr>
                <w:sz w:val="18"/>
                <w:szCs w:val="18"/>
              </w:rPr>
              <w:t>23</w:t>
            </w:r>
          </w:p>
        </w:tc>
        <w:tc>
          <w:tcPr>
            <w:tcW w:w="527" w:type="pct"/>
          </w:tcPr>
          <w:p w14:paraId="1965C185" w14:textId="77777777" w:rsidR="00E9589B" w:rsidRPr="00732EED" w:rsidRDefault="00E9589B" w:rsidP="00DC5B3C">
            <w:pPr>
              <w:rPr>
                <w:sz w:val="18"/>
                <w:szCs w:val="18"/>
              </w:rPr>
            </w:pPr>
            <w:r w:rsidRPr="00732EED">
              <w:rPr>
                <w:sz w:val="18"/>
                <w:szCs w:val="18"/>
              </w:rPr>
              <w:t>0.2447 (24.47%)</w:t>
            </w:r>
          </w:p>
        </w:tc>
        <w:tc>
          <w:tcPr>
            <w:tcW w:w="1824" w:type="pct"/>
          </w:tcPr>
          <w:p w14:paraId="6FBDB86C" w14:textId="77777777" w:rsidR="00E9589B" w:rsidRPr="00732EED" w:rsidRDefault="00E9589B" w:rsidP="00DC5B3C">
            <w:pPr>
              <w:rPr>
                <w:sz w:val="18"/>
                <w:szCs w:val="18"/>
              </w:rPr>
            </w:pPr>
            <w:r w:rsidRPr="00732EED">
              <w:rPr>
                <w:sz w:val="18"/>
                <w:szCs w:val="18"/>
              </w:rPr>
              <w:t>9,11,16,21,24,27,32,33,34,37,39,45,55,57,59,60,65,69,70,73,80,86</w:t>
            </w:r>
          </w:p>
        </w:tc>
      </w:tr>
      <w:tr w:rsidR="00E9589B" w:rsidRPr="00732EED" w14:paraId="4EBBA5AE" w14:textId="77777777" w:rsidTr="001F2CA8">
        <w:tc>
          <w:tcPr>
            <w:tcW w:w="505" w:type="pct"/>
          </w:tcPr>
          <w:p w14:paraId="5ABF10A1" w14:textId="77777777" w:rsidR="00E9589B" w:rsidRPr="00732EED" w:rsidRDefault="00E9589B" w:rsidP="00DC5B3C">
            <w:pPr>
              <w:pStyle w:val="NoSpacing"/>
              <w:rPr>
                <w:sz w:val="18"/>
                <w:szCs w:val="18"/>
              </w:rPr>
            </w:pPr>
            <w:r w:rsidRPr="00732EED">
              <w:rPr>
                <w:sz w:val="18"/>
                <w:szCs w:val="18"/>
              </w:rPr>
              <w:t>Psychological</w:t>
            </w:r>
          </w:p>
        </w:tc>
        <w:tc>
          <w:tcPr>
            <w:tcW w:w="205" w:type="pct"/>
          </w:tcPr>
          <w:p w14:paraId="6EEDCC33" w14:textId="77777777" w:rsidR="00E9589B" w:rsidRPr="00732EED" w:rsidRDefault="00E9589B" w:rsidP="00DC5B3C">
            <w:pPr>
              <w:rPr>
                <w:sz w:val="18"/>
                <w:szCs w:val="18"/>
              </w:rPr>
            </w:pPr>
            <w:r w:rsidRPr="00732EED">
              <w:rPr>
                <w:sz w:val="18"/>
                <w:szCs w:val="18"/>
              </w:rPr>
              <w:t>145</w:t>
            </w:r>
          </w:p>
        </w:tc>
        <w:tc>
          <w:tcPr>
            <w:tcW w:w="496" w:type="pct"/>
          </w:tcPr>
          <w:p w14:paraId="33BFA6F5" w14:textId="77777777" w:rsidR="00E9589B" w:rsidRPr="00732EED" w:rsidRDefault="00E9589B" w:rsidP="00DC5B3C">
            <w:pPr>
              <w:rPr>
                <w:sz w:val="18"/>
                <w:szCs w:val="18"/>
              </w:rPr>
            </w:pPr>
            <w:r w:rsidRPr="00732EED">
              <w:rPr>
                <w:sz w:val="18"/>
                <w:szCs w:val="18"/>
              </w:rPr>
              <w:t>1.543 (154.26%)</w:t>
            </w:r>
          </w:p>
        </w:tc>
        <w:tc>
          <w:tcPr>
            <w:tcW w:w="1158" w:type="pct"/>
          </w:tcPr>
          <w:p w14:paraId="5A74C42B" w14:textId="77777777" w:rsidR="00E9589B" w:rsidRPr="00732EED" w:rsidRDefault="00E9589B" w:rsidP="00DC5B3C">
            <w:pPr>
              <w:rPr>
                <w:sz w:val="18"/>
                <w:szCs w:val="18"/>
              </w:rPr>
            </w:pPr>
            <w:r w:rsidRPr="00732EED">
              <w:rPr>
                <w:sz w:val="18"/>
                <w:szCs w:val="18"/>
              </w:rPr>
              <w:t>Trauma/PTSD &amp; Abuse</w:t>
            </w:r>
          </w:p>
        </w:tc>
        <w:tc>
          <w:tcPr>
            <w:tcW w:w="285" w:type="pct"/>
          </w:tcPr>
          <w:p w14:paraId="4C96842E" w14:textId="77777777" w:rsidR="00E9589B" w:rsidRPr="00732EED" w:rsidRDefault="00E9589B" w:rsidP="00DC5B3C">
            <w:pPr>
              <w:rPr>
                <w:sz w:val="18"/>
                <w:szCs w:val="18"/>
              </w:rPr>
            </w:pPr>
            <w:r w:rsidRPr="00732EED">
              <w:rPr>
                <w:sz w:val="18"/>
                <w:szCs w:val="18"/>
              </w:rPr>
              <w:t>18</w:t>
            </w:r>
          </w:p>
        </w:tc>
        <w:tc>
          <w:tcPr>
            <w:tcW w:w="527" w:type="pct"/>
          </w:tcPr>
          <w:p w14:paraId="4559BB64" w14:textId="77777777" w:rsidR="00E9589B" w:rsidRPr="00732EED" w:rsidRDefault="00E9589B" w:rsidP="00DC5B3C">
            <w:pPr>
              <w:rPr>
                <w:sz w:val="18"/>
                <w:szCs w:val="18"/>
              </w:rPr>
            </w:pPr>
            <w:r w:rsidRPr="00732EED">
              <w:rPr>
                <w:sz w:val="18"/>
                <w:szCs w:val="18"/>
              </w:rPr>
              <w:t>0.1915 (19.15%)</w:t>
            </w:r>
          </w:p>
        </w:tc>
        <w:tc>
          <w:tcPr>
            <w:tcW w:w="1824" w:type="pct"/>
          </w:tcPr>
          <w:p w14:paraId="1E76CDA3" w14:textId="77777777" w:rsidR="00E9589B" w:rsidRPr="00732EED" w:rsidRDefault="00E9589B" w:rsidP="00DC5B3C">
            <w:pPr>
              <w:rPr>
                <w:sz w:val="18"/>
                <w:szCs w:val="18"/>
              </w:rPr>
            </w:pPr>
            <w:r w:rsidRPr="00732EED">
              <w:rPr>
                <w:sz w:val="18"/>
                <w:szCs w:val="18"/>
              </w:rPr>
              <w:t>11,21,31,33,37,40,55,59,65,70,72,78,80,82,85,86,93</w:t>
            </w:r>
          </w:p>
        </w:tc>
      </w:tr>
      <w:tr w:rsidR="00E9589B" w:rsidRPr="00732EED" w14:paraId="5698B498"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0FCFD849" w14:textId="77777777" w:rsidR="00E9589B" w:rsidRPr="00732EED" w:rsidRDefault="00E9589B" w:rsidP="00DC5B3C">
            <w:pPr>
              <w:pStyle w:val="NoSpacing"/>
              <w:rPr>
                <w:sz w:val="18"/>
                <w:szCs w:val="18"/>
              </w:rPr>
            </w:pPr>
            <w:r w:rsidRPr="00732EED">
              <w:rPr>
                <w:sz w:val="18"/>
                <w:szCs w:val="18"/>
              </w:rPr>
              <w:t>Psychological</w:t>
            </w:r>
          </w:p>
        </w:tc>
        <w:tc>
          <w:tcPr>
            <w:tcW w:w="205" w:type="pct"/>
          </w:tcPr>
          <w:p w14:paraId="33A9145B" w14:textId="77777777" w:rsidR="00E9589B" w:rsidRPr="00732EED" w:rsidRDefault="00E9589B" w:rsidP="00DC5B3C">
            <w:pPr>
              <w:rPr>
                <w:sz w:val="18"/>
                <w:szCs w:val="18"/>
              </w:rPr>
            </w:pPr>
            <w:r w:rsidRPr="00732EED">
              <w:rPr>
                <w:sz w:val="18"/>
                <w:szCs w:val="18"/>
              </w:rPr>
              <w:t>145</w:t>
            </w:r>
          </w:p>
        </w:tc>
        <w:tc>
          <w:tcPr>
            <w:tcW w:w="496" w:type="pct"/>
          </w:tcPr>
          <w:p w14:paraId="787EA47F" w14:textId="77777777" w:rsidR="00E9589B" w:rsidRPr="00732EED" w:rsidRDefault="00E9589B" w:rsidP="00DC5B3C">
            <w:pPr>
              <w:rPr>
                <w:sz w:val="18"/>
                <w:szCs w:val="18"/>
              </w:rPr>
            </w:pPr>
            <w:r w:rsidRPr="00732EED">
              <w:rPr>
                <w:sz w:val="18"/>
                <w:szCs w:val="18"/>
              </w:rPr>
              <w:t>1.543 (154.26%)</w:t>
            </w:r>
          </w:p>
        </w:tc>
        <w:tc>
          <w:tcPr>
            <w:tcW w:w="1158" w:type="pct"/>
          </w:tcPr>
          <w:p w14:paraId="2D799A3E" w14:textId="77777777" w:rsidR="00E9589B" w:rsidRPr="00732EED" w:rsidRDefault="00E9589B" w:rsidP="00DC5B3C">
            <w:pPr>
              <w:rPr>
                <w:sz w:val="18"/>
                <w:szCs w:val="18"/>
              </w:rPr>
            </w:pPr>
            <w:r w:rsidRPr="00732EED">
              <w:rPr>
                <w:sz w:val="18"/>
                <w:szCs w:val="18"/>
              </w:rPr>
              <w:t>Suicidality / “Life not worth living”</w:t>
            </w:r>
          </w:p>
        </w:tc>
        <w:tc>
          <w:tcPr>
            <w:tcW w:w="285" w:type="pct"/>
          </w:tcPr>
          <w:p w14:paraId="2D1F0AFA" w14:textId="77777777" w:rsidR="00E9589B" w:rsidRPr="00732EED" w:rsidRDefault="00E9589B" w:rsidP="00DC5B3C">
            <w:pPr>
              <w:rPr>
                <w:sz w:val="18"/>
                <w:szCs w:val="18"/>
              </w:rPr>
            </w:pPr>
            <w:r w:rsidRPr="00732EED">
              <w:rPr>
                <w:sz w:val="18"/>
                <w:szCs w:val="18"/>
              </w:rPr>
              <w:t>13</w:t>
            </w:r>
          </w:p>
        </w:tc>
        <w:tc>
          <w:tcPr>
            <w:tcW w:w="527" w:type="pct"/>
          </w:tcPr>
          <w:p w14:paraId="1AF4D31E" w14:textId="77777777" w:rsidR="00E9589B" w:rsidRPr="00732EED" w:rsidRDefault="00E9589B" w:rsidP="00DC5B3C">
            <w:pPr>
              <w:rPr>
                <w:sz w:val="18"/>
                <w:szCs w:val="18"/>
              </w:rPr>
            </w:pPr>
            <w:r w:rsidRPr="00732EED">
              <w:rPr>
                <w:sz w:val="18"/>
                <w:szCs w:val="18"/>
              </w:rPr>
              <w:t>0.1383 (13.83%)</w:t>
            </w:r>
          </w:p>
        </w:tc>
        <w:tc>
          <w:tcPr>
            <w:tcW w:w="1824" w:type="pct"/>
          </w:tcPr>
          <w:p w14:paraId="3D53E583" w14:textId="77777777" w:rsidR="00E9589B" w:rsidRPr="00732EED" w:rsidRDefault="00E9589B" w:rsidP="00DC5B3C">
            <w:pPr>
              <w:rPr>
                <w:sz w:val="18"/>
                <w:szCs w:val="18"/>
              </w:rPr>
            </w:pPr>
            <w:r w:rsidRPr="00732EED">
              <w:rPr>
                <w:sz w:val="18"/>
                <w:szCs w:val="18"/>
              </w:rPr>
              <w:t>19,24,25,27,32,37,46,47,48,64,72,89,93</w:t>
            </w:r>
          </w:p>
        </w:tc>
      </w:tr>
      <w:tr w:rsidR="00E9589B" w:rsidRPr="00732EED" w14:paraId="5957DD91" w14:textId="77777777" w:rsidTr="001F2CA8">
        <w:tc>
          <w:tcPr>
            <w:tcW w:w="505" w:type="pct"/>
          </w:tcPr>
          <w:p w14:paraId="3B551B89" w14:textId="77777777" w:rsidR="00E9589B" w:rsidRPr="00732EED" w:rsidRDefault="00E9589B" w:rsidP="00DC5B3C">
            <w:pPr>
              <w:pStyle w:val="NoSpacing"/>
              <w:rPr>
                <w:sz w:val="18"/>
                <w:szCs w:val="18"/>
              </w:rPr>
            </w:pPr>
            <w:r w:rsidRPr="00732EED">
              <w:rPr>
                <w:sz w:val="18"/>
                <w:szCs w:val="18"/>
              </w:rPr>
              <w:t>Chronic Pain</w:t>
            </w:r>
          </w:p>
        </w:tc>
        <w:tc>
          <w:tcPr>
            <w:tcW w:w="205" w:type="pct"/>
          </w:tcPr>
          <w:p w14:paraId="4B0E3B53" w14:textId="77777777" w:rsidR="00E9589B" w:rsidRPr="00732EED" w:rsidRDefault="00E9589B" w:rsidP="00DC5B3C">
            <w:pPr>
              <w:rPr>
                <w:sz w:val="18"/>
                <w:szCs w:val="18"/>
              </w:rPr>
            </w:pPr>
            <w:r w:rsidRPr="00732EED">
              <w:rPr>
                <w:sz w:val="18"/>
                <w:szCs w:val="18"/>
              </w:rPr>
              <w:t>120</w:t>
            </w:r>
          </w:p>
        </w:tc>
        <w:tc>
          <w:tcPr>
            <w:tcW w:w="496" w:type="pct"/>
          </w:tcPr>
          <w:p w14:paraId="7C06AFD9" w14:textId="77777777" w:rsidR="00E9589B" w:rsidRPr="00732EED" w:rsidRDefault="00E9589B" w:rsidP="00DC5B3C">
            <w:pPr>
              <w:rPr>
                <w:sz w:val="18"/>
                <w:szCs w:val="18"/>
              </w:rPr>
            </w:pPr>
            <w:r w:rsidRPr="00732EED">
              <w:rPr>
                <w:sz w:val="18"/>
                <w:szCs w:val="18"/>
              </w:rPr>
              <w:t>1.2766 (127.66%)</w:t>
            </w:r>
          </w:p>
        </w:tc>
        <w:tc>
          <w:tcPr>
            <w:tcW w:w="1158" w:type="pct"/>
          </w:tcPr>
          <w:p w14:paraId="279509BA" w14:textId="77777777" w:rsidR="00E9589B" w:rsidRPr="00732EED" w:rsidRDefault="00E9589B" w:rsidP="00DC5B3C">
            <w:pPr>
              <w:rPr>
                <w:sz w:val="18"/>
                <w:szCs w:val="18"/>
              </w:rPr>
            </w:pPr>
            <w:r w:rsidRPr="00732EED">
              <w:rPr>
                <w:sz w:val="18"/>
                <w:szCs w:val="18"/>
              </w:rPr>
              <w:t>Dominance / “Pain is the master”</w:t>
            </w:r>
          </w:p>
        </w:tc>
        <w:tc>
          <w:tcPr>
            <w:tcW w:w="285" w:type="pct"/>
          </w:tcPr>
          <w:p w14:paraId="1BA2DBA5" w14:textId="77777777" w:rsidR="00E9589B" w:rsidRPr="00732EED" w:rsidRDefault="00E9589B" w:rsidP="00DC5B3C">
            <w:pPr>
              <w:rPr>
                <w:sz w:val="18"/>
                <w:szCs w:val="18"/>
              </w:rPr>
            </w:pPr>
            <w:r w:rsidRPr="00732EED">
              <w:rPr>
                <w:sz w:val="18"/>
                <w:szCs w:val="18"/>
              </w:rPr>
              <w:t>35</w:t>
            </w:r>
          </w:p>
        </w:tc>
        <w:tc>
          <w:tcPr>
            <w:tcW w:w="527" w:type="pct"/>
          </w:tcPr>
          <w:p w14:paraId="51D10FD3" w14:textId="77777777" w:rsidR="00E9589B" w:rsidRPr="00732EED" w:rsidRDefault="00E9589B" w:rsidP="00DC5B3C">
            <w:pPr>
              <w:rPr>
                <w:sz w:val="18"/>
                <w:szCs w:val="18"/>
              </w:rPr>
            </w:pPr>
            <w:r w:rsidRPr="00732EED">
              <w:rPr>
                <w:sz w:val="18"/>
                <w:szCs w:val="18"/>
              </w:rPr>
              <w:t>0.3723 (37.23%)</w:t>
            </w:r>
          </w:p>
        </w:tc>
        <w:tc>
          <w:tcPr>
            <w:tcW w:w="1824" w:type="pct"/>
          </w:tcPr>
          <w:p w14:paraId="5C58E50C" w14:textId="77777777" w:rsidR="00E9589B" w:rsidRPr="00732EED" w:rsidRDefault="00E9589B" w:rsidP="00DC5B3C">
            <w:pPr>
              <w:rPr>
                <w:sz w:val="18"/>
                <w:szCs w:val="18"/>
              </w:rPr>
            </w:pPr>
            <w:r w:rsidRPr="00732EED">
              <w:rPr>
                <w:sz w:val="18"/>
                <w:szCs w:val="18"/>
              </w:rPr>
              <w:t>1,3,6,10,18,19,21,24,25,27,29,31,32,37,39–41,46–49,52,55,57,59,61,63,64,66,70,72,80,93</w:t>
            </w:r>
          </w:p>
        </w:tc>
      </w:tr>
      <w:tr w:rsidR="00E9589B" w:rsidRPr="00732EED" w14:paraId="41D4BC62"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1ADBE636" w14:textId="77777777" w:rsidR="00E9589B" w:rsidRPr="00732EED" w:rsidRDefault="00E9589B" w:rsidP="00DC5B3C">
            <w:pPr>
              <w:pStyle w:val="NoSpacing"/>
              <w:rPr>
                <w:sz w:val="18"/>
                <w:szCs w:val="18"/>
              </w:rPr>
            </w:pPr>
            <w:r w:rsidRPr="00732EED">
              <w:rPr>
                <w:sz w:val="18"/>
                <w:szCs w:val="18"/>
              </w:rPr>
              <w:t>Chronic Pain</w:t>
            </w:r>
          </w:p>
        </w:tc>
        <w:tc>
          <w:tcPr>
            <w:tcW w:w="205" w:type="pct"/>
          </w:tcPr>
          <w:p w14:paraId="011B53A1" w14:textId="77777777" w:rsidR="00E9589B" w:rsidRPr="00732EED" w:rsidRDefault="00E9589B" w:rsidP="00DC5B3C">
            <w:pPr>
              <w:rPr>
                <w:sz w:val="18"/>
                <w:szCs w:val="18"/>
              </w:rPr>
            </w:pPr>
            <w:r w:rsidRPr="00732EED">
              <w:rPr>
                <w:sz w:val="18"/>
                <w:szCs w:val="18"/>
              </w:rPr>
              <w:t>120</w:t>
            </w:r>
          </w:p>
        </w:tc>
        <w:tc>
          <w:tcPr>
            <w:tcW w:w="496" w:type="pct"/>
          </w:tcPr>
          <w:p w14:paraId="1063E8D6" w14:textId="77777777" w:rsidR="00E9589B" w:rsidRPr="00732EED" w:rsidRDefault="00E9589B" w:rsidP="00DC5B3C">
            <w:pPr>
              <w:rPr>
                <w:sz w:val="18"/>
                <w:szCs w:val="18"/>
              </w:rPr>
            </w:pPr>
            <w:r w:rsidRPr="00732EED">
              <w:rPr>
                <w:sz w:val="18"/>
                <w:szCs w:val="18"/>
              </w:rPr>
              <w:t>1.2766 (127.66%)</w:t>
            </w:r>
          </w:p>
        </w:tc>
        <w:tc>
          <w:tcPr>
            <w:tcW w:w="1158" w:type="pct"/>
          </w:tcPr>
          <w:p w14:paraId="63E806B3" w14:textId="77777777" w:rsidR="00E9589B" w:rsidRPr="00732EED" w:rsidRDefault="00E9589B" w:rsidP="00DC5B3C">
            <w:pPr>
              <w:rPr>
                <w:sz w:val="18"/>
                <w:szCs w:val="18"/>
              </w:rPr>
            </w:pPr>
            <w:r w:rsidRPr="00732EED">
              <w:rPr>
                <w:sz w:val="18"/>
                <w:szCs w:val="18"/>
              </w:rPr>
              <w:t>Suffering &amp; Distress</w:t>
            </w:r>
          </w:p>
        </w:tc>
        <w:tc>
          <w:tcPr>
            <w:tcW w:w="285" w:type="pct"/>
          </w:tcPr>
          <w:p w14:paraId="5755E5C4" w14:textId="77777777" w:rsidR="00E9589B" w:rsidRPr="00732EED" w:rsidRDefault="00E9589B" w:rsidP="00DC5B3C">
            <w:pPr>
              <w:rPr>
                <w:sz w:val="18"/>
                <w:szCs w:val="18"/>
              </w:rPr>
            </w:pPr>
            <w:r w:rsidRPr="00732EED">
              <w:rPr>
                <w:sz w:val="18"/>
                <w:szCs w:val="18"/>
              </w:rPr>
              <w:t>32</w:t>
            </w:r>
          </w:p>
        </w:tc>
        <w:tc>
          <w:tcPr>
            <w:tcW w:w="527" w:type="pct"/>
          </w:tcPr>
          <w:p w14:paraId="155C858B" w14:textId="77777777" w:rsidR="00E9589B" w:rsidRPr="00732EED" w:rsidRDefault="00E9589B" w:rsidP="00DC5B3C">
            <w:pPr>
              <w:rPr>
                <w:sz w:val="18"/>
                <w:szCs w:val="18"/>
              </w:rPr>
            </w:pPr>
            <w:r w:rsidRPr="00732EED">
              <w:rPr>
                <w:sz w:val="18"/>
                <w:szCs w:val="18"/>
              </w:rPr>
              <w:t>0.3404 (34.04%)</w:t>
            </w:r>
          </w:p>
        </w:tc>
        <w:tc>
          <w:tcPr>
            <w:tcW w:w="1824" w:type="pct"/>
          </w:tcPr>
          <w:p w14:paraId="197BEA35" w14:textId="77777777" w:rsidR="00E9589B" w:rsidRPr="00732EED" w:rsidRDefault="00E9589B" w:rsidP="00DC5B3C">
            <w:pPr>
              <w:rPr>
                <w:sz w:val="18"/>
                <w:szCs w:val="18"/>
              </w:rPr>
            </w:pPr>
            <w:r w:rsidRPr="00732EED">
              <w:rPr>
                <w:sz w:val="18"/>
                <w:szCs w:val="18"/>
              </w:rPr>
              <w:t>2,3,5,7,10,14,15,18,19,21,24,25–27,29,31–33,37,40,45,52,55,59,61,66,70,72,78,80,93</w:t>
            </w:r>
          </w:p>
        </w:tc>
      </w:tr>
      <w:tr w:rsidR="00E9589B" w:rsidRPr="00732EED" w14:paraId="5E57EA9B" w14:textId="77777777" w:rsidTr="001F2CA8">
        <w:tc>
          <w:tcPr>
            <w:tcW w:w="505" w:type="pct"/>
          </w:tcPr>
          <w:p w14:paraId="194BE03C" w14:textId="77777777" w:rsidR="00E9589B" w:rsidRPr="00732EED" w:rsidRDefault="00E9589B" w:rsidP="00DC5B3C">
            <w:pPr>
              <w:pStyle w:val="NoSpacing"/>
              <w:rPr>
                <w:sz w:val="18"/>
                <w:szCs w:val="18"/>
              </w:rPr>
            </w:pPr>
            <w:r w:rsidRPr="00732EED">
              <w:rPr>
                <w:sz w:val="18"/>
                <w:szCs w:val="18"/>
              </w:rPr>
              <w:t>Chronic Pain</w:t>
            </w:r>
          </w:p>
        </w:tc>
        <w:tc>
          <w:tcPr>
            <w:tcW w:w="205" w:type="pct"/>
          </w:tcPr>
          <w:p w14:paraId="0EE60F1A" w14:textId="77777777" w:rsidR="00E9589B" w:rsidRPr="00732EED" w:rsidRDefault="00E9589B" w:rsidP="00DC5B3C">
            <w:pPr>
              <w:rPr>
                <w:sz w:val="18"/>
                <w:szCs w:val="18"/>
              </w:rPr>
            </w:pPr>
            <w:r w:rsidRPr="00732EED">
              <w:rPr>
                <w:sz w:val="18"/>
                <w:szCs w:val="18"/>
              </w:rPr>
              <w:t>120</w:t>
            </w:r>
          </w:p>
        </w:tc>
        <w:tc>
          <w:tcPr>
            <w:tcW w:w="496" w:type="pct"/>
          </w:tcPr>
          <w:p w14:paraId="2ADE1FDB" w14:textId="77777777" w:rsidR="00E9589B" w:rsidRPr="00732EED" w:rsidRDefault="00E9589B" w:rsidP="00DC5B3C">
            <w:pPr>
              <w:rPr>
                <w:sz w:val="18"/>
                <w:szCs w:val="18"/>
              </w:rPr>
            </w:pPr>
            <w:r w:rsidRPr="00732EED">
              <w:rPr>
                <w:sz w:val="18"/>
                <w:szCs w:val="18"/>
              </w:rPr>
              <w:t>1.2766 (127.66%)</w:t>
            </w:r>
          </w:p>
        </w:tc>
        <w:tc>
          <w:tcPr>
            <w:tcW w:w="1158" w:type="pct"/>
          </w:tcPr>
          <w:p w14:paraId="2678CC02" w14:textId="77777777" w:rsidR="00E9589B" w:rsidRPr="00732EED" w:rsidRDefault="00E9589B" w:rsidP="00DC5B3C">
            <w:pPr>
              <w:rPr>
                <w:sz w:val="18"/>
                <w:szCs w:val="18"/>
              </w:rPr>
            </w:pPr>
            <w:r w:rsidRPr="00732EED">
              <w:rPr>
                <w:sz w:val="18"/>
                <w:szCs w:val="18"/>
              </w:rPr>
              <w:t>Variability &amp; Mystery</w:t>
            </w:r>
          </w:p>
        </w:tc>
        <w:tc>
          <w:tcPr>
            <w:tcW w:w="285" w:type="pct"/>
          </w:tcPr>
          <w:p w14:paraId="03372C17" w14:textId="77777777" w:rsidR="00E9589B" w:rsidRPr="00732EED" w:rsidRDefault="00E9589B" w:rsidP="00DC5B3C">
            <w:pPr>
              <w:rPr>
                <w:sz w:val="18"/>
                <w:szCs w:val="18"/>
              </w:rPr>
            </w:pPr>
            <w:r w:rsidRPr="00732EED">
              <w:rPr>
                <w:sz w:val="18"/>
                <w:szCs w:val="18"/>
              </w:rPr>
              <w:t>23</w:t>
            </w:r>
          </w:p>
        </w:tc>
        <w:tc>
          <w:tcPr>
            <w:tcW w:w="527" w:type="pct"/>
          </w:tcPr>
          <w:p w14:paraId="76A32D24" w14:textId="77777777" w:rsidR="00E9589B" w:rsidRPr="00732EED" w:rsidRDefault="00E9589B" w:rsidP="00DC5B3C">
            <w:pPr>
              <w:rPr>
                <w:sz w:val="18"/>
                <w:szCs w:val="18"/>
              </w:rPr>
            </w:pPr>
            <w:r w:rsidRPr="00732EED">
              <w:rPr>
                <w:sz w:val="18"/>
                <w:szCs w:val="18"/>
              </w:rPr>
              <w:t>0.2447 (24.47%)</w:t>
            </w:r>
          </w:p>
        </w:tc>
        <w:tc>
          <w:tcPr>
            <w:tcW w:w="1824" w:type="pct"/>
          </w:tcPr>
          <w:p w14:paraId="6D07C686" w14:textId="77777777" w:rsidR="00E9589B" w:rsidRPr="00732EED" w:rsidRDefault="00E9589B" w:rsidP="00DC5B3C">
            <w:pPr>
              <w:rPr>
                <w:sz w:val="18"/>
                <w:szCs w:val="18"/>
              </w:rPr>
            </w:pPr>
            <w:r w:rsidRPr="00732EED">
              <w:rPr>
                <w:sz w:val="18"/>
                <w:szCs w:val="18"/>
              </w:rPr>
              <w:t>1,6,7,10,18,19,24,29,37,39,40,42,54,62,66,72,74,75,78,80</w:t>
            </w:r>
          </w:p>
        </w:tc>
      </w:tr>
      <w:tr w:rsidR="00E9589B" w:rsidRPr="00732EED" w14:paraId="6AAEA0CB" w14:textId="77777777" w:rsidTr="001F2CA8">
        <w:trPr>
          <w:cnfStyle w:val="000000100000" w:firstRow="0" w:lastRow="0" w:firstColumn="0" w:lastColumn="0" w:oddVBand="0" w:evenVBand="0" w:oddHBand="1" w:evenHBand="0" w:firstRowFirstColumn="0" w:firstRowLastColumn="0" w:lastRowFirstColumn="0" w:lastRowLastColumn="0"/>
        </w:trPr>
        <w:tc>
          <w:tcPr>
            <w:tcW w:w="505" w:type="pct"/>
          </w:tcPr>
          <w:p w14:paraId="6DD013BF" w14:textId="77777777" w:rsidR="00E9589B" w:rsidRPr="00732EED" w:rsidRDefault="00E9589B" w:rsidP="00DC5B3C">
            <w:pPr>
              <w:pStyle w:val="NoSpacing"/>
              <w:rPr>
                <w:sz w:val="18"/>
                <w:szCs w:val="18"/>
              </w:rPr>
            </w:pPr>
            <w:r w:rsidRPr="00732EED">
              <w:rPr>
                <w:sz w:val="18"/>
                <w:szCs w:val="18"/>
              </w:rPr>
              <w:t>Chronic Pain</w:t>
            </w:r>
          </w:p>
        </w:tc>
        <w:tc>
          <w:tcPr>
            <w:tcW w:w="205" w:type="pct"/>
          </w:tcPr>
          <w:p w14:paraId="6292859D" w14:textId="77777777" w:rsidR="00E9589B" w:rsidRPr="00732EED" w:rsidRDefault="00E9589B" w:rsidP="00DC5B3C">
            <w:pPr>
              <w:rPr>
                <w:sz w:val="18"/>
                <w:szCs w:val="18"/>
              </w:rPr>
            </w:pPr>
            <w:r w:rsidRPr="00732EED">
              <w:rPr>
                <w:sz w:val="18"/>
                <w:szCs w:val="18"/>
              </w:rPr>
              <w:t>120</w:t>
            </w:r>
          </w:p>
        </w:tc>
        <w:tc>
          <w:tcPr>
            <w:tcW w:w="496" w:type="pct"/>
          </w:tcPr>
          <w:p w14:paraId="2A1CC25C" w14:textId="77777777" w:rsidR="00E9589B" w:rsidRPr="00732EED" w:rsidRDefault="00E9589B" w:rsidP="00DC5B3C">
            <w:pPr>
              <w:rPr>
                <w:sz w:val="18"/>
                <w:szCs w:val="18"/>
              </w:rPr>
            </w:pPr>
            <w:r w:rsidRPr="00732EED">
              <w:rPr>
                <w:sz w:val="18"/>
                <w:szCs w:val="18"/>
              </w:rPr>
              <w:t>1.2766 (127.66%)</w:t>
            </w:r>
          </w:p>
        </w:tc>
        <w:tc>
          <w:tcPr>
            <w:tcW w:w="1158" w:type="pct"/>
          </w:tcPr>
          <w:p w14:paraId="2C591399" w14:textId="77777777" w:rsidR="00E9589B" w:rsidRPr="00732EED" w:rsidRDefault="00E9589B" w:rsidP="00DC5B3C">
            <w:pPr>
              <w:rPr>
                <w:sz w:val="18"/>
                <w:szCs w:val="18"/>
              </w:rPr>
            </w:pPr>
            <w:r w:rsidRPr="00732EED">
              <w:rPr>
                <w:sz w:val="18"/>
                <w:szCs w:val="18"/>
              </w:rPr>
              <w:t>Mobility &amp; Function</w:t>
            </w:r>
          </w:p>
        </w:tc>
        <w:tc>
          <w:tcPr>
            <w:tcW w:w="285" w:type="pct"/>
          </w:tcPr>
          <w:p w14:paraId="705195B1" w14:textId="77777777" w:rsidR="00E9589B" w:rsidRPr="00732EED" w:rsidRDefault="00E9589B" w:rsidP="00DC5B3C">
            <w:pPr>
              <w:rPr>
                <w:sz w:val="18"/>
                <w:szCs w:val="18"/>
              </w:rPr>
            </w:pPr>
            <w:r w:rsidRPr="00732EED">
              <w:rPr>
                <w:sz w:val="18"/>
                <w:szCs w:val="18"/>
              </w:rPr>
              <w:t>20</w:t>
            </w:r>
          </w:p>
        </w:tc>
        <w:tc>
          <w:tcPr>
            <w:tcW w:w="527" w:type="pct"/>
          </w:tcPr>
          <w:p w14:paraId="04E8A196" w14:textId="77777777" w:rsidR="00E9589B" w:rsidRPr="00732EED" w:rsidRDefault="00E9589B" w:rsidP="00DC5B3C">
            <w:pPr>
              <w:rPr>
                <w:sz w:val="18"/>
                <w:szCs w:val="18"/>
              </w:rPr>
            </w:pPr>
            <w:r w:rsidRPr="00732EED">
              <w:rPr>
                <w:sz w:val="18"/>
                <w:szCs w:val="18"/>
              </w:rPr>
              <w:t>0.2128 (21.28%)</w:t>
            </w:r>
          </w:p>
        </w:tc>
        <w:tc>
          <w:tcPr>
            <w:tcW w:w="1824" w:type="pct"/>
          </w:tcPr>
          <w:p w14:paraId="6B8BBBC0" w14:textId="77777777" w:rsidR="00E9589B" w:rsidRPr="00732EED" w:rsidRDefault="00E9589B" w:rsidP="00DC5B3C">
            <w:pPr>
              <w:rPr>
                <w:sz w:val="18"/>
                <w:szCs w:val="18"/>
              </w:rPr>
            </w:pPr>
            <w:r w:rsidRPr="00732EED">
              <w:rPr>
                <w:sz w:val="18"/>
                <w:szCs w:val="18"/>
              </w:rPr>
              <w:t>1–3,10,18,19,21,24,29,31,37,39,41,46–49,50,52,55,73</w:t>
            </w:r>
          </w:p>
        </w:tc>
      </w:tr>
      <w:tr w:rsidR="00E9589B" w:rsidRPr="00732EED" w14:paraId="668F2B7A" w14:textId="77777777" w:rsidTr="001F2CA8">
        <w:tc>
          <w:tcPr>
            <w:tcW w:w="505" w:type="pct"/>
          </w:tcPr>
          <w:p w14:paraId="485B8940" w14:textId="77777777" w:rsidR="00E9589B" w:rsidRPr="00732EED" w:rsidRDefault="00E9589B" w:rsidP="00DC5B3C">
            <w:pPr>
              <w:pStyle w:val="NoSpacing"/>
              <w:rPr>
                <w:sz w:val="18"/>
                <w:szCs w:val="18"/>
              </w:rPr>
            </w:pPr>
            <w:r w:rsidRPr="00732EED">
              <w:rPr>
                <w:sz w:val="18"/>
                <w:szCs w:val="18"/>
              </w:rPr>
              <w:t>Chronic Pain</w:t>
            </w:r>
          </w:p>
        </w:tc>
        <w:tc>
          <w:tcPr>
            <w:tcW w:w="205" w:type="pct"/>
          </w:tcPr>
          <w:p w14:paraId="7AAD3F9A" w14:textId="77777777" w:rsidR="00E9589B" w:rsidRPr="00732EED" w:rsidRDefault="00E9589B" w:rsidP="00DC5B3C">
            <w:pPr>
              <w:rPr>
                <w:sz w:val="18"/>
                <w:szCs w:val="18"/>
              </w:rPr>
            </w:pPr>
            <w:r w:rsidRPr="00732EED">
              <w:rPr>
                <w:sz w:val="18"/>
                <w:szCs w:val="18"/>
              </w:rPr>
              <w:t>120</w:t>
            </w:r>
          </w:p>
        </w:tc>
        <w:tc>
          <w:tcPr>
            <w:tcW w:w="496" w:type="pct"/>
          </w:tcPr>
          <w:p w14:paraId="636DF19A" w14:textId="77777777" w:rsidR="00E9589B" w:rsidRPr="00732EED" w:rsidRDefault="00E9589B" w:rsidP="00DC5B3C">
            <w:pPr>
              <w:rPr>
                <w:sz w:val="18"/>
                <w:szCs w:val="18"/>
              </w:rPr>
            </w:pPr>
            <w:r w:rsidRPr="00732EED">
              <w:rPr>
                <w:sz w:val="18"/>
                <w:szCs w:val="18"/>
              </w:rPr>
              <w:t>1.2766 (127.66%)</w:t>
            </w:r>
          </w:p>
        </w:tc>
        <w:tc>
          <w:tcPr>
            <w:tcW w:w="1158" w:type="pct"/>
          </w:tcPr>
          <w:p w14:paraId="0BDA8820" w14:textId="77777777" w:rsidR="00E9589B" w:rsidRPr="00732EED" w:rsidRDefault="00E9589B" w:rsidP="00DC5B3C">
            <w:pPr>
              <w:rPr>
                <w:sz w:val="18"/>
                <w:szCs w:val="18"/>
              </w:rPr>
            </w:pPr>
            <w:r w:rsidRPr="00732EED">
              <w:rPr>
                <w:sz w:val="18"/>
                <w:szCs w:val="18"/>
              </w:rPr>
              <w:t>Sensory Qualities &amp; Metaphors</w:t>
            </w:r>
          </w:p>
        </w:tc>
        <w:tc>
          <w:tcPr>
            <w:tcW w:w="285" w:type="pct"/>
          </w:tcPr>
          <w:p w14:paraId="59A4EBAC" w14:textId="77777777" w:rsidR="00E9589B" w:rsidRPr="00732EED" w:rsidRDefault="00E9589B" w:rsidP="00DC5B3C">
            <w:pPr>
              <w:rPr>
                <w:sz w:val="18"/>
                <w:szCs w:val="18"/>
              </w:rPr>
            </w:pPr>
            <w:r w:rsidRPr="00732EED">
              <w:rPr>
                <w:sz w:val="18"/>
                <w:szCs w:val="18"/>
              </w:rPr>
              <w:t>10</w:t>
            </w:r>
          </w:p>
        </w:tc>
        <w:tc>
          <w:tcPr>
            <w:tcW w:w="527" w:type="pct"/>
          </w:tcPr>
          <w:p w14:paraId="26F1FA3B" w14:textId="77777777" w:rsidR="00E9589B" w:rsidRPr="00732EED" w:rsidRDefault="00E9589B" w:rsidP="00DC5B3C">
            <w:pPr>
              <w:rPr>
                <w:sz w:val="18"/>
                <w:szCs w:val="18"/>
              </w:rPr>
            </w:pPr>
            <w:r w:rsidRPr="00732EED">
              <w:rPr>
                <w:sz w:val="18"/>
                <w:szCs w:val="18"/>
              </w:rPr>
              <w:t>0.1064 (10.64%)</w:t>
            </w:r>
          </w:p>
        </w:tc>
        <w:tc>
          <w:tcPr>
            <w:tcW w:w="1824" w:type="pct"/>
          </w:tcPr>
          <w:p w14:paraId="2C196D9F" w14:textId="77777777" w:rsidR="00E9589B" w:rsidRPr="00732EED" w:rsidRDefault="00E9589B" w:rsidP="00DC5B3C">
            <w:pPr>
              <w:rPr>
                <w:sz w:val="18"/>
                <w:szCs w:val="18"/>
              </w:rPr>
            </w:pPr>
            <w:r w:rsidRPr="00732EED">
              <w:rPr>
                <w:sz w:val="18"/>
                <w:szCs w:val="18"/>
              </w:rPr>
              <w:t>3,7,10,17,23,35,40,54,72,75</w:t>
            </w:r>
          </w:p>
        </w:tc>
      </w:tr>
      <w:tr w:rsidR="00E9589B" w:rsidRPr="00732EED" w14:paraId="0FE5289D"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1D83C26F" w14:textId="77777777" w:rsidR="00E9589B" w:rsidRPr="00732EED" w:rsidRDefault="00E9589B" w:rsidP="00DC5B3C">
            <w:pPr>
              <w:pStyle w:val="NoSpacing"/>
              <w:rPr>
                <w:b w:val="0"/>
                <w:bCs w:val="0"/>
                <w:sz w:val="18"/>
                <w:szCs w:val="18"/>
              </w:rPr>
            </w:pPr>
            <w:r w:rsidRPr="00732EED">
              <w:rPr>
                <w:b w:val="0"/>
                <w:bCs w:val="0"/>
                <w:sz w:val="18"/>
                <w:szCs w:val="18"/>
              </w:rPr>
              <w:t>Cultural</w:t>
            </w:r>
          </w:p>
        </w:tc>
        <w:tc>
          <w:tcPr>
            <w:tcW w:w="205" w:type="pct"/>
          </w:tcPr>
          <w:p w14:paraId="62C6F15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50</w:t>
            </w:r>
          </w:p>
        </w:tc>
        <w:tc>
          <w:tcPr>
            <w:tcW w:w="496" w:type="pct"/>
          </w:tcPr>
          <w:p w14:paraId="0526833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0.5319 (53.19%)</w:t>
            </w:r>
          </w:p>
        </w:tc>
        <w:tc>
          <w:tcPr>
            <w:tcW w:w="1158" w:type="pct"/>
          </w:tcPr>
          <w:p w14:paraId="31845CD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Stigma &amp; Malingering</w:t>
            </w:r>
          </w:p>
        </w:tc>
        <w:tc>
          <w:tcPr>
            <w:tcW w:w="285" w:type="pct"/>
          </w:tcPr>
          <w:p w14:paraId="3DEACD7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18</w:t>
            </w:r>
          </w:p>
        </w:tc>
        <w:tc>
          <w:tcPr>
            <w:tcW w:w="527" w:type="pct"/>
          </w:tcPr>
          <w:p w14:paraId="73D8555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0.1915 (19.15%)</w:t>
            </w:r>
          </w:p>
        </w:tc>
        <w:tc>
          <w:tcPr>
            <w:tcW w:w="1824" w:type="pct"/>
          </w:tcPr>
          <w:p w14:paraId="4D4FF7E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5,7,11,14,18,19,21,24,26,28,35,45,52,61,66,72,78,82,88,89,90</w:t>
            </w:r>
          </w:p>
        </w:tc>
      </w:tr>
      <w:tr w:rsidR="00E9589B" w:rsidRPr="00732EED" w14:paraId="4321EE8B"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6553D983" w14:textId="77777777" w:rsidR="00E9589B" w:rsidRPr="00732EED" w:rsidRDefault="00E9589B" w:rsidP="00DC5B3C">
            <w:pPr>
              <w:pStyle w:val="NoSpacing"/>
              <w:rPr>
                <w:b w:val="0"/>
                <w:bCs w:val="0"/>
                <w:sz w:val="18"/>
                <w:szCs w:val="18"/>
              </w:rPr>
            </w:pPr>
            <w:r w:rsidRPr="00732EED">
              <w:rPr>
                <w:b w:val="0"/>
                <w:bCs w:val="0"/>
                <w:sz w:val="18"/>
                <w:szCs w:val="18"/>
              </w:rPr>
              <w:t>Cultural</w:t>
            </w:r>
          </w:p>
        </w:tc>
        <w:tc>
          <w:tcPr>
            <w:tcW w:w="205" w:type="pct"/>
          </w:tcPr>
          <w:p w14:paraId="5CCC658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50</w:t>
            </w:r>
          </w:p>
        </w:tc>
        <w:tc>
          <w:tcPr>
            <w:tcW w:w="496" w:type="pct"/>
          </w:tcPr>
          <w:p w14:paraId="2860F92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0.5319 (53.19%)</w:t>
            </w:r>
          </w:p>
        </w:tc>
        <w:tc>
          <w:tcPr>
            <w:tcW w:w="1158" w:type="pct"/>
          </w:tcPr>
          <w:p w14:paraId="2B438E6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Pain Beliefs &amp; Explanatory Models</w:t>
            </w:r>
          </w:p>
        </w:tc>
        <w:tc>
          <w:tcPr>
            <w:tcW w:w="285" w:type="pct"/>
          </w:tcPr>
          <w:p w14:paraId="59BB16E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12</w:t>
            </w:r>
          </w:p>
        </w:tc>
        <w:tc>
          <w:tcPr>
            <w:tcW w:w="527" w:type="pct"/>
          </w:tcPr>
          <w:p w14:paraId="796B788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0.1277 (12.77%)</w:t>
            </w:r>
          </w:p>
        </w:tc>
        <w:tc>
          <w:tcPr>
            <w:tcW w:w="1824" w:type="pct"/>
          </w:tcPr>
          <w:p w14:paraId="2AFCE67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2,7,18,19,21,24,33,39,42,62,66,72,80,90</w:t>
            </w:r>
          </w:p>
        </w:tc>
      </w:tr>
      <w:tr w:rsidR="00E9589B" w:rsidRPr="00732EED" w14:paraId="139C7468"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07C934C0" w14:textId="77777777" w:rsidR="00E9589B" w:rsidRPr="00732EED" w:rsidRDefault="00E9589B" w:rsidP="00DC5B3C">
            <w:pPr>
              <w:pStyle w:val="NoSpacing"/>
              <w:rPr>
                <w:b w:val="0"/>
                <w:bCs w:val="0"/>
                <w:sz w:val="18"/>
                <w:szCs w:val="18"/>
              </w:rPr>
            </w:pPr>
            <w:r w:rsidRPr="00732EED">
              <w:rPr>
                <w:b w:val="0"/>
                <w:bCs w:val="0"/>
                <w:sz w:val="18"/>
                <w:szCs w:val="18"/>
              </w:rPr>
              <w:t>Cultural</w:t>
            </w:r>
          </w:p>
        </w:tc>
        <w:tc>
          <w:tcPr>
            <w:tcW w:w="205" w:type="pct"/>
          </w:tcPr>
          <w:p w14:paraId="4CF94C9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50</w:t>
            </w:r>
          </w:p>
        </w:tc>
        <w:tc>
          <w:tcPr>
            <w:tcW w:w="496" w:type="pct"/>
          </w:tcPr>
          <w:p w14:paraId="12FC287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0.5319 (53.19%)</w:t>
            </w:r>
          </w:p>
        </w:tc>
        <w:tc>
          <w:tcPr>
            <w:tcW w:w="1158" w:type="pct"/>
          </w:tcPr>
          <w:p w14:paraId="6EA8BDA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Gender Norms &amp; Roles</w:t>
            </w:r>
          </w:p>
        </w:tc>
        <w:tc>
          <w:tcPr>
            <w:tcW w:w="285" w:type="pct"/>
          </w:tcPr>
          <w:p w14:paraId="5A81D0B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10</w:t>
            </w:r>
          </w:p>
        </w:tc>
        <w:tc>
          <w:tcPr>
            <w:tcW w:w="527" w:type="pct"/>
          </w:tcPr>
          <w:p w14:paraId="4130FD4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0.1064 (10.64%)</w:t>
            </w:r>
          </w:p>
        </w:tc>
        <w:tc>
          <w:tcPr>
            <w:tcW w:w="1824" w:type="pct"/>
          </w:tcPr>
          <w:p w14:paraId="0F71963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2,11,21,35,38,55,68,70,78,85,88,90</w:t>
            </w:r>
          </w:p>
        </w:tc>
      </w:tr>
      <w:tr w:rsidR="00E9589B" w:rsidRPr="00732EED" w14:paraId="3C7E1692"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742A64A3" w14:textId="77777777" w:rsidR="00E9589B" w:rsidRPr="00732EED" w:rsidRDefault="00E9589B" w:rsidP="00DC5B3C">
            <w:pPr>
              <w:pStyle w:val="NoSpacing"/>
              <w:rPr>
                <w:b w:val="0"/>
                <w:bCs w:val="0"/>
                <w:sz w:val="18"/>
                <w:szCs w:val="18"/>
              </w:rPr>
            </w:pPr>
            <w:r w:rsidRPr="00732EED">
              <w:rPr>
                <w:b w:val="0"/>
                <w:bCs w:val="0"/>
                <w:sz w:val="18"/>
                <w:szCs w:val="18"/>
              </w:rPr>
              <w:t>Cultural</w:t>
            </w:r>
          </w:p>
        </w:tc>
        <w:tc>
          <w:tcPr>
            <w:tcW w:w="205" w:type="pct"/>
          </w:tcPr>
          <w:p w14:paraId="1963BD86"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50</w:t>
            </w:r>
          </w:p>
        </w:tc>
        <w:tc>
          <w:tcPr>
            <w:tcW w:w="496" w:type="pct"/>
          </w:tcPr>
          <w:p w14:paraId="226A7E5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0.5319 (53.19%)</w:t>
            </w:r>
          </w:p>
        </w:tc>
        <w:tc>
          <w:tcPr>
            <w:tcW w:w="1158" w:type="pct"/>
          </w:tcPr>
          <w:p w14:paraId="6A7DC67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Empowerment &amp; Agency</w:t>
            </w:r>
          </w:p>
        </w:tc>
        <w:tc>
          <w:tcPr>
            <w:tcW w:w="285" w:type="pct"/>
          </w:tcPr>
          <w:p w14:paraId="7632BA0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w:t>
            </w:r>
          </w:p>
        </w:tc>
        <w:tc>
          <w:tcPr>
            <w:tcW w:w="527" w:type="pct"/>
          </w:tcPr>
          <w:p w14:paraId="1317D51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0.0745 (7.45%)</w:t>
            </w:r>
          </w:p>
        </w:tc>
        <w:tc>
          <w:tcPr>
            <w:tcW w:w="1824" w:type="pct"/>
          </w:tcPr>
          <w:p w14:paraId="1455D94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9,16,17,33,55,60,65,69,70,79,86</w:t>
            </w:r>
          </w:p>
        </w:tc>
      </w:tr>
      <w:tr w:rsidR="00E9589B" w:rsidRPr="00732EED" w14:paraId="5A1C2F85"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4C34B056" w14:textId="77777777" w:rsidR="00E9589B" w:rsidRPr="00732EED" w:rsidRDefault="00E9589B" w:rsidP="00DC5B3C">
            <w:pPr>
              <w:pStyle w:val="NoSpacing"/>
              <w:rPr>
                <w:b w:val="0"/>
                <w:bCs w:val="0"/>
                <w:sz w:val="18"/>
                <w:szCs w:val="18"/>
              </w:rPr>
            </w:pPr>
            <w:r w:rsidRPr="00732EED">
              <w:rPr>
                <w:b w:val="0"/>
                <w:bCs w:val="0"/>
                <w:sz w:val="18"/>
                <w:szCs w:val="18"/>
              </w:rPr>
              <w:t>Cultural</w:t>
            </w:r>
          </w:p>
        </w:tc>
        <w:tc>
          <w:tcPr>
            <w:tcW w:w="205" w:type="pct"/>
          </w:tcPr>
          <w:p w14:paraId="1C5DB02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50</w:t>
            </w:r>
          </w:p>
        </w:tc>
        <w:tc>
          <w:tcPr>
            <w:tcW w:w="496" w:type="pct"/>
          </w:tcPr>
          <w:p w14:paraId="513BAAF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0.5319 (53.19%)</w:t>
            </w:r>
          </w:p>
        </w:tc>
        <w:tc>
          <w:tcPr>
            <w:tcW w:w="1158" w:type="pct"/>
          </w:tcPr>
          <w:p w14:paraId="791BE8E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Avoidance &amp; Silence</w:t>
            </w:r>
          </w:p>
        </w:tc>
        <w:tc>
          <w:tcPr>
            <w:tcW w:w="285" w:type="pct"/>
          </w:tcPr>
          <w:p w14:paraId="3EC1DD5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w:t>
            </w:r>
          </w:p>
        </w:tc>
        <w:tc>
          <w:tcPr>
            <w:tcW w:w="527" w:type="pct"/>
          </w:tcPr>
          <w:p w14:paraId="2E548E0C"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0.0319 (3.19%)</w:t>
            </w:r>
          </w:p>
        </w:tc>
        <w:tc>
          <w:tcPr>
            <w:tcW w:w="1824" w:type="pct"/>
          </w:tcPr>
          <w:p w14:paraId="7CDA347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6,18,21,37,49,55,72,75,85</w:t>
            </w:r>
          </w:p>
        </w:tc>
      </w:tr>
      <w:tr w:rsidR="00E9589B" w:rsidRPr="00732EED" w14:paraId="341E40E7"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0657DD42" w14:textId="77777777" w:rsidR="00E9589B" w:rsidRPr="00732EED" w:rsidRDefault="00E9589B" w:rsidP="00DC5B3C">
            <w:pPr>
              <w:pStyle w:val="NoSpacing"/>
              <w:rPr>
                <w:b w:val="0"/>
                <w:bCs w:val="0"/>
                <w:sz w:val="18"/>
                <w:szCs w:val="18"/>
              </w:rPr>
            </w:pPr>
            <w:r w:rsidRPr="00732EED">
              <w:rPr>
                <w:b w:val="0"/>
                <w:bCs w:val="0"/>
                <w:sz w:val="18"/>
                <w:szCs w:val="18"/>
              </w:rPr>
              <w:lastRenderedPageBreak/>
              <w:t>Cognitive</w:t>
            </w:r>
          </w:p>
        </w:tc>
        <w:tc>
          <w:tcPr>
            <w:tcW w:w="205" w:type="pct"/>
          </w:tcPr>
          <w:p w14:paraId="73CFDB9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40</w:t>
            </w:r>
          </w:p>
        </w:tc>
        <w:tc>
          <w:tcPr>
            <w:tcW w:w="496" w:type="pct"/>
          </w:tcPr>
          <w:p w14:paraId="0827BC3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0.4255 (42.55%)</w:t>
            </w:r>
          </w:p>
        </w:tc>
        <w:tc>
          <w:tcPr>
            <w:tcW w:w="1158" w:type="pct"/>
          </w:tcPr>
          <w:p w14:paraId="776C892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Catastrophizing &amp; Rumination</w:t>
            </w:r>
          </w:p>
        </w:tc>
        <w:tc>
          <w:tcPr>
            <w:tcW w:w="285" w:type="pct"/>
          </w:tcPr>
          <w:p w14:paraId="19D5C08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15</w:t>
            </w:r>
          </w:p>
        </w:tc>
        <w:tc>
          <w:tcPr>
            <w:tcW w:w="527" w:type="pct"/>
          </w:tcPr>
          <w:p w14:paraId="3848F44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0.1596 (15.96%)</w:t>
            </w:r>
          </w:p>
        </w:tc>
        <w:tc>
          <w:tcPr>
            <w:tcW w:w="1824" w:type="pct"/>
          </w:tcPr>
          <w:p w14:paraId="61D143A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10,14,18,19,24,31,33,36,39,41,59,61,72,81</w:t>
            </w:r>
          </w:p>
        </w:tc>
      </w:tr>
      <w:tr w:rsidR="00E9589B" w:rsidRPr="00732EED" w14:paraId="7AC5D517"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07ACBDD4" w14:textId="77777777" w:rsidR="00E9589B" w:rsidRPr="00732EED" w:rsidRDefault="00E9589B" w:rsidP="00DC5B3C">
            <w:pPr>
              <w:pStyle w:val="NoSpacing"/>
              <w:rPr>
                <w:b w:val="0"/>
                <w:bCs w:val="0"/>
                <w:sz w:val="18"/>
                <w:szCs w:val="18"/>
              </w:rPr>
            </w:pPr>
            <w:r w:rsidRPr="00732EED">
              <w:rPr>
                <w:b w:val="0"/>
                <w:bCs w:val="0"/>
                <w:sz w:val="18"/>
                <w:szCs w:val="18"/>
              </w:rPr>
              <w:t>Cognitive</w:t>
            </w:r>
          </w:p>
        </w:tc>
        <w:tc>
          <w:tcPr>
            <w:tcW w:w="205" w:type="pct"/>
          </w:tcPr>
          <w:p w14:paraId="08FB34A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40</w:t>
            </w:r>
          </w:p>
        </w:tc>
        <w:tc>
          <w:tcPr>
            <w:tcW w:w="496" w:type="pct"/>
          </w:tcPr>
          <w:p w14:paraId="28208F5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0.4255 (42.55%)</w:t>
            </w:r>
          </w:p>
        </w:tc>
        <w:tc>
          <w:tcPr>
            <w:tcW w:w="1158" w:type="pct"/>
          </w:tcPr>
          <w:p w14:paraId="0427C2D1"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Disease Intrusiveness</w:t>
            </w:r>
          </w:p>
        </w:tc>
        <w:tc>
          <w:tcPr>
            <w:tcW w:w="285" w:type="pct"/>
          </w:tcPr>
          <w:p w14:paraId="046986F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10</w:t>
            </w:r>
          </w:p>
        </w:tc>
        <w:tc>
          <w:tcPr>
            <w:tcW w:w="527" w:type="pct"/>
          </w:tcPr>
          <w:p w14:paraId="5F6BB707"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0.1064 (10.64%)</w:t>
            </w:r>
          </w:p>
        </w:tc>
        <w:tc>
          <w:tcPr>
            <w:tcW w:w="1824" w:type="pct"/>
          </w:tcPr>
          <w:p w14:paraId="425966B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10,18,19,21,24,25,27,39,59,72,81,93</w:t>
            </w:r>
          </w:p>
        </w:tc>
      </w:tr>
      <w:tr w:rsidR="00E9589B" w:rsidRPr="00732EED" w14:paraId="2240C749"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128CBB0F" w14:textId="77777777" w:rsidR="00E9589B" w:rsidRPr="00732EED" w:rsidRDefault="00E9589B" w:rsidP="00DC5B3C">
            <w:pPr>
              <w:pStyle w:val="NoSpacing"/>
              <w:rPr>
                <w:b w:val="0"/>
                <w:bCs w:val="0"/>
                <w:sz w:val="18"/>
                <w:szCs w:val="18"/>
              </w:rPr>
            </w:pPr>
            <w:r w:rsidRPr="00732EED">
              <w:rPr>
                <w:b w:val="0"/>
                <w:bCs w:val="0"/>
                <w:sz w:val="18"/>
                <w:szCs w:val="18"/>
              </w:rPr>
              <w:t>Cognitive</w:t>
            </w:r>
          </w:p>
        </w:tc>
        <w:tc>
          <w:tcPr>
            <w:tcW w:w="205" w:type="pct"/>
          </w:tcPr>
          <w:p w14:paraId="3BF0F0E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40</w:t>
            </w:r>
          </w:p>
        </w:tc>
        <w:tc>
          <w:tcPr>
            <w:tcW w:w="496" w:type="pct"/>
          </w:tcPr>
          <w:p w14:paraId="2556F8E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0.4255 (42.55%)</w:t>
            </w:r>
          </w:p>
        </w:tc>
        <w:tc>
          <w:tcPr>
            <w:tcW w:w="1158" w:type="pct"/>
          </w:tcPr>
          <w:p w14:paraId="1497A31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Existential Angst &amp; Meaning</w:t>
            </w:r>
          </w:p>
        </w:tc>
        <w:tc>
          <w:tcPr>
            <w:tcW w:w="285" w:type="pct"/>
          </w:tcPr>
          <w:p w14:paraId="185875C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8</w:t>
            </w:r>
          </w:p>
        </w:tc>
        <w:tc>
          <w:tcPr>
            <w:tcW w:w="527" w:type="pct"/>
          </w:tcPr>
          <w:p w14:paraId="14AB5DF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0.0851 (8.51%)</w:t>
            </w:r>
          </w:p>
        </w:tc>
        <w:tc>
          <w:tcPr>
            <w:tcW w:w="1824" w:type="pct"/>
          </w:tcPr>
          <w:p w14:paraId="0D416EB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19,24,25,27,32,33,59,65,72,80,93</w:t>
            </w:r>
          </w:p>
        </w:tc>
      </w:tr>
      <w:tr w:rsidR="00E9589B" w:rsidRPr="00732EED" w14:paraId="43A6C3C9"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2A29F178" w14:textId="77777777" w:rsidR="00E9589B" w:rsidRPr="00732EED" w:rsidRDefault="00E9589B" w:rsidP="00DC5B3C">
            <w:pPr>
              <w:pStyle w:val="NoSpacing"/>
              <w:rPr>
                <w:b w:val="0"/>
                <w:bCs w:val="0"/>
                <w:sz w:val="18"/>
                <w:szCs w:val="18"/>
              </w:rPr>
            </w:pPr>
            <w:r w:rsidRPr="00732EED">
              <w:rPr>
                <w:b w:val="0"/>
                <w:bCs w:val="0"/>
                <w:sz w:val="18"/>
                <w:szCs w:val="18"/>
              </w:rPr>
              <w:t>Cognitive</w:t>
            </w:r>
          </w:p>
        </w:tc>
        <w:tc>
          <w:tcPr>
            <w:tcW w:w="205" w:type="pct"/>
          </w:tcPr>
          <w:p w14:paraId="26215A0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40</w:t>
            </w:r>
          </w:p>
        </w:tc>
        <w:tc>
          <w:tcPr>
            <w:tcW w:w="496" w:type="pct"/>
          </w:tcPr>
          <w:p w14:paraId="68881C7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0.4255 (42.55%)</w:t>
            </w:r>
          </w:p>
        </w:tc>
        <w:tc>
          <w:tcPr>
            <w:tcW w:w="1158" w:type="pct"/>
          </w:tcPr>
          <w:p w14:paraId="48B9754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Illness Representations / Models</w:t>
            </w:r>
          </w:p>
        </w:tc>
        <w:tc>
          <w:tcPr>
            <w:tcW w:w="285" w:type="pct"/>
          </w:tcPr>
          <w:p w14:paraId="0DD4C91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7</w:t>
            </w:r>
          </w:p>
        </w:tc>
        <w:tc>
          <w:tcPr>
            <w:tcW w:w="527" w:type="pct"/>
          </w:tcPr>
          <w:p w14:paraId="37321AF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0.0745 (7.45%)</w:t>
            </w:r>
          </w:p>
        </w:tc>
        <w:tc>
          <w:tcPr>
            <w:tcW w:w="1824" w:type="pct"/>
          </w:tcPr>
          <w:p w14:paraId="1842543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3,16,24,39,42,62,72,80</w:t>
            </w:r>
          </w:p>
        </w:tc>
      </w:tr>
      <w:tr w:rsidR="00E9589B" w:rsidRPr="00732EED" w14:paraId="0074EBD4"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6FB1DA1F" w14:textId="77777777" w:rsidR="00E9589B" w:rsidRPr="00732EED" w:rsidRDefault="00E9589B" w:rsidP="00DC5B3C">
            <w:pPr>
              <w:pStyle w:val="NoSpacing"/>
              <w:rPr>
                <w:b w:val="0"/>
                <w:bCs w:val="0"/>
                <w:sz w:val="18"/>
                <w:szCs w:val="18"/>
              </w:rPr>
            </w:pPr>
            <w:r w:rsidRPr="00732EED">
              <w:rPr>
                <w:b w:val="0"/>
                <w:bCs w:val="0"/>
                <w:sz w:val="18"/>
                <w:szCs w:val="18"/>
              </w:rPr>
              <w:t>Healthcare/System</w:t>
            </w:r>
          </w:p>
        </w:tc>
        <w:tc>
          <w:tcPr>
            <w:tcW w:w="205" w:type="pct"/>
          </w:tcPr>
          <w:p w14:paraId="1509CAE1"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130</w:t>
            </w:r>
          </w:p>
        </w:tc>
        <w:tc>
          <w:tcPr>
            <w:tcW w:w="496" w:type="pct"/>
          </w:tcPr>
          <w:p w14:paraId="33B8D7B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1.3829 (138.29%)</w:t>
            </w:r>
          </w:p>
        </w:tc>
        <w:tc>
          <w:tcPr>
            <w:tcW w:w="1158" w:type="pct"/>
          </w:tcPr>
          <w:p w14:paraId="5537F68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Validation vs Dismissal</w:t>
            </w:r>
          </w:p>
        </w:tc>
        <w:tc>
          <w:tcPr>
            <w:tcW w:w="285" w:type="pct"/>
          </w:tcPr>
          <w:p w14:paraId="5EFA30C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35</w:t>
            </w:r>
          </w:p>
        </w:tc>
        <w:tc>
          <w:tcPr>
            <w:tcW w:w="527" w:type="pct"/>
          </w:tcPr>
          <w:p w14:paraId="3F2D121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0.3723 (37.23%)</w:t>
            </w:r>
          </w:p>
        </w:tc>
        <w:tc>
          <w:tcPr>
            <w:tcW w:w="1824" w:type="pct"/>
          </w:tcPr>
          <w:p w14:paraId="3F1AC143"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4,5,7,11,14,18,19,21,24–27,35,39,41–44,45,52,53,56,57,61,62,66,68,71,72,74,80</w:t>
            </w:r>
          </w:p>
        </w:tc>
      </w:tr>
      <w:tr w:rsidR="00E9589B" w:rsidRPr="00732EED" w14:paraId="73DC7402"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2087D83E" w14:textId="77777777" w:rsidR="00E9589B" w:rsidRPr="00732EED" w:rsidRDefault="00E9589B" w:rsidP="00DC5B3C">
            <w:pPr>
              <w:pStyle w:val="NoSpacing"/>
              <w:rPr>
                <w:b w:val="0"/>
                <w:bCs w:val="0"/>
                <w:sz w:val="18"/>
                <w:szCs w:val="18"/>
              </w:rPr>
            </w:pPr>
            <w:r w:rsidRPr="00732EED">
              <w:rPr>
                <w:b w:val="0"/>
                <w:bCs w:val="0"/>
                <w:sz w:val="18"/>
                <w:szCs w:val="18"/>
              </w:rPr>
              <w:t>Healthcare/System</w:t>
            </w:r>
          </w:p>
        </w:tc>
        <w:tc>
          <w:tcPr>
            <w:tcW w:w="205" w:type="pct"/>
          </w:tcPr>
          <w:p w14:paraId="167F8D2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130</w:t>
            </w:r>
          </w:p>
        </w:tc>
        <w:tc>
          <w:tcPr>
            <w:tcW w:w="496" w:type="pct"/>
          </w:tcPr>
          <w:p w14:paraId="3656F33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1.3829 (138.29%)</w:t>
            </w:r>
          </w:p>
        </w:tc>
        <w:tc>
          <w:tcPr>
            <w:tcW w:w="1158" w:type="pct"/>
          </w:tcPr>
          <w:p w14:paraId="40BD3F3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Fragmented Care &amp; Mismatch</w:t>
            </w:r>
          </w:p>
        </w:tc>
        <w:tc>
          <w:tcPr>
            <w:tcW w:w="285" w:type="pct"/>
          </w:tcPr>
          <w:p w14:paraId="372FD66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28</w:t>
            </w:r>
          </w:p>
        </w:tc>
        <w:tc>
          <w:tcPr>
            <w:tcW w:w="527" w:type="pct"/>
          </w:tcPr>
          <w:p w14:paraId="414240E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0.2979 (29.79%)</w:t>
            </w:r>
          </w:p>
        </w:tc>
        <w:tc>
          <w:tcPr>
            <w:tcW w:w="1824" w:type="pct"/>
          </w:tcPr>
          <w:p w14:paraId="25C0E34B"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6,11,19,20,22,24,26,34,35,39,41–43,45,46–49,52,53,56,60,62,65,69,71,72</w:t>
            </w:r>
          </w:p>
        </w:tc>
      </w:tr>
      <w:tr w:rsidR="00E9589B" w:rsidRPr="00732EED" w14:paraId="139011D6"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6B5B60AB" w14:textId="77777777" w:rsidR="00E9589B" w:rsidRPr="00732EED" w:rsidRDefault="00E9589B" w:rsidP="00DC5B3C">
            <w:pPr>
              <w:pStyle w:val="NoSpacing"/>
              <w:rPr>
                <w:b w:val="0"/>
                <w:bCs w:val="0"/>
                <w:sz w:val="18"/>
                <w:szCs w:val="18"/>
              </w:rPr>
            </w:pPr>
            <w:r w:rsidRPr="00732EED">
              <w:rPr>
                <w:b w:val="0"/>
                <w:bCs w:val="0"/>
                <w:sz w:val="18"/>
                <w:szCs w:val="18"/>
              </w:rPr>
              <w:t>Healthcare/System</w:t>
            </w:r>
          </w:p>
        </w:tc>
        <w:tc>
          <w:tcPr>
            <w:tcW w:w="205" w:type="pct"/>
          </w:tcPr>
          <w:p w14:paraId="2B98685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130</w:t>
            </w:r>
          </w:p>
        </w:tc>
        <w:tc>
          <w:tcPr>
            <w:tcW w:w="496" w:type="pct"/>
          </w:tcPr>
          <w:p w14:paraId="10E7EB4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1.3829 (138.29%)</w:t>
            </w:r>
          </w:p>
        </w:tc>
        <w:tc>
          <w:tcPr>
            <w:tcW w:w="1158" w:type="pct"/>
          </w:tcPr>
          <w:p w14:paraId="2C3A17E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Access Barriers &amp; Logistics</w:t>
            </w:r>
          </w:p>
        </w:tc>
        <w:tc>
          <w:tcPr>
            <w:tcW w:w="285" w:type="pct"/>
          </w:tcPr>
          <w:p w14:paraId="4BB3BE3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25</w:t>
            </w:r>
          </w:p>
        </w:tc>
        <w:tc>
          <w:tcPr>
            <w:tcW w:w="527" w:type="pct"/>
          </w:tcPr>
          <w:p w14:paraId="4995919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0.2660 (26.60%)</w:t>
            </w:r>
          </w:p>
        </w:tc>
        <w:tc>
          <w:tcPr>
            <w:tcW w:w="1824" w:type="pct"/>
          </w:tcPr>
          <w:p w14:paraId="09FEEB2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6,18,21,34,39,49,52,53,56,57,58,61,67,68,69,71,72,74,76,79,87,88,92</w:t>
            </w:r>
          </w:p>
        </w:tc>
      </w:tr>
      <w:tr w:rsidR="00E9589B" w:rsidRPr="00732EED" w14:paraId="7DAF0674"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1908E9FB" w14:textId="77777777" w:rsidR="00E9589B" w:rsidRPr="00732EED" w:rsidRDefault="00E9589B" w:rsidP="00DC5B3C">
            <w:pPr>
              <w:pStyle w:val="NoSpacing"/>
              <w:rPr>
                <w:b w:val="0"/>
                <w:bCs w:val="0"/>
                <w:sz w:val="18"/>
                <w:szCs w:val="18"/>
              </w:rPr>
            </w:pPr>
            <w:r w:rsidRPr="00732EED">
              <w:rPr>
                <w:b w:val="0"/>
                <w:bCs w:val="0"/>
                <w:sz w:val="18"/>
                <w:szCs w:val="18"/>
              </w:rPr>
              <w:t>Healthcare/System</w:t>
            </w:r>
          </w:p>
        </w:tc>
        <w:tc>
          <w:tcPr>
            <w:tcW w:w="205" w:type="pct"/>
          </w:tcPr>
          <w:p w14:paraId="0604EE3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130</w:t>
            </w:r>
          </w:p>
        </w:tc>
        <w:tc>
          <w:tcPr>
            <w:tcW w:w="496" w:type="pct"/>
          </w:tcPr>
          <w:p w14:paraId="063492E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1.3829 (138.29%)</w:t>
            </w:r>
          </w:p>
        </w:tc>
        <w:tc>
          <w:tcPr>
            <w:tcW w:w="1158" w:type="pct"/>
          </w:tcPr>
          <w:p w14:paraId="29F3406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Positive Programs &amp; Self-Management</w:t>
            </w:r>
          </w:p>
        </w:tc>
        <w:tc>
          <w:tcPr>
            <w:tcW w:w="285" w:type="pct"/>
          </w:tcPr>
          <w:p w14:paraId="73FA0BD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24</w:t>
            </w:r>
          </w:p>
        </w:tc>
        <w:tc>
          <w:tcPr>
            <w:tcW w:w="527" w:type="pct"/>
          </w:tcPr>
          <w:p w14:paraId="5AA4932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0.2553 (25.53%)</w:t>
            </w:r>
          </w:p>
        </w:tc>
        <w:tc>
          <w:tcPr>
            <w:tcW w:w="1824" w:type="pct"/>
          </w:tcPr>
          <w:p w14:paraId="76AD9EB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12,13,16,17,32,34,39,57,58,60,62,65,69,70,71,72,80,83,86</w:t>
            </w:r>
          </w:p>
        </w:tc>
      </w:tr>
      <w:tr w:rsidR="00E9589B" w:rsidRPr="00732EED" w14:paraId="43906933"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3E979C08" w14:textId="77777777" w:rsidR="00E9589B" w:rsidRPr="00732EED" w:rsidRDefault="00E9589B" w:rsidP="00DC5B3C">
            <w:pPr>
              <w:pStyle w:val="NoSpacing"/>
              <w:rPr>
                <w:b w:val="0"/>
                <w:bCs w:val="0"/>
                <w:sz w:val="18"/>
                <w:szCs w:val="18"/>
              </w:rPr>
            </w:pPr>
            <w:r w:rsidRPr="00732EED">
              <w:rPr>
                <w:b w:val="0"/>
                <w:bCs w:val="0"/>
                <w:sz w:val="18"/>
                <w:szCs w:val="18"/>
              </w:rPr>
              <w:t>Healthcare/System</w:t>
            </w:r>
          </w:p>
        </w:tc>
        <w:tc>
          <w:tcPr>
            <w:tcW w:w="205" w:type="pct"/>
          </w:tcPr>
          <w:p w14:paraId="5949BD8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130</w:t>
            </w:r>
          </w:p>
        </w:tc>
        <w:tc>
          <w:tcPr>
            <w:tcW w:w="496" w:type="pct"/>
          </w:tcPr>
          <w:p w14:paraId="7CF940C7"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1.3829 (138.29%)</w:t>
            </w:r>
          </w:p>
        </w:tc>
        <w:tc>
          <w:tcPr>
            <w:tcW w:w="1158" w:type="pct"/>
          </w:tcPr>
          <w:p w14:paraId="013716D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System Reform &amp; Professional Views</w:t>
            </w:r>
          </w:p>
        </w:tc>
        <w:tc>
          <w:tcPr>
            <w:tcW w:w="285" w:type="pct"/>
          </w:tcPr>
          <w:p w14:paraId="39741C6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18</w:t>
            </w:r>
          </w:p>
        </w:tc>
        <w:tc>
          <w:tcPr>
            <w:tcW w:w="527" w:type="pct"/>
          </w:tcPr>
          <w:p w14:paraId="3671B31F"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0.1915 (19.15%)</w:t>
            </w:r>
          </w:p>
        </w:tc>
        <w:tc>
          <w:tcPr>
            <w:tcW w:w="1824" w:type="pct"/>
          </w:tcPr>
          <w:p w14:paraId="42F1713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34,45,65,71,72,76,79,80,84,86,92</w:t>
            </w:r>
          </w:p>
        </w:tc>
      </w:tr>
      <w:tr w:rsidR="00E9589B" w:rsidRPr="00732EED" w14:paraId="550AB6EF"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1620A1CC" w14:textId="77777777" w:rsidR="00E9589B" w:rsidRPr="00732EED" w:rsidRDefault="00E9589B" w:rsidP="00DC5B3C">
            <w:pPr>
              <w:pStyle w:val="NoSpacing"/>
              <w:rPr>
                <w:b w:val="0"/>
                <w:bCs w:val="0"/>
                <w:sz w:val="18"/>
                <w:szCs w:val="18"/>
              </w:rPr>
            </w:pPr>
            <w:r w:rsidRPr="00732EED">
              <w:rPr>
                <w:b w:val="0"/>
                <w:bCs w:val="0"/>
                <w:sz w:val="18"/>
                <w:szCs w:val="18"/>
              </w:rPr>
              <w:t>Environmental</w:t>
            </w:r>
          </w:p>
        </w:tc>
        <w:tc>
          <w:tcPr>
            <w:tcW w:w="205" w:type="pct"/>
          </w:tcPr>
          <w:p w14:paraId="7CEBC188"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w:t>
            </w:r>
          </w:p>
        </w:tc>
        <w:tc>
          <w:tcPr>
            <w:tcW w:w="496" w:type="pct"/>
          </w:tcPr>
          <w:p w14:paraId="7B6C87F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0.2128 (21.28%)</w:t>
            </w:r>
          </w:p>
        </w:tc>
        <w:tc>
          <w:tcPr>
            <w:tcW w:w="1158" w:type="pct"/>
          </w:tcPr>
          <w:p w14:paraId="0DA9482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&amp; Geography</w:t>
            </w:r>
          </w:p>
        </w:tc>
        <w:tc>
          <w:tcPr>
            <w:tcW w:w="285" w:type="pct"/>
          </w:tcPr>
          <w:p w14:paraId="3242D5C4"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9</w:t>
            </w:r>
          </w:p>
        </w:tc>
        <w:tc>
          <w:tcPr>
            <w:tcW w:w="527" w:type="pct"/>
          </w:tcPr>
          <w:p w14:paraId="490F9DD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0.0957 (9.57%)</w:t>
            </w:r>
          </w:p>
        </w:tc>
        <w:tc>
          <w:tcPr>
            <w:tcW w:w="1824" w:type="pct"/>
          </w:tcPr>
          <w:p w14:paraId="77280312"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6,18,21,34,39,49,50,58,71,72,87,89</w:t>
            </w:r>
          </w:p>
        </w:tc>
      </w:tr>
      <w:tr w:rsidR="00E9589B" w:rsidRPr="00732EED" w14:paraId="4604A5A9"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1718D029" w14:textId="77777777" w:rsidR="00E9589B" w:rsidRPr="00732EED" w:rsidRDefault="00E9589B" w:rsidP="00DC5B3C">
            <w:pPr>
              <w:pStyle w:val="NoSpacing"/>
              <w:rPr>
                <w:b w:val="0"/>
                <w:bCs w:val="0"/>
                <w:sz w:val="18"/>
                <w:szCs w:val="18"/>
              </w:rPr>
            </w:pPr>
            <w:r w:rsidRPr="00732EED">
              <w:rPr>
                <w:b w:val="0"/>
                <w:bCs w:val="0"/>
                <w:sz w:val="18"/>
                <w:szCs w:val="18"/>
              </w:rPr>
              <w:t>Environmental</w:t>
            </w:r>
          </w:p>
        </w:tc>
        <w:tc>
          <w:tcPr>
            <w:tcW w:w="205" w:type="pct"/>
          </w:tcPr>
          <w:p w14:paraId="2DF66680"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w:t>
            </w:r>
          </w:p>
        </w:tc>
        <w:tc>
          <w:tcPr>
            <w:tcW w:w="496" w:type="pct"/>
          </w:tcPr>
          <w:p w14:paraId="60C6F96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0.2128 (21.28%)</w:t>
            </w:r>
          </w:p>
        </w:tc>
        <w:tc>
          <w:tcPr>
            <w:tcW w:w="1158" w:type="pct"/>
          </w:tcPr>
          <w:p w14:paraId="4C5B4B3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Home/Work Environment Adaptations</w:t>
            </w:r>
          </w:p>
        </w:tc>
        <w:tc>
          <w:tcPr>
            <w:tcW w:w="285" w:type="pct"/>
          </w:tcPr>
          <w:p w14:paraId="6560A86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w:t>
            </w:r>
          </w:p>
        </w:tc>
        <w:tc>
          <w:tcPr>
            <w:tcW w:w="527" w:type="pct"/>
          </w:tcPr>
          <w:p w14:paraId="4828B508"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0.0745 (7.45%)</w:t>
            </w:r>
          </w:p>
        </w:tc>
        <w:tc>
          <w:tcPr>
            <w:tcW w:w="1824" w:type="pct"/>
          </w:tcPr>
          <w:p w14:paraId="5CB5D04B"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18,19,21,24,39,46–49,52,79,88</w:t>
            </w:r>
          </w:p>
        </w:tc>
      </w:tr>
      <w:tr w:rsidR="00E9589B" w:rsidRPr="00732EED" w14:paraId="55B35B2D"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3B542B1F" w14:textId="77777777" w:rsidR="00E9589B" w:rsidRPr="00732EED" w:rsidRDefault="00E9589B" w:rsidP="00DC5B3C">
            <w:pPr>
              <w:pStyle w:val="NoSpacing"/>
              <w:rPr>
                <w:b w:val="0"/>
                <w:bCs w:val="0"/>
                <w:sz w:val="18"/>
                <w:szCs w:val="18"/>
              </w:rPr>
            </w:pPr>
            <w:r w:rsidRPr="00732EED">
              <w:rPr>
                <w:b w:val="0"/>
                <w:bCs w:val="0"/>
                <w:sz w:val="18"/>
                <w:szCs w:val="18"/>
              </w:rPr>
              <w:t>Environmental</w:t>
            </w:r>
          </w:p>
        </w:tc>
        <w:tc>
          <w:tcPr>
            <w:tcW w:w="205" w:type="pct"/>
          </w:tcPr>
          <w:p w14:paraId="27071F3A"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20</w:t>
            </w:r>
          </w:p>
        </w:tc>
        <w:tc>
          <w:tcPr>
            <w:tcW w:w="496" w:type="pct"/>
          </w:tcPr>
          <w:p w14:paraId="5745BB2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0.2128 (21.28%)</w:t>
            </w:r>
          </w:p>
        </w:tc>
        <w:tc>
          <w:tcPr>
            <w:tcW w:w="1158" w:type="pct"/>
          </w:tcPr>
          <w:p w14:paraId="292A95A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Institutional/LTC Context</w:t>
            </w:r>
          </w:p>
        </w:tc>
        <w:tc>
          <w:tcPr>
            <w:tcW w:w="285" w:type="pct"/>
          </w:tcPr>
          <w:p w14:paraId="61BBD526"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w:t>
            </w:r>
          </w:p>
        </w:tc>
        <w:tc>
          <w:tcPr>
            <w:tcW w:w="527" w:type="pct"/>
          </w:tcPr>
          <w:p w14:paraId="7DECF67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0.0426 (4.26%)</w:t>
            </w:r>
          </w:p>
        </w:tc>
        <w:tc>
          <w:tcPr>
            <w:tcW w:w="1824" w:type="pct"/>
          </w:tcPr>
          <w:p w14:paraId="06B7D6AD"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34,71,72,76,92</w:t>
            </w:r>
          </w:p>
        </w:tc>
      </w:tr>
      <w:tr w:rsidR="00E9589B" w:rsidRPr="00732EED" w14:paraId="114E19DB"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5CBDAD41" w14:textId="77777777" w:rsidR="00E9589B" w:rsidRPr="00732EED" w:rsidRDefault="00E9589B" w:rsidP="00DC5B3C">
            <w:pPr>
              <w:pStyle w:val="NoSpacing"/>
              <w:rPr>
                <w:b w:val="0"/>
                <w:bCs w:val="0"/>
                <w:sz w:val="18"/>
                <w:szCs w:val="18"/>
              </w:rPr>
            </w:pPr>
            <w:r w:rsidRPr="00732EED">
              <w:rPr>
                <w:b w:val="0"/>
                <w:bCs w:val="0"/>
                <w:sz w:val="18"/>
                <w:szCs w:val="18"/>
              </w:rPr>
              <w:t>Ecological</w:t>
            </w:r>
          </w:p>
        </w:tc>
        <w:tc>
          <w:tcPr>
            <w:tcW w:w="205" w:type="pct"/>
          </w:tcPr>
          <w:p w14:paraId="73AC83A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w:t>
            </w:r>
          </w:p>
        </w:tc>
        <w:tc>
          <w:tcPr>
            <w:tcW w:w="496" w:type="pct"/>
          </w:tcPr>
          <w:p w14:paraId="3C42C2B5"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0.1064 (10.64%)</w:t>
            </w:r>
          </w:p>
        </w:tc>
        <w:tc>
          <w:tcPr>
            <w:tcW w:w="1158" w:type="pct"/>
          </w:tcPr>
          <w:p w14:paraId="6834601C"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Acceptance Ecosystem</w:t>
            </w:r>
          </w:p>
        </w:tc>
        <w:tc>
          <w:tcPr>
            <w:tcW w:w="285" w:type="pct"/>
          </w:tcPr>
          <w:p w14:paraId="3C58018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w:t>
            </w:r>
          </w:p>
        </w:tc>
        <w:tc>
          <w:tcPr>
            <w:tcW w:w="527" w:type="pct"/>
          </w:tcPr>
          <w:p w14:paraId="173EFBA6"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0.0426 (4.26%)</w:t>
            </w:r>
          </w:p>
        </w:tc>
        <w:tc>
          <w:tcPr>
            <w:tcW w:w="1824" w:type="pct"/>
          </w:tcPr>
          <w:p w14:paraId="6648C8D9"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32,57,65,72,80</w:t>
            </w:r>
          </w:p>
        </w:tc>
      </w:tr>
      <w:tr w:rsidR="00E9589B" w:rsidRPr="00732EED" w14:paraId="70D625BE" w14:textId="77777777" w:rsidTr="001F2C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tcPr>
          <w:p w14:paraId="7C42A50C" w14:textId="77777777" w:rsidR="00E9589B" w:rsidRPr="00732EED" w:rsidRDefault="00E9589B" w:rsidP="00DC5B3C">
            <w:pPr>
              <w:pStyle w:val="NoSpacing"/>
              <w:rPr>
                <w:b w:val="0"/>
                <w:bCs w:val="0"/>
                <w:sz w:val="18"/>
                <w:szCs w:val="18"/>
              </w:rPr>
            </w:pPr>
            <w:r w:rsidRPr="00732EED">
              <w:rPr>
                <w:b w:val="0"/>
                <w:bCs w:val="0"/>
                <w:sz w:val="18"/>
                <w:szCs w:val="18"/>
              </w:rPr>
              <w:t>Ecological</w:t>
            </w:r>
          </w:p>
        </w:tc>
        <w:tc>
          <w:tcPr>
            <w:tcW w:w="205" w:type="pct"/>
          </w:tcPr>
          <w:p w14:paraId="23C2A9EF"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10</w:t>
            </w:r>
          </w:p>
        </w:tc>
        <w:tc>
          <w:tcPr>
            <w:tcW w:w="496" w:type="pct"/>
          </w:tcPr>
          <w:p w14:paraId="7DFDF0F0"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0.1064 (10.64%)</w:t>
            </w:r>
          </w:p>
        </w:tc>
        <w:tc>
          <w:tcPr>
            <w:tcW w:w="1158" w:type="pct"/>
          </w:tcPr>
          <w:p w14:paraId="12113375"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Social–Structural Determinants</w:t>
            </w:r>
          </w:p>
        </w:tc>
        <w:tc>
          <w:tcPr>
            <w:tcW w:w="285" w:type="pct"/>
          </w:tcPr>
          <w:p w14:paraId="38EFC42E"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w:t>
            </w:r>
          </w:p>
        </w:tc>
        <w:tc>
          <w:tcPr>
            <w:tcW w:w="527" w:type="pct"/>
          </w:tcPr>
          <w:p w14:paraId="6145E6C9"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0.0319 (3.19%)</w:t>
            </w:r>
          </w:p>
        </w:tc>
        <w:tc>
          <w:tcPr>
            <w:tcW w:w="1824" w:type="pct"/>
          </w:tcPr>
          <w:p w14:paraId="51B39133" w14:textId="77777777" w:rsidR="00E9589B" w:rsidRPr="00732EED" w:rsidRDefault="00E9589B"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18,21,24,34,39,67,72,76,84,89</w:t>
            </w:r>
          </w:p>
        </w:tc>
      </w:tr>
      <w:tr w:rsidR="00E9589B" w:rsidRPr="00732EED" w14:paraId="74207698" w14:textId="77777777" w:rsidTr="001F2CA8">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05" w:type="pct"/>
          </w:tcPr>
          <w:p w14:paraId="6272F085" w14:textId="77777777" w:rsidR="00E9589B" w:rsidRPr="00732EED" w:rsidRDefault="00E9589B" w:rsidP="00DC5B3C">
            <w:pPr>
              <w:pStyle w:val="NoSpacing"/>
              <w:rPr>
                <w:b w:val="0"/>
                <w:bCs w:val="0"/>
                <w:sz w:val="18"/>
                <w:szCs w:val="18"/>
              </w:rPr>
            </w:pPr>
            <w:r w:rsidRPr="00732EED">
              <w:rPr>
                <w:b w:val="0"/>
                <w:bCs w:val="0"/>
                <w:sz w:val="18"/>
                <w:szCs w:val="18"/>
              </w:rPr>
              <w:t>Ecological</w:t>
            </w:r>
          </w:p>
        </w:tc>
        <w:tc>
          <w:tcPr>
            <w:tcW w:w="205" w:type="pct"/>
          </w:tcPr>
          <w:p w14:paraId="6E81F9F4"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w:t>
            </w:r>
          </w:p>
        </w:tc>
        <w:tc>
          <w:tcPr>
            <w:tcW w:w="496" w:type="pct"/>
          </w:tcPr>
          <w:p w14:paraId="0B5EE51A"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0.1064 (10.64%)</w:t>
            </w:r>
          </w:p>
        </w:tc>
        <w:tc>
          <w:tcPr>
            <w:tcW w:w="1158" w:type="pct"/>
          </w:tcPr>
          <w:p w14:paraId="5287D9CE"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Digital &amp; Participatory Ecologies</w:t>
            </w:r>
          </w:p>
        </w:tc>
        <w:tc>
          <w:tcPr>
            <w:tcW w:w="285" w:type="pct"/>
          </w:tcPr>
          <w:p w14:paraId="40BB98F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w:t>
            </w:r>
          </w:p>
        </w:tc>
        <w:tc>
          <w:tcPr>
            <w:tcW w:w="527" w:type="pct"/>
          </w:tcPr>
          <w:p w14:paraId="77E903FD"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0.0319 (3.19%)</w:t>
            </w:r>
          </w:p>
        </w:tc>
        <w:tc>
          <w:tcPr>
            <w:tcW w:w="1824" w:type="pct"/>
          </w:tcPr>
          <w:p w14:paraId="414AF832" w14:textId="77777777" w:rsidR="00E9589B" w:rsidRPr="00732EED" w:rsidRDefault="00E9589B"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17,34,50,65,71,72,76,80,83</w:t>
            </w:r>
          </w:p>
        </w:tc>
      </w:tr>
    </w:tbl>
    <w:p w14:paraId="1C729CA8" w14:textId="77777777" w:rsidR="00E9589B" w:rsidRPr="00732EED" w:rsidRDefault="00E9589B" w:rsidP="00E9589B">
      <w:pPr>
        <w:snapToGrid w:val="0"/>
        <w:contextualSpacing/>
        <w:rPr>
          <w:sz w:val="18"/>
          <w:szCs w:val="18"/>
        </w:rPr>
      </w:pPr>
      <w:r w:rsidRPr="00732EED">
        <w:rPr>
          <w:sz w:val="18"/>
          <w:szCs w:val="18"/>
        </w:rPr>
        <w:t xml:space="preserve">*Total </w:t>
      </w:r>
      <w:proofErr w:type="gramStart"/>
      <w:r w:rsidRPr="00732EED">
        <w:rPr>
          <w:sz w:val="18"/>
          <w:szCs w:val="18"/>
        </w:rPr>
        <w:t>Count :</w:t>
      </w:r>
      <w:proofErr w:type="gramEnd"/>
      <w:r w:rsidRPr="00732EED">
        <w:rPr>
          <w:sz w:val="18"/>
          <w:szCs w:val="18"/>
        </w:rPr>
        <w:t xml:space="preserve"> number of coded occurrences of the principal domain across the 94 included studies; Total Weight : Total Count ÷ 94 (decimal) with percent in parentheses. </w:t>
      </w:r>
    </w:p>
    <w:p w14:paraId="73F0A12F" w14:textId="77777777" w:rsidR="00E9589B" w:rsidRPr="00732EED" w:rsidRDefault="00E9589B" w:rsidP="00E9589B">
      <w:pPr>
        <w:rPr>
          <w:sz w:val="18"/>
          <w:szCs w:val="18"/>
        </w:rPr>
      </w:pPr>
      <w:r w:rsidRPr="00732EED">
        <w:rPr>
          <w:sz w:val="18"/>
          <w:szCs w:val="18"/>
        </w:rPr>
        <w:t xml:space="preserve">Subtheme </w:t>
      </w:r>
      <w:proofErr w:type="gramStart"/>
      <w:r w:rsidRPr="00732EED">
        <w:rPr>
          <w:sz w:val="18"/>
          <w:szCs w:val="18"/>
        </w:rPr>
        <w:t>Count :</w:t>
      </w:r>
      <w:proofErr w:type="gramEnd"/>
      <w:r w:rsidRPr="00732EED">
        <w:rPr>
          <w:sz w:val="18"/>
          <w:szCs w:val="18"/>
        </w:rPr>
        <w:t xml:space="preserve"> number of coded occurrences of the subtheme across the 94 studies; Subtheme Weight : Subtheme Count ÷ 94 (decimal) with percent in parentheses. Inter</w:t>
      </w:r>
      <w:r w:rsidRPr="00732EED">
        <w:rPr>
          <w:sz w:val="18"/>
          <w:szCs w:val="18"/>
        </w:rPr>
        <w:noBreakHyphen/>
        <w:t>rater reliability was assessed using Cohen’s kappa on domain</w:t>
      </w:r>
      <w:r w:rsidRPr="00732EED">
        <w:rPr>
          <w:sz w:val="18"/>
          <w:szCs w:val="18"/>
        </w:rPr>
        <w:noBreakHyphen/>
        <w:t xml:space="preserve">level coding. Detailed coding rules, kappa (with 95% CI), and consensus procedures are reported in Methods/Supplementary Methods. Representative Study IDs list studies where the code was applied as primary, secondary, or tertiary; IDs are illustrative, not exclusive—individual studies may appear under multiple domains/subthemes.  Ranges (e.g., 1–3) denote inclusive study ID spans; comma-separated lists denote individual study IDs. Counts and weights may sum to &gt;94/100% at the domain level because studies could receive multiple domain-level codes per the hermeneutic coding procedure. </w:t>
      </w:r>
      <w:proofErr w:type="gramStart"/>
      <w:r w:rsidRPr="00732EED">
        <w:rPr>
          <w:sz w:val="18"/>
          <w:szCs w:val="18"/>
        </w:rPr>
        <w:t>N :</w:t>
      </w:r>
      <w:proofErr w:type="gramEnd"/>
      <w:r w:rsidRPr="00732EED">
        <w:rPr>
          <w:sz w:val="18"/>
          <w:szCs w:val="18"/>
        </w:rPr>
        <w:t xml:space="preserve"> 94 for all weight calculations. Example studies are provided as study-linked thematic illustrations drawn from the review dataset.  They are intended to demonstrate how codes were applied to the 94 included studies and do not function as exclusive assignments, as each study could receive primary, secondary, and tertiary codes.</w:t>
      </w:r>
    </w:p>
    <w:p w14:paraId="71648534" w14:textId="77777777" w:rsidR="00E9589B" w:rsidRPr="00732EED" w:rsidRDefault="00E9589B" w:rsidP="00E9589B">
      <w:pPr>
        <w:rPr>
          <w:sz w:val="18"/>
          <w:szCs w:val="18"/>
        </w:rPr>
      </w:pPr>
    </w:p>
    <w:p w14:paraId="17CAC7A7" w14:textId="77777777" w:rsidR="001F2CA8" w:rsidRPr="00732EED" w:rsidRDefault="001F2CA8" w:rsidP="00E9589B">
      <w:pPr>
        <w:rPr>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07A90DE2" w14:textId="13D7105E" w:rsidR="00EC7AE5" w:rsidRPr="00732EED" w:rsidRDefault="00C3584B" w:rsidP="00994F9D">
      <w:pPr>
        <w:rPr>
          <w:b/>
          <w:bCs/>
          <w:sz w:val="18"/>
          <w:szCs w:val="18"/>
        </w:rPr>
      </w:pPr>
      <w:r w:rsidRPr="00732EED">
        <w:rPr>
          <w:b/>
          <w:bCs/>
          <w:sz w:val="18"/>
          <w:szCs w:val="18"/>
        </w:rPr>
        <w:lastRenderedPageBreak/>
        <w:t>Table S</w:t>
      </w:r>
      <w:r w:rsidR="00E9589B" w:rsidRPr="00732EED">
        <w:rPr>
          <w:b/>
          <w:bCs/>
          <w:sz w:val="18"/>
          <w:szCs w:val="18"/>
        </w:rPr>
        <w:t>1</w:t>
      </w:r>
      <w:r w:rsidR="000F2A82" w:rsidRPr="00732EED">
        <w:rPr>
          <w:b/>
          <w:bCs/>
          <w:sz w:val="18"/>
          <w:szCs w:val="18"/>
        </w:rPr>
        <w:t>2</w:t>
      </w:r>
      <w:r w:rsidRPr="00732EED">
        <w:rPr>
          <w:b/>
          <w:bCs/>
          <w:sz w:val="18"/>
          <w:szCs w:val="18"/>
        </w:rPr>
        <w:t xml:space="preserve">. </w:t>
      </w:r>
      <w:r w:rsidR="00B345A8" w:rsidRPr="00732EED">
        <w:rPr>
          <w:b/>
          <w:bCs/>
          <w:sz w:val="18"/>
          <w:szCs w:val="18"/>
        </w:rPr>
        <w:t xml:space="preserve">Heuristic </w:t>
      </w:r>
      <w:r w:rsidR="00E76014" w:rsidRPr="00732EED">
        <w:rPr>
          <w:b/>
          <w:bCs/>
          <w:sz w:val="18"/>
          <w:szCs w:val="18"/>
        </w:rPr>
        <w:t>P</w:t>
      </w:r>
      <w:r w:rsidR="00B345A8" w:rsidRPr="00732EED">
        <w:rPr>
          <w:b/>
          <w:bCs/>
          <w:sz w:val="18"/>
          <w:szCs w:val="18"/>
        </w:rPr>
        <w:t xml:space="preserve">rincipal </w:t>
      </w:r>
      <w:r w:rsidR="00E76014" w:rsidRPr="00732EED">
        <w:rPr>
          <w:b/>
          <w:bCs/>
          <w:sz w:val="18"/>
          <w:szCs w:val="18"/>
        </w:rPr>
        <w:t>D</w:t>
      </w:r>
      <w:r w:rsidR="00B345A8" w:rsidRPr="00732EED">
        <w:rPr>
          <w:b/>
          <w:bCs/>
          <w:sz w:val="18"/>
          <w:szCs w:val="18"/>
        </w:rPr>
        <w:t xml:space="preserve">omains, </w:t>
      </w:r>
      <w:r w:rsidR="00E76014" w:rsidRPr="00732EED">
        <w:rPr>
          <w:b/>
          <w:bCs/>
          <w:sz w:val="18"/>
          <w:szCs w:val="18"/>
        </w:rPr>
        <w:t>S</w:t>
      </w:r>
      <w:r w:rsidR="00B345A8" w:rsidRPr="00732EED">
        <w:rPr>
          <w:b/>
          <w:bCs/>
          <w:sz w:val="18"/>
          <w:szCs w:val="18"/>
        </w:rPr>
        <w:t xml:space="preserve">ubdomains, </w:t>
      </w:r>
      <w:r w:rsidR="00E76014" w:rsidRPr="00732EED">
        <w:rPr>
          <w:b/>
          <w:bCs/>
          <w:sz w:val="18"/>
          <w:szCs w:val="18"/>
        </w:rPr>
        <w:t>S</w:t>
      </w:r>
      <w:r w:rsidR="00B345A8" w:rsidRPr="00732EED">
        <w:rPr>
          <w:b/>
          <w:bCs/>
          <w:sz w:val="18"/>
          <w:szCs w:val="18"/>
        </w:rPr>
        <w:t xml:space="preserve">tudy </w:t>
      </w:r>
      <w:r w:rsidR="00E76014" w:rsidRPr="00732EED">
        <w:rPr>
          <w:b/>
          <w:bCs/>
          <w:sz w:val="18"/>
          <w:szCs w:val="18"/>
        </w:rPr>
        <w:t>M</w:t>
      </w:r>
      <w:r w:rsidR="00B345A8" w:rsidRPr="00732EED">
        <w:rPr>
          <w:b/>
          <w:bCs/>
          <w:sz w:val="18"/>
          <w:szCs w:val="18"/>
        </w:rPr>
        <w:t xml:space="preserve">apping </w:t>
      </w:r>
      <w:r w:rsidR="00E76014" w:rsidRPr="00732EED">
        <w:rPr>
          <w:b/>
          <w:bCs/>
          <w:sz w:val="18"/>
          <w:szCs w:val="18"/>
        </w:rPr>
        <w:t>(H</w:t>
      </w:r>
      <w:r w:rsidR="00B345A8" w:rsidRPr="00732EED">
        <w:rPr>
          <w:b/>
          <w:bCs/>
          <w:sz w:val="18"/>
          <w:szCs w:val="18"/>
        </w:rPr>
        <w:t xml:space="preserve">ermeneutic </w:t>
      </w:r>
      <w:r w:rsidR="00E76014" w:rsidRPr="00732EED">
        <w:rPr>
          <w:b/>
          <w:bCs/>
          <w:sz w:val="18"/>
          <w:szCs w:val="18"/>
        </w:rPr>
        <w:t>M</w:t>
      </w:r>
      <w:r w:rsidR="00B345A8" w:rsidRPr="00732EED">
        <w:rPr>
          <w:b/>
          <w:bCs/>
          <w:sz w:val="18"/>
          <w:szCs w:val="18"/>
        </w:rPr>
        <w:t>eta</w:t>
      </w:r>
      <w:r w:rsidR="00B345A8" w:rsidRPr="00732EED">
        <w:rPr>
          <w:b/>
          <w:bCs/>
          <w:sz w:val="18"/>
          <w:szCs w:val="18"/>
        </w:rPr>
        <w:noBreakHyphen/>
        <w:t>synthesis</w:t>
      </w:r>
      <w:r w:rsidR="00E76014" w:rsidRPr="00732EED">
        <w:rPr>
          <w:b/>
          <w:bCs/>
          <w:sz w:val="18"/>
          <w:szCs w:val="18"/>
        </w:rPr>
        <w:t xml:space="preserve">, </w:t>
      </w:r>
      <w:r w:rsidR="00004370" w:rsidRPr="00732EED">
        <w:rPr>
          <w:b/>
          <w:bCs/>
          <w:sz w:val="18"/>
          <w:szCs w:val="18"/>
        </w:rPr>
        <w:t xml:space="preserve">Phase 1; </w:t>
      </w:r>
      <w:r w:rsidR="00E76014" w:rsidRPr="00732EED">
        <w:rPr>
          <w:b/>
          <w:bCs/>
          <w:sz w:val="18"/>
          <w:szCs w:val="18"/>
        </w:rPr>
        <w:t>T</w:t>
      </w:r>
      <w:r w:rsidR="00B345A8" w:rsidRPr="00732EED">
        <w:rPr>
          <w:b/>
          <w:bCs/>
          <w:sz w:val="18"/>
          <w:szCs w:val="18"/>
        </w:rPr>
        <w:t xml:space="preserve">heme </w:t>
      </w:r>
      <w:r w:rsidR="00E76014" w:rsidRPr="00732EED">
        <w:rPr>
          <w:b/>
          <w:bCs/>
          <w:sz w:val="18"/>
          <w:szCs w:val="18"/>
        </w:rPr>
        <w:t>C</w:t>
      </w:r>
      <w:r w:rsidR="00B345A8" w:rsidRPr="00732EED">
        <w:rPr>
          <w:b/>
          <w:bCs/>
          <w:sz w:val="18"/>
          <w:szCs w:val="18"/>
        </w:rPr>
        <w:t xml:space="preserve">ounts and </w:t>
      </w:r>
      <w:r w:rsidR="00E76014" w:rsidRPr="00732EED">
        <w:rPr>
          <w:b/>
          <w:bCs/>
          <w:sz w:val="18"/>
          <w:szCs w:val="18"/>
        </w:rPr>
        <w:t>S</w:t>
      </w:r>
      <w:r w:rsidR="00B345A8" w:rsidRPr="00732EED">
        <w:rPr>
          <w:b/>
          <w:bCs/>
          <w:sz w:val="18"/>
          <w:szCs w:val="18"/>
        </w:rPr>
        <w:t>tud</w:t>
      </w:r>
      <w:r w:rsidR="00004370" w:rsidRPr="00732EED">
        <w:rPr>
          <w:b/>
          <w:bCs/>
          <w:sz w:val="18"/>
          <w:szCs w:val="18"/>
        </w:rPr>
        <w:t xml:space="preserve">y </w:t>
      </w:r>
      <w:proofErr w:type="gramStart"/>
      <w:r w:rsidR="00E76014" w:rsidRPr="00732EED">
        <w:rPr>
          <w:b/>
          <w:bCs/>
          <w:sz w:val="18"/>
          <w:szCs w:val="18"/>
        </w:rPr>
        <w:t>R</w:t>
      </w:r>
      <w:r w:rsidR="00004370" w:rsidRPr="00732EED">
        <w:rPr>
          <w:b/>
          <w:bCs/>
          <w:sz w:val="18"/>
          <w:szCs w:val="18"/>
        </w:rPr>
        <w:t>eferences</w:t>
      </w:r>
      <w:r w:rsidR="00B345A8" w:rsidRPr="00732EED">
        <w:rPr>
          <w:b/>
          <w:bCs/>
          <w:sz w:val="18"/>
          <w:szCs w:val="18"/>
        </w:rPr>
        <w:t>)*</w:t>
      </w:r>
      <w:proofErr w:type="gramEnd"/>
    </w:p>
    <w:tbl>
      <w:tblPr>
        <w:tblStyle w:val="PlainTable1"/>
        <w:tblW w:w="5000" w:type="pct"/>
        <w:tblLook w:val="0420" w:firstRow="1" w:lastRow="0" w:firstColumn="0" w:lastColumn="0" w:noHBand="0" w:noVBand="1"/>
      </w:tblPr>
      <w:tblGrid>
        <w:gridCol w:w="2417"/>
        <w:gridCol w:w="2418"/>
        <w:gridCol w:w="1626"/>
        <w:gridCol w:w="7101"/>
      </w:tblGrid>
      <w:tr w:rsidR="001B6075" w:rsidRPr="00732EED" w14:paraId="06201575" w14:textId="77777777" w:rsidTr="00994F9D">
        <w:trPr>
          <w:cnfStyle w:val="100000000000" w:firstRow="1" w:lastRow="0" w:firstColumn="0" w:lastColumn="0" w:oddVBand="0" w:evenVBand="0" w:oddHBand="0" w:evenHBand="0" w:firstRowFirstColumn="0" w:firstRowLastColumn="0" w:lastRowFirstColumn="0" w:lastRowLastColumn="0"/>
        </w:trPr>
        <w:tc>
          <w:tcPr>
            <w:tcW w:w="1069" w:type="pct"/>
          </w:tcPr>
          <w:p w14:paraId="783F9D02" w14:textId="77777777" w:rsidR="001B6075" w:rsidRPr="00732EED" w:rsidRDefault="001B6075" w:rsidP="00DC5B3C">
            <w:pPr>
              <w:rPr>
                <w:sz w:val="18"/>
                <w:szCs w:val="18"/>
              </w:rPr>
            </w:pPr>
            <w:r w:rsidRPr="00732EED">
              <w:rPr>
                <w:sz w:val="18"/>
                <w:szCs w:val="18"/>
              </w:rPr>
              <w:t>Principal Heuristic Theme/Domain</w:t>
            </w:r>
          </w:p>
        </w:tc>
        <w:tc>
          <w:tcPr>
            <w:tcW w:w="1069" w:type="pct"/>
          </w:tcPr>
          <w:p w14:paraId="3B773B7B" w14:textId="77777777" w:rsidR="001B6075" w:rsidRPr="00732EED" w:rsidRDefault="001B6075" w:rsidP="00DC5B3C">
            <w:pPr>
              <w:rPr>
                <w:sz w:val="18"/>
                <w:szCs w:val="18"/>
              </w:rPr>
            </w:pPr>
            <w:r w:rsidRPr="00732EED">
              <w:rPr>
                <w:sz w:val="18"/>
                <w:szCs w:val="18"/>
              </w:rPr>
              <w:t>Sub-Theme/Domain</w:t>
            </w:r>
          </w:p>
        </w:tc>
        <w:tc>
          <w:tcPr>
            <w:tcW w:w="777" w:type="pct"/>
          </w:tcPr>
          <w:p w14:paraId="6831AAEF" w14:textId="77777777" w:rsidR="001B6075" w:rsidRPr="00732EED" w:rsidRDefault="001B6075" w:rsidP="00DC5B3C">
            <w:pPr>
              <w:rPr>
                <w:sz w:val="18"/>
                <w:szCs w:val="18"/>
              </w:rPr>
            </w:pPr>
            <w:r w:rsidRPr="00732EED">
              <w:rPr>
                <w:sz w:val="18"/>
                <w:szCs w:val="18"/>
              </w:rPr>
              <w:t>Theme Relevance (Count)</w:t>
            </w:r>
          </w:p>
        </w:tc>
        <w:tc>
          <w:tcPr>
            <w:tcW w:w="2085" w:type="pct"/>
          </w:tcPr>
          <w:p w14:paraId="54777714" w14:textId="1BDE32CF" w:rsidR="001B6075" w:rsidRPr="00732EED" w:rsidRDefault="00004370" w:rsidP="00DC5B3C">
            <w:pPr>
              <w:rPr>
                <w:sz w:val="18"/>
                <w:szCs w:val="18"/>
              </w:rPr>
            </w:pPr>
            <w:r w:rsidRPr="00732EED">
              <w:rPr>
                <w:sz w:val="18"/>
                <w:szCs w:val="18"/>
              </w:rPr>
              <w:t xml:space="preserve">Reference </w:t>
            </w:r>
            <w:r w:rsidR="001B6075" w:rsidRPr="00732EED">
              <w:rPr>
                <w:sz w:val="18"/>
                <w:szCs w:val="18"/>
              </w:rPr>
              <w:t xml:space="preserve">Study </w:t>
            </w:r>
          </w:p>
        </w:tc>
      </w:tr>
      <w:tr w:rsidR="001B6075" w:rsidRPr="00732EED" w14:paraId="345D1A51"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17E3DF28" w14:textId="77777777" w:rsidR="001B6075" w:rsidRPr="00732EED" w:rsidRDefault="001B6075" w:rsidP="00DC5B3C">
            <w:pPr>
              <w:rPr>
                <w:b/>
                <w:bCs/>
                <w:sz w:val="18"/>
                <w:szCs w:val="18"/>
              </w:rPr>
            </w:pPr>
            <w:r w:rsidRPr="00732EED">
              <w:rPr>
                <w:b/>
                <w:bCs/>
                <w:sz w:val="18"/>
                <w:szCs w:val="18"/>
              </w:rPr>
              <w:t>Social</w:t>
            </w:r>
          </w:p>
        </w:tc>
        <w:tc>
          <w:tcPr>
            <w:tcW w:w="1069" w:type="pct"/>
          </w:tcPr>
          <w:p w14:paraId="1BF4B71C" w14:textId="77777777" w:rsidR="001B6075" w:rsidRPr="00732EED" w:rsidRDefault="001B6075" w:rsidP="00DC5B3C">
            <w:pPr>
              <w:rPr>
                <w:sz w:val="18"/>
                <w:szCs w:val="18"/>
              </w:rPr>
            </w:pPr>
            <w:r w:rsidRPr="00732EED">
              <w:rPr>
                <w:sz w:val="18"/>
                <w:szCs w:val="18"/>
              </w:rPr>
              <w:t>Social (total)</w:t>
            </w:r>
          </w:p>
        </w:tc>
        <w:tc>
          <w:tcPr>
            <w:tcW w:w="777" w:type="pct"/>
          </w:tcPr>
          <w:p w14:paraId="16215BC8" w14:textId="77777777" w:rsidR="001B6075" w:rsidRPr="00732EED" w:rsidRDefault="001B6075" w:rsidP="00DC5B3C">
            <w:pPr>
              <w:rPr>
                <w:sz w:val="18"/>
                <w:szCs w:val="18"/>
              </w:rPr>
            </w:pPr>
            <w:r w:rsidRPr="00732EED">
              <w:rPr>
                <w:sz w:val="18"/>
                <w:szCs w:val="18"/>
              </w:rPr>
              <w:t>185</w:t>
            </w:r>
          </w:p>
        </w:tc>
        <w:tc>
          <w:tcPr>
            <w:tcW w:w="2085" w:type="pct"/>
          </w:tcPr>
          <w:p w14:paraId="18CABA63" w14:textId="77777777" w:rsidR="001B6075" w:rsidRPr="00732EED" w:rsidRDefault="001B6075" w:rsidP="00DC5B3C">
            <w:pPr>
              <w:rPr>
                <w:sz w:val="18"/>
                <w:szCs w:val="18"/>
              </w:rPr>
            </w:pPr>
            <w:r w:rsidRPr="00732EED">
              <w:rPr>
                <w:sz w:val="18"/>
                <w:szCs w:val="18"/>
              </w:rPr>
              <w:t>1,5,9,12,13,17,18,19,21,24,28,32,33,37,45,49,52,55,57,60,65,69,72,73,74,77,79,83,84,87,89,91</w:t>
            </w:r>
          </w:p>
        </w:tc>
      </w:tr>
      <w:tr w:rsidR="001B6075" w:rsidRPr="00732EED" w14:paraId="2E1240CE" w14:textId="77777777" w:rsidTr="00994F9D">
        <w:tc>
          <w:tcPr>
            <w:tcW w:w="1069" w:type="pct"/>
          </w:tcPr>
          <w:p w14:paraId="72C771A9" w14:textId="77777777" w:rsidR="001B6075" w:rsidRPr="00732EED" w:rsidRDefault="001B6075" w:rsidP="00DC5B3C">
            <w:pPr>
              <w:rPr>
                <w:b/>
                <w:bCs/>
                <w:sz w:val="18"/>
                <w:szCs w:val="18"/>
              </w:rPr>
            </w:pPr>
            <w:r w:rsidRPr="00732EED">
              <w:rPr>
                <w:b/>
                <w:bCs/>
                <w:sz w:val="18"/>
                <w:szCs w:val="18"/>
              </w:rPr>
              <w:t>Social</w:t>
            </w:r>
          </w:p>
        </w:tc>
        <w:tc>
          <w:tcPr>
            <w:tcW w:w="1069" w:type="pct"/>
          </w:tcPr>
          <w:p w14:paraId="6860513C" w14:textId="77777777" w:rsidR="001B6075" w:rsidRPr="00732EED" w:rsidRDefault="001B6075" w:rsidP="00DC5B3C">
            <w:pPr>
              <w:rPr>
                <w:sz w:val="18"/>
                <w:szCs w:val="18"/>
              </w:rPr>
            </w:pPr>
            <w:r w:rsidRPr="00732EED">
              <w:rPr>
                <w:sz w:val="18"/>
                <w:szCs w:val="18"/>
              </w:rPr>
              <w:t>Support System</w:t>
            </w:r>
          </w:p>
        </w:tc>
        <w:tc>
          <w:tcPr>
            <w:tcW w:w="777" w:type="pct"/>
          </w:tcPr>
          <w:p w14:paraId="521959EA" w14:textId="77777777" w:rsidR="001B6075" w:rsidRPr="00732EED" w:rsidRDefault="001B6075" w:rsidP="00DC5B3C">
            <w:pPr>
              <w:rPr>
                <w:sz w:val="18"/>
                <w:szCs w:val="18"/>
              </w:rPr>
            </w:pPr>
            <w:r w:rsidRPr="00732EED">
              <w:rPr>
                <w:sz w:val="18"/>
                <w:szCs w:val="18"/>
              </w:rPr>
              <w:t>32</w:t>
            </w:r>
          </w:p>
        </w:tc>
        <w:tc>
          <w:tcPr>
            <w:tcW w:w="2085" w:type="pct"/>
          </w:tcPr>
          <w:p w14:paraId="319B4E29" w14:textId="77777777" w:rsidR="001B6075" w:rsidRPr="00732EED" w:rsidRDefault="001B6075" w:rsidP="00DC5B3C">
            <w:pPr>
              <w:rPr>
                <w:sz w:val="18"/>
                <w:szCs w:val="18"/>
              </w:rPr>
            </w:pPr>
            <w:r w:rsidRPr="00732EED">
              <w:rPr>
                <w:sz w:val="18"/>
                <w:szCs w:val="18"/>
              </w:rPr>
              <w:t>5,12,13,17,18,21,24,32,33,39,45,52,55,57,58,60,65,69,71,73,74,77,79,83,87,89,90,91</w:t>
            </w:r>
          </w:p>
        </w:tc>
      </w:tr>
      <w:tr w:rsidR="001B6075" w:rsidRPr="00732EED" w14:paraId="1414F1F1"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0D4CE45F" w14:textId="77777777" w:rsidR="001B6075" w:rsidRPr="00732EED" w:rsidRDefault="001B6075" w:rsidP="00DC5B3C">
            <w:pPr>
              <w:rPr>
                <w:b/>
                <w:bCs/>
                <w:sz w:val="18"/>
                <w:szCs w:val="18"/>
              </w:rPr>
            </w:pPr>
            <w:r w:rsidRPr="00732EED">
              <w:rPr>
                <w:b/>
                <w:bCs/>
                <w:sz w:val="18"/>
                <w:szCs w:val="18"/>
              </w:rPr>
              <w:t>Social</w:t>
            </w:r>
          </w:p>
        </w:tc>
        <w:tc>
          <w:tcPr>
            <w:tcW w:w="1069" w:type="pct"/>
          </w:tcPr>
          <w:p w14:paraId="59E1D991" w14:textId="77777777" w:rsidR="001B6075" w:rsidRPr="00732EED" w:rsidRDefault="001B6075" w:rsidP="00DC5B3C">
            <w:pPr>
              <w:rPr>
                <w:sz w:val="18"/>
                <w:szCs w:val="18"/>
              </w:rPr>
            </w:pPr>
            <w:r w:rsidRPr="00732EED">
              <w:rPr>
                <w:sz w:val="18"/>
                <w:szCs w:val="18"/>
              </w:rPr>
              <w:t>Access To Healthcare</w:t>
            </w:r>
          </w:p>
        </w:tc>
        <w:tc>
          <w:tcPr>
            <w:tcW w:w="777" w:type="pct"/>
          </w:tcPr>
          <w:p w14:paraId="48646D56" w14:textId="77777777" w:rsidR="001B6075" w:rsidRPr="00732EED" w:rsidRDefault="001B6075" w:rsidP="00DC5B3C">
            <w:pPr>
              <w:rPr>
                <w:sz w:val="18"/>
                <w:szCs w:val="18"/>
              </w:rPr>
            </w:pPr>
            <w:r w:rsidRPr="00732EED">
              <w:rPr>
                <w:sz w:val="18"/>
                <w:szCs w:val="18"/>
              </w:rPr>
              <w:t>30</w:t>
            </w:r>
          </w:p>
        </w:tc>
        <w:tc>
          <w:tcPr>
            <w:tcW w:w="2085" w:type="pct"/>
          </w:tcPr>
          <w:p w14:paraId="4FC35807" w14:textId="77777777" w:rsidR="001B6075" w:rsidRPr="00732EED" w:rsidRDefault="001B6075" w:rsidP="00DC5B3C">
            <w:pPr>
              <w:rPr>
                <w:sz w:val="18"/>
                <w:szCs w:val="18"/>
              </w:rPr>
            </w:pPr>
            <w:r w:rsidRPr="00732EED">
              <w:rPr>
                <w:sz w:val="18"/>
                <w:szCs w:val="18"/>
              </w:rPr>
              <w:t>6,21,34,35,39,49,52,53,56,57,58,62,67,68,69,71,72,76,79,83,84,86,87,90,92</w:t>
            </w:r>
          </w:p>
        </w:tc>
      </w:tr>
      <w:tr w:rsidR="001B6075" w:rsidRPr="00732EED" w14:paraId="244E7C9C" w14:textId="77777777" w:rsidTr="00994F9D">
        <w:tc>
          <w:tcPr>
            <w:tcW w:w="1069" w:type="pct"/>
          </w:tcPr>
          <w:p w14:paraId="02926586" w14:textId="77777777" w:rsidR="001B6075" w:rsidRPr="00732EED" w:rsidRDefault="001B6075" w:rsidP="00DC5B3C">
            <w:pPr>
              <w:rPr>
                <w:b/>
                <w:bCs/>
                <w:sz w:val="18"/>
                <w:szCs w:val="18"/>
              </w:rPr>
            </w:pPr>
            <w:r w:rsidRPr="00732EED">
              <w:rPr>
                <w:b/>
                <w:bCs/>
                <w:sz w:val="18"/>
                <w:szCs w:val="18"/>
              </w:rPr>
              <w:t>Social</w:t>
            </w:r>
          </w:p>
        </w:tc>
        <w:tc>
          <w:tcPr>
            <w:tcW w:w="1069" w:type="pct"/>
          </w:tcPr>
          <w:p w14:paraId="454D7748" w14:textId="77777777" w:rsidR="001B6075" w:rsidRPr="00732EED" w:rsidRDefault="001B6075" w:rsidP="00DC5B3C">
            <w:pPr>
              <w:rPr>
                <w:sz w:val="18"/>
                <w:szCs w:val="18"/>
              </w:rPr>
            </w:pPr>
            <w:r w:rsidRPr="00732EED">
              <w:rPr>
                <w:sz w:val="18"/>
                <w:szCs w:val="18"/>
              </w:rPr>
              <w:t>Isolation</w:t>
            </w:r>
          </w:p>
        </w:tc>
        <w:tc>
          <w:tcPr>
            <w:tcW w:w="777" w:type="pct"/>
          </w:tcPr>
          <w:p w14:paraId="47E5E870" w14:textId="77777777" w:rsidR="001B6075" w:rsidRPr="00732EED" w:rsidRDefault="001B6075" w:rsidP="00DC5B3C">
            <w:pPr>
              <w:rPr>
                <w:sz w:val="18"/>
                <w:szCs w:val="18"/>
              </w:rPr>
            </w:pPr>
            <w:r w:rsidRPr="00732EED">
              <w:rPr>
                <w:sz w:val="18"/>
                <w:szCs w:val="18"/>
              </w:rPr>
              <w:t>26</w:t>
            </w:r>
          </w:p>
        </w:tc>
        <w:tc>
          <w:tcPr>
            <w:tcW w:w="2085" w:type="pct"/>
          </w:tcPr>
          <w:p w14:paraId="5A12F504" w14:textId="77777777" w:rsidR="001B6075" w:rsidRPr="00732EED" w:rsidRDefault="001B6075" w:rsidP="00DC5B3C">
            <w:pPr>
              <w:rPr>
                <w:sz w:val="18"/>
                <w:szCs w:val="18"/>
              </w:rPr>
            </w:pPr>
            <w:r w:rsidRPr="00732EED">
              <w:rPr>
                <w:sz w:val="18"/>
                <w:szCs w:val="18"/>
              </w:rPr>
              <w:t>6,18,19,21,24,28,29,32,37,49,52,56,57,59,61,72,74,79,87,89</w:t>
            </w:r>
          </w:p>
        </w:tc>
      </w:tr>
      <w:tr w:rsidR="001B6075" w:rsidRPr="00732EED" w14:paraId="11B5B50E"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720F448F" w14:textId="77777777" w:rsidR="001B6075" w:rsidRPr="00732EED" w:rsidRDefault="001B6075" w:rsidP="00DC5B3C">
            <w:pPr>
              <w:rPr>
                <w:b/>
                <w:bCs/>
                <w:sz w:val="18"/>
                <w:szCs w:val="18"/>
              </w:rPr>
            </w:pPr>
            <w:r w:rsidRPr="00732EED">
              <w:rPr>
                <w:b/>
                <w:bCs/>
                <w:sz w:val="18"/>
                <w:szCs w:val="18"/>
              </w:rPr>
              <w:t>Social</w:t>
            </w:r>
          </w:p>
        </w:tc>
        <w:tc>
          <w:tcPr>
            <w:tcW w:w="1069" w:type="pct"/>
          </w:tcPr>
          <w:p w14:paraId="4EC624A0" w14:textId="77777777" w:rsidR="001B6075" w:rsidRPr="00732EED" w:rsidRDefault="001B6075" w:rsidP="00DC5B3C">
            <w:pPr>
              <w:rPr>
                <w:sz w:val="18"/>
                <w:szCs w:val="18"/>
              </w:rPr>
            </w:pPr>
            <w:r w:rsidRPr="00732EED">
              <w:rPr>
                <w:sz w:val="18"/>
                <w:szCs w:val="18"/>
              </w:rPr>
              <w:t>Family Dynamics</w:t>
            </w:r>
          </w:p>
        </w:tc>
        <w:tc>
          <w:tcPr>
            <w:tcW w:w="777" w:type="pct"/>
          </w:tcPr>
          <w:p w14:paraId="2277DF93" w14:textId="77777777" w:rsidR="001B6075" w:rsidRPr="00732EED" w:rsidRDefault="001B6075" w:rsidP="00DC5B3C">
            <w:pPr>
              <w:rPr>
                <w:sz w:val="18"/>
                <w:szCs w:val="18"/>
              </w:rPr>
            </w:pPr>
            <w:r w:rsidRPr="00732EED">
              <w:rPr>
                <w:sz w:val="18"/>
                <w:szCs w:val="18"/>
              </w:rPr>
              <w:t>24</w:t>
            </w:r>
          </w:p>
        </w:tc>
        <w:tc>
          <w:tcPr>
            <w:tcW w:w="2085" w:type="pct"/>
          </w:tcPr>
          <w:p w14:paraId="6BC8CEE2" w14:textId="77777777" w:rsidR="001B6075" w:rsidRPr="00732EED" w:rsidRDefault="001B6075" w:rsidP="00DC5B3C">
            <w:pPr>
              <w:rPr>
                <w:sz w:val="18"/>
                <w:szCs w:val="18"/>
              </w:rPr>
            </w:pPr>
            <w:r w:rsidRPr="00732EED">
              <w:rPr>
                <w:sz w:val="18"/>
                <w:szCs w:val="18"/>
              </w:rPr>
              <w:t>5,11,18,21,24,29,35,40,43,52,55,57,61,68,71,73,78,79,83,89,90</w:t>
            </w:r>
          </w:p>
        </w:tc>
      </w:tr>
      <w:tr w:rsidR="001B6075" w:rsidRPr="00732EED" w14:paraId="6C131605" w14:textId="77777777" w:rsidTr="00994F9D">
        <w:tc>
          <w:tcPr>
            <w:tcW w:w="1069" w:type="pct"/>
          </w:tcPr>
          <w:p w14:paraId="02EFA4CB" w14:textId="77777777" w:rsidR="001B6075" w:rsidRPr="00732EED" w:rsidRDefault="001B6075" w:rsidP="00DC5B3C">
            <w:pPr>
              <w:rPr>
                <w:b/>
                <w:bCs/>
                <w:sz w:val="18"/>
                <w:szCs w:val="18"/>
              </w:rPr>
            </w:pPr>
            <w:r w:rsidRPr="00732EED">
              <w:rPr>
                <w:b/>
                <w:bCs/>
                <w:sz w:val="18"/>
                <w:szCs w:val="18"/>
              </w:rPr>
              <w:t>Social</w:t>
            </w:r>
          </w:p>
        </w:tc>
        <w:tc>
          <w:tcPr>
            <w:tcW w:w="1069" w:type="pct"/>
          </w:tcPr>
          <w:p w14:paraId="3E91B6E5" w14:textId="77777777" w:rsidR="001B6075" w:rsidRPr="00732EED" w:rsidRDefault="001B6075" w:rsidP="00DC5B3C">
            <w:pPr>
              <w:rPr>
                <w:sz w:val="18"/>
                <w:szCs w:val="18"/>
              </w:rPr>
            </w:pPr>
            <w:r w:rsidRPr="00732EED">
              <w:rPr>
                <w:sz w:val="18"/>
                <w:szCs w:val="18"/>
              </w:rPr>
              <w:t>Work &amp; Return to Work</w:t>
            </w:r>
          </w:p>
        </w:tc>
        <w:tc>
          <w:tcPr>
            <w:tcW w:w="777" w:type="pct"/>
          </w:tcPr>
          <w:p w14:paraId="77223D0B" w14:textId="77777777" w:rsidR="001B6075" w:rsidRPr="00732EED" w:rsidRDefault="001B6075" w:rsidP="00DC5B3C">
            <w:pPr>
              <w:rPr>
                <w:sz w:val="18"/>
                <w:szCs w:val="18"/>
              </w:rPr>
            </w:pPr>
            <w:r w:rsidRPr="00732EED">
              <w:rPr>
                <w:sz w:val="18"/>
                <w:szCs w:val="18"/>
              </w:rPr>
              <w:t>23</w:t>
            </w:r>
          </w:p>
        </w:tc>
        <w:tc>
          <w:tcPr>
            <w:tcW w:w="2085" w:type="pct"/>
          </w:tcPr>
          <w:p w14:paraId="778CB545" w14:textId="77777777" w:rsidR="001B6075" w:rsidRPr="00732EED" w:rsidRDefault="001B6075" w:rsidP="00DC5B3C">
            <w:pPr>
              <w:rPr>
                <w:sz w:val="18"/>
                <w:szCs w:val="18"/>
              </w:rPr>
            </w:pPr>
            <w:r w:rsidRPr="00732EED">
              <w:rPr>
                <w:sz w:val="18"/>
                <w:szCs w:val="18"/>
              </w:rPr>
              <w:t>18,19,21,24,32,34,37,39,46–49,50,55,73,79,84</w:t>
            </w:r>
          </w:p>
        </w:tc>
      </w:tr>
      <w:tr w:rsidR="001B6075" w:rsidRPr="00732EED" w14:paraId="02B36944"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3340A4B2" w14:textId="77777777" w:rsidR="001B6075" w:rsidRPr="00732EED" w:rsidRDefault="001B6075" w:rsidP="00DC5B3C">
            <w:pPr>
              <w:rPr>
                <w:b/>
                <w:bCs/>
                <w:sz w:val="18"/>
                <w:szCs w:val="18"/>
              </w:rPr>
            </w:pPr>
            <w:r w:rsidRPr="00732EED">
              <w:rPr>
                <w:b/>
                <w:bCs/>
                <w:sz w:val="18"/>
                <w:szCs w:val="18"/>
              </w:rPr>
              <w:t>Social</w:t>
            </w:r>
          </w:p>
        </w:tc>
        <w:tc>
          <w:tcPr>
            <w:tcW w:w="1069" w:type="pct"/>
          </w:tcPr>
          <w:p w14:paraId="51FB0346" w14:textId="77777777" w:rsidR="001B6075" w:rsidRPr="00732EED" w:rsidRDefault="001B6075" w:rsidP="00DC5B3C">
            <w:pPr>
              <w:rPr>
                <w:sz w:val="18"/>
                <w:szCs w:val="18"/>
              </w:rPr>
            </w:pPr>
            <w:r w:rsidRPr="00732EED">
              <w:rPr>
                <w:sz w:val="18"/>
                <w:szCs w:val="18"/>
              </w:rPr>
              <w:t>Communication</w:t>
            </w:r>
          </w:p>
        </w:tc>
        <w:tc>
          <w:tcPr>
            <w:tcW w:w="777" w:type="pct"/>
          </w:tcPr>
          <w:p w14:paraId="25B980A1" w14:textId="77777777" w:rsidR="001B6075" w:rsidRPr="00732EED" w:rsidRDefault="001B6075" w:rsidP="00DC5B3C">
            <w:pPr>
              <w:rPr>
                <w:sz w:val="18"/>
                <w:szCs w:val="18"/>
              </w:rPr>
            </w:pPr>
            <w:r w:rsidRPr="00732EED">
              <w:rPr>
                <w:sz w:val="18"/>
                <w:szCs w:val="18"/>
              </w:rPr>
              <w:t>20</w:t>
            </w:r>
          </w:p>
        </w:tc>
        <w:tc>
          <w:tcPr>
            <w:tcW w:w="2085" w:type="pct"/>
          </w:tcPr>
          <w:p w14:paraId="58885F0D" w14:textId="77777777" w:rsidR="001B6075" w:rsidRPr="00732EED" w:rsidRDefault="001B6075" w:rsidP="00DC5B3C">
            <w:pPr>
              <w:rPr>
                <w:sz w:val="18"/>
                <w:szCs w:val="18"/>
              </w:rPr>
            </w:pPr>
            <w:r w:rsidRPr="00732EED">
              <w:rPr>
                <w:sz w:val="18"/>
                <w:szCs w:val="18"/>
              </w:rPr>
              <w:t>4,6,11,17,21,35,39,42,44,52,53,62,67,68,71,72,76,87,92</w:t>
            </w:r>
          </w:p>
        </w:tc>
      </w:tr>
      <w:tr w:rsidR="001B6075" w:rsidRPr="00732EED" w14:paraId="6F1EFEA8" w14:textId="77777777" w:rsidTr="00994F9D">
        <w:tc>
          <w:tcPr>
            <w:tcW w:w="1069" w:type="pct"/>
          </w:tcPr>
          <w:p w14:paraId="37DA0CA0" w14:textId="77777777" w:rsidR="001B6075" w:rsidRPr="00732EED" w:rsidRDefault="001B6075" w:rsidP="00DC5B3C">
            <w:pPr>
              <w:rPr>
                <w:b/>
                <w:bCs/>
                <w:sz w:val="18"/>
                <w:szCs w:val="18"/>
              </w:rPr>
            </w:pPr>
            <w:r w:rsidRPr="00732EED">
              <w:rPr>
                <w:b/>
                <w:bCs/>
                <w:sz w:val="18"/>
                <w:szCs w:val="18"/>
              </w:rPr>
              <w:t>Social</w:t>
            </w:r>
          </w:p>
        </w:tc>
        <w:tc>
          <w:tcPr>
            <w:tcW w:w="1069" w:type="pct"/>
          </w:tcPr>
          <w:p w14:paraId="43233570" w14:textId="77777777" w:rsidR="001B6075" w:rsidRPr="00732EED" w:rsidRDefault="001B6075" w:rsidP="00DC5B3C">
            <w:pPr>
              <w:rPr>
                <w:sz w:val="18"/>
                <w:szCs w:val="18"/>
              </w:rPr>
            </w:pPr>
            <w:r w:rsidRPr="00732EED">
              <w:rPr>
                <w:sz w:val="18"/>
                <w:szCs w:val="18"/>
              </w:rPr>
              <w:t>Expectations &amp; Roles</w:t>
            </w:r>
          </w:p>
        </w:tc>
        <w:tc>
          <w:tcPr>
            <w:tcW w:w="777" w:type="pct"/>
          </w:tcPr>
          <w:p w14:paraId="38C5D5F7" w14:textId="77777777" w:rsidR="001B6075" w:rsidRPr="00732EED" w:rsidRDefault="001B6075" w:rsidP="00DC5B3C">
            <w:pPr>
              <w:rPr>
                <w:sz w:val="18"/>
                <w:szCs w:val="18"/>
              </w:rPr>
            </w:pPr>
            <w:r w:rsidRPr="00732EED">
              <w:rPr>
                <w:sz w:val="18"/>
                <w:szCs w:val="18"/>
              </w:rPr>
              <w:t>15</w:t>
            </w:r>
          </w:p>
        </w:tc>
        <w:tc>
          <w:tcPr>
            <w:tcW w:w="2085" w:type="pct"/>
          </w:tcPr>
          <w:p w14:paraId="18AE3B20" w14:textId="77777777" w:rsidR="001B6075" w:rsidRPr="00732EED" w:rsidRDefault="001B6075" w:rsidP="00DC5B3C">
            <w:pPr>
              <w:rPr>
                <w:sz w:val="18"/>
                <w:szCs w:val="18"/>
              </w:rPr>
            </w:pPr>
            <w:r w:rsidRPr="00732EED">
              <w:rPr>
                <w:sz w:val="18"/>
                <w:szCs w:val="18"/>
              </w:rPr>
              <w:t>2,5,9,11,18,24,38,40,55,61,68,70,78,85,90</w:t>
            </w:r>
          </w:p>
        </w:tc>
      </w:tr>
      <w:tr w:rsidR="001B6075" w:rsidRPr="00732EED" w14:paraId="67198DAD"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131C708A" w14:textId="77777777" w:rsidR="001B6075" w:rsidRPr="00732EED" w:rsidRDefault="001B6075" w:rsidP="00DC5B3C">
            <w:pPr>
              <w:rPr>
                <w:b/>
                <w:bCs/>
                <w:sz w:val="18"/>
                <w:szCs w:val="18"/>
              </w:rPr>
            </w:pPr>
            <w:r w:rsidRPr="00732EED">
              <w:rPr>
                <w:b/>
                <w:bCs/>
                <w:sz w:val="18"/>
                <w:szCs w:val="18"/>
              </w:rPr>
              <w:t>Social</w:t>
            </w:r>
          </w:p>
        </w:tc>
        <w:tc>
          <w:tcPr>
            <w:tcW w:w="1069" w:type="pct"/>
          </w:tcPr>
          <w:p w14:paraId="45161B33" w14:textId="77777777" w:rsidR="001B6075" w:rsidRPr="00732EED" w:rsidRDefault="001B6075" w:rsidP="00DC5B3C">
            <w:pPr>
              <w:rPr>
                <w:sz w:val="18"/>
                <w:szCs w:val="18"/>
              </w:rPr>
            </w:pPr>
            <w:r w:rsidRPr="00732EED">
              <w:rPr>
                <w:sz w:val="18"/>
                <w:szCs w:val="18"/>
              </w:rPr>
              <w:t>Health Inequities</w:t>
            </w:r>
          </w:p>
        </w:tc>
        <w:tc>
          <w:tcPr>
            <w:tcW w:w="777" w:type="pct"/>
          </w:tcPr>
          <w:p w14:paraId="7C1E4EC9" w14:textId="77777777" w:rsidR="001B6075" w:rsidRPr="00732EED" w:rsidRDefault="001B6075" w:rsidP="00DC5B3C">
            <w:pPr>
              <w:rPr>
                <w:sz w:val="18"/>
                <w:szCs w:val="18"/>
              </w:rPr>
            </w:pPr>
            <w:r w:rsidRPr="00732EED">
              <w:rPr>
                <w:sz w:val="18"/>
                <w:szCs w:val="18"/>
              </w:rPr>
              <w:t>10</w:t>
            </w:r>
          </w:p>
        </w:tc>
        <w:tc>
          <w:tcPr>
            <w:tcW w:w="2085" w:type="pct"/>
          </w:tcPr>
          <w:p w14:paraId="31C17E5D" w14:textId="77777777" w:rsidR="001B6075" w:rsidRPr="00732EED" w:rsidRDefault="001B6075" w:rsidP="00DC5B3C">
            <w:pPr>
              <w:rPr>
                <w:sz w:val="18"/>
                <w:szCs w:val="18"/>
              </w:rPr>
            </w:pPr>
            <w:r w:rsidRPr="00732EED">
              <w:rPr>
                <w:sz w:val="18"/>
                <w:szCs w:val="18"/>
              </w:rPr>
              <w:t>17,21,34,39,49,67,68,69,72,76</w:t>
            </w:r>
          </w:p>
        </w:tc>
      </w:tr>
      <w:tr w:rsidR="001B6075" w:rsidRPr="00732EED" w14:paraId="79DCA08F" w14:textId="77777777" w:rsidTr="00994F9D">
        <w:tc>
          <w:tcPr>
            <w:tcW w:w="1069" w:type="pct"/>
          </w:tcPr>
          <w:p w14:paraId="5A5D0228" w14:textId="77777777" w:rsidR="001B6075" w:rsidRPr="00732EED" w:rsidRDefault="001B6075" w:rsidP="00DC5B3C">
            <w:pPr>
              <w:rPr>
                <w:b/>
                <w:bCs/>
                <w:sz w:val="18"/>
                <w:szCs w:val="18"/>
              </w:rPr>
            </w:pPr>
            <w:r w:rsidRPr="00732EED">
              <w:rPr>
                <w:b/>
                <w:bCs/>
                <w:sz w:val="18"/>
                <w:szCs w:val="18"/>
              </w:rPr>
              <w:t>Social</w:t>
            </w:r>
          </w:p>
        </w:tc>
        <w:tc>
          <w:tcPr>
            <w:tcW w:w="1069" w:type="pct"/>
          </w:tcPr>
          <w:p w14:paraId="3D28B058" w14:textId="77777777" w:rsidR="001B6075" w:rsidRPr="00732EED" w:rsidRDefault="001B6075" w:rsidP="00DC5B3C">
            <w:pPr>
              <w:rPr>
                <w:sz w:val="18"/>
                <w:szCs w:val="18"/>
              </w:rPr>
            </w:pPr>
            <w:r w:rsidRPr="00732EED">
              <w:rPr>
                <w:sz w:val="18"/>
                <w:szCs w:val="18"/>
              </w:rPr>
              <w:t>Peer &amp; Online Communities</w:t>
            </w:r>
          </w:p>
        </w:tc>
        <w:tc>
          <w:tcPr>
            <w:tcW w:w="777" w:type="pct"/>
          </w:tcPr>
          <w:p w14:paraId="5D01E474" w14:textId="77777777" w:rsidR="001B6075" w:rsidRPr="00732EED" w:rsidRDefault="001B6075" w:rsidP="00DC5B3C">
            <w:pPr>
              <w:rPr>
                <w:sz w:val="18"/>
                <w:szCs w:val="18"/>
              </w:rPr>
            </w:pPr>
            <w:r w:rsidRPr="00732EED">
              <w:rPr>
                <w:sz w:val="18"/>
                <w:szCs w:val="18"/>
              </w:rPr>
              <w:t>5</w:t>
            </w:r>
          </w:p>
        </w:tc>
        <w:tc>
          <w:tcPr>
            <w:tcW w:w="2085" w:type="pct"/>
          </w:tcPr>
          <w:p w14:paraId="2CA610BB" w14:textId="77777777" w:rsidR="001B6075" w:rsidRPr="00732EED" w:rsidRDefault="001B6075" w:rsidP="00DC5B3C">
            <w:pPr>
              <w:rPr>
                <w:sz w:val="18"/>
                <w:szCs w:val="18"/>
              </w:rPr>
            </w:pPr>
            <w:r w:rsidRPr="00732EED">
              <w:rPr>
                <w:sz w:val="18"/>
                <w:szCs w:val="18"/>
              </w:rPr>
              <w:t>12,13,16,17,60,65,69,83</w:t>
            </w:r>
          </w:p>
        </w:tc>
      </w:tr>
      <w:tr w:rsidR="001B6075" w:rsidRPr="00732EED" w14:paraId="18897083"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20088ADB" w14:textId="77777777" w:rsidR="001B6075" w:rsidRPr="00732EED" w:rsidRDefault="001B6075" w:rsidP="00DC5B3C">
            <w:pPr>
              <w:rPr>
                <w:b/>
                <w:bCs/>
                <w:sz w:val="18"/>
                <w:szCs w:val="18"/>
              </w:rPr>
            </w:pPr>
            <w:r w:rsidRPr="00732EED">
              <w:rPr>
                <w:b/>
                <w:bCs/>
                <w:sz w:val="18"/>
                <w:szCs w:val="18"/>
              </w:rPr>
              <w:t>Physical</w:t>
            </w:r>
          </w:p>
        </w:tc>
        <w:tc>
          <w:tcPr>
            <w:tcW w:w="1069" w:type="pct"/>
          </w:tcPr>
          <w:p w14:paraId="02C3C59C" w14:textId="77777777" w:rsidR="001B6075" w:rsidRPr="00732EED" w:rsidRDefault="001B6075" w:rsidP="00DC5B3C">
            <w:pPr>
              <w:rPr>
                <w:sz w:val="18"/>
                <w:szCs w:val="18"/>
              </w:rPr>
            </w:pPr>
            <w:r w:rsidRPr="00732EED">
              <w:rPr>
                <w:sz w:val="18"/>
                <w:szCs w:val="18"/>
              </w:rPr>
              <w:t>Physical (total)</w:t>
            </w:r>
          </w:p>
        </w:tc>
        <w:tc>
          <w:tcPr>
            <w:tcW w:w="777" w:type="pct"/>
          </w:tcPr>
          <w:p w14:paraId="2B80A12E" w14:textId="77777777" w:rsidR="001B6075" w:rsidRPr="00732EED" w:rsidRDefault="001B6075" w:rsidP="00DC5B3C">
            <w:pPr>
              <w:rPr>
                <w:sz w:val="18"/>
                <w:szCs w:val="18"/>
              </w:rPr>
            </w:pPr>
            <w:r w:rsidRPr="00732EED">
              <w:rPr>
                <w:sz w:val="18"/>
                <w:szCs w:val="18"/>
              </w:rPr>
              <w:t>135</w:t>
            </w:r>
          </w:p>
        </w:tc>
        <w:tc>
          <w:tcPr>
            <w:tcW w:w="2085" w:type="pct"/>
          </w:tcPr>
          <w:p w14:paraId="00B41B56" w14:textId="77777777" w:rsidR="001B6075" w:rsidRPr="00732EED" w:rsidRDefault="001B6075" w:rsidP="00DC5B3C">
            <w:pPr>
              <w:rPr>
                <w:sz w:val="18"/>
                <w:szCs w:val="18"/>
              </w:rPr>
            </w:pPr>
            <w:r w:rsidRPr="00732EED">
              <w:rPr>
                <w:sz w:val="18"/>
                <w:szCs w:val="18"/>
              </w:rPr>
              <w:t>1–3,6,10,18–21,24,29,31,32,34,37,39–41,46–49,50,52,55,57,59,61,66,69–71,73–75,81,86,87,90,93,94</w:t>
            </w:r>
          </w:p>
        </w:tc>
      </w:tr>
      <w:tr w:rsidR="001B6075" w:rsidRPr="00732EED" w14:paraId="6F8398D5" w14:textId="77777777" w:rsidTr="00994F9D">
        <w:tc>
          <w:tcPr>
            <w:tcW w:w="1069" w:type="pct"/>
          </w:tcPr>
          <w:p w14:paraId="6BAE02E4" w14:textId="77777777" w:rsidR="001B6075" w:rsidRPr="00732EED" w:rsidRDefault="001B6075" w:rsidP="00DC5B3C">
            <w:pPr>
              <w:rPr>
                <w:b/>
                <w:bCs/>
                <w:sz w:val="18"/>
                <w:szCs w:val="18"/>
              </w:rPr>
            </w:pPr>
            <w:r w:rsidRPr="00732EED">
              <w:rPr>
                <w:b/>
                <w:bCs/>
                <w:sz w:val="18"/>
                <w:szCs w:val="18"/>
              </w:rPr>
              <w:t>Physical</w:t>
            </w:r>
          </w:p>
        </w:tc>
        <w:tc>
          <w:tcPr>
            <w:tcW w:w="1069" w:type="pct"/>
          </w:tcPr>
          <w:p w14:paraId="0DB1DE1A" w14:textId="77777777" w:rsidR="001B6075" w:rsidRPr="00732EED" w:rsidRDefault="001B6075" w:rsidP="00DC5B3C">
            <w:pPr>
              <w:rPr>
                <w:sz w:val="18"/>
                <w:szCs w:val="18"/>
              </w:rPr>
            </w:pPr>
            <w:r w:rsidRPr="00732EED">
              <w:rPr>
                <w:sz w:val="18"/>
                <w:szCs w:val="18"/>
              </w:rPr>
              <w:t>Pain &amp; Symptom Burden</w:t>
            </w:r>
          </w:p>
        </w:tc>
        <w:tc>
          <w:tcPr>
            <w:tcW w:w="777" w:type="pct"/>
          </w:tcPr>
          <w:p w14:paraId="7BA251A6" w14:textId="77777777" w:rsidR="001B6075" w:rsidRPr="00732EED" w:rsidRDefault="001B6075" w:rsidP="00DC5B3C">
            <w:pPr>
              <w:rPr>
                <w:sz w:val="18"/>
                <w:szCs w:val="18"/>
              </w:rPr>
            </w:pPr>
            <w:r w:rsidRPr="00732EED">
              <w:rPr>
                <w:sz w:val="18"/>
                <w:szCs w:val="18"/>
              </w:rPr>
              <w:t>40</w:t>
            </w:r>
          </w:p>
        </w:tc>
        <w:tc>
          <w:tcPr>
            <w:tcW w:w="2085" w:type="pct"/>
          </w:tcPr>
          <w:p w14:paraId="1D235514" w14:textId="77777777" w:rsidR="001B6075" w:rsidRPr="00732EED" w:rsidRDefault="001B6075" w:rsidP="00DC5B3C">
            <w:pPr>
              <w:rPr>
                <w:sz w:val="18"/>
                <w:szCs w:val="18"/>
              </w:rPr>
            </w:pPr>
            <w:r w:rsidRPr="00732EED">
              <w:rPr>
                <w:sz w:val="18"/>
                <w:szCs w:val="18"/>
              </w:rPr>
              <w:t>1–3,6,10,18–21,24,29,31,37,39–41,46–49,52,55,61,66,69–71,73–75,78,81,87,90,93,94</w:t>
            </w:r>
          </w:p>
        </w:tc>
      </w:tr>
      <w:tr w:rsidR="001B6075" w:rsidRPr="00732EED" w14:paraId="2591A9F3"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268B28E7" w14:textId="77777777" w:rsidR="001B6075" w:rsidRPr="00732EED" w:rsidRDefault="001B6075" w:rsidP="00DC5B3C">
            <w:pPr>
              <w:rPr>
                <w:b/>
                <w:bCs/>
                <w:sz w:val="18"/>
                <w:szCs w:val="18"/>
              </w:rPr>
            </w:pPr>
            <w:r w:rsidRPr="00732EED">
              <w:rPr>
                <w:b/>
                <w:bCs/>
                <w:sz w:val="18"/>
                <w:szCs w:val="18"/>
              </w:rPr>
              <w:t>Physical</w:t>
            </w:r>
          </w:p>
        </w:tc>
        <w:tc>
          <w:tcPr>
            <w:tcW w:w="1069" w:type="pct"/>
          </w:tcPr>
          <w:p w14:paraId="43ACF3C5" w14:textId="77777777" w:rsidR="001B6075" w:rsidRPr="00732EED" w:rsidRDefault="001B6075" w:rsidP="00DC5B3C">
            <w:pPr>
              <w:rPr>
                <w:sz w:val="18"/>
                <w:szCs w:val="18"/>
              </w:rPr>
            </w:pPr>
            <w:r w:rsidRPr="00732EED">
              <w:rPr>
                <w:sz w:val="18"/>
                <w:szCs w:val="18"/>
              </w:rPr>
              <w:t>Activity &amp; Pacing</w:t>
            </w:r>
          </w:p>
        </w:tc>
        <w:tc>
          <w:tcPr>
            <w:tcW w:w="777" w:type="pct"/>
          </w:tcPr>
          <w:p w14:paraId="5D109BD7" w14:textId="77777777" w:rsidR="001B6075" w:rsidRPr="00732EED" w:rsidRDefault="001B6075" w:rsidP="00DC5B3C">
            <w:pPr>
              <w:rPr>
                <w:sz w:val="18"/>
                <w:szCs w:val="18"/>
              </w:rPr>
            </w:pPr>
            <w:r w:rsidRPr="00732EED">
              <w:rPr>
                <w:sz w:val="18"/>
                <w:szCs w:val="18"/>
              </w:rPr>
              <w:t>32</w:t>
            </w:r>
          </w:p>
        </w:tc>
        <w:tc>
          <w:tcPr>
            <w:tcW w:w="2085" w:type="pct"/>
          </w:tcPr>
          <w:p w14:paraId="613767B0" w14:textId="77777777" w:rsidR="001B6075" w:rsidRPr="00732EED" w:rsidRDefault="001B6075" w:rsidP="00DC5B3C">
            <w:pPr>
              <w:rPr>
                <w:sz w:val="18"/>
                <w:szCs w:val="18"/>
              </w:rPr>
            </w:pPr>
            <w:r w:rsidRPr="00732EED">
              <w:rPr>
                <w:sz w:val="18"/>
                <w:szCs w:val="18"/>
              </w:rPr>
              <w:t>1,2,9,18,19,21,24,29,32,34,37,39,40,46–49,50,55,57,60,65,69,70,73,79,80,81,86</w:t>
            </w:r>
          </w:p>
        </w:tc>
      </w:tr>
      <w:tr w:rsidR="001B6075" w:rsidRPr="00732EED" w14:paraId="2405ADC8" w14:textId="77777777" w:rsidTr="00994F9D">
        <w:tc>
          <w:tcPr>
            <w:tcW w:w="1069" w:type="pct"/>
          </w:tcPr>
          <w:p w14:paraId="60318F0A" w14:textId="77777777" w:rsidR="001B6075" w:rsidRPr="00732EED" w:rsidRDefault="001B6075" w:rsidP="00DC5B3C">
            <w:pPr>
              <w:rPr>
                <w:b/>
                <w:bCs/>
                <w:sz w:val="18"/>
                <w:szCs w:val="18"/>
              </w:rPr>
            </w:pPr>
            <w:r w:rsidRPr="00732EED">
              <w:rPr>
                <w:b/>
                <w:bCs/>
                <w:sz w:val="18"/>
                <w:szCs w:val="18"/>
              </w:rPr>
              <w:t>Physical</w:t>
            </w:r>
          </w:p>
        </w:tc>
        <w:tc>
          <w:tcPr>
            <w:tcW w:w="1069" w:type="pct"/>
          </w:tcPr>
          <w:p w14:paraId="68496293" w14:textId="77777777" w:rsidR="001B6075" w:rsidRPr="00732EED" w:rsidRDefault="001B6075" w:rsidP="00DC5B3C">
            <w:pPr>
              <w:rPr>
                <w:sz w:val="18"/>
                <w:szCs w:val="18"/>
              </w:rPr>
            </w:pPr>
            <w:r w:rsidRPr="00732EED">
              <w:rPr>
                <w:sz w:val="18"/>
                <w:szCs w:val="18"/>
              </w:rPr>
              <w:t>Limitations &amp; Disability</w:t>
            </w:r>
          </w:p>
        </w:tc>
        <w:tc>
          <w:tcPr>
            <w:tcW w:w="777" w:type="pct"/>
          </w:tcPr>
          <w:p w14:paraId="6257897A" w14:textId="77777777" w:rsidR="001B6075" w:rsidRPr="00732EED" w:rsidRDefault="001B6075" w:rsidP="00DC5B3C">
            <w:pPr>
              <w:rPr>
                <w:sz w:val="18"/>
                <w:szCs w:val="18"/>
              </w:rPr>
            </w:pPr>
            <w:r w:rsidRPr="00732EED">
              <w:rPr>
                <w:sz w:val="18"/>
                <w:szCs w:val="18"/>
              </w:rPr>
              <w:t>28</w:t>
            </w:r>
          </w:p>
        </w:tc>
        <w:tc>
          <w:tcPr>
            <w:tcW w:w="2085" w:type="pct"/>
          </w:tcPr>
          <w:p w14:paraId="5341F29F" w14:textId="77777777" w:rsidR="001B6075" w:rsidRPr="00732EED" w:rsidRDefault="001B6075" w:rsidP="00DC5B3C">
            <w:pPr>
              <w:rPr>
                <w:sz w:val="18"/>
                <w:szCs w:val="18"/>
              </w:rPr>
            </w:pPr>
            <w:r w:rsidRPr="00732EED">
              <w:rPr>
                <w:sz w:val="18"/>
                <w:szCs w:val="18"/>
              </w:rPr>
              <w:t>1–3,10,18–21,24,29,31,37,39,41,46–49,50,52,55,61,66,71,73,81,87,93,94</w:t>
            </w:r>
          </w:p>
        </w:tc>
      </w:tr>
      <w:tr w:rsidR="001B6075" w:rsidRPr="00732EED" w14:paraId="2CC7C2E2"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08E89A57" w14:textId="77777777" w:rsidR="001B6075" w:rsidRPr="00732EED" w:rsidRDefault="001B6075" w:rsidP="00DC5B3C">
            <w:pPr>
              <w:rPr>
                <w:b/>
                <w:bCs/>
                <w:sz w:val="18"/>
                <w:szCs w:val="18"/>
              </w:rPr>
            </w:pPr>
            <w:r w:rsidRPr="00732EED">
              <w:rPr>
                <w:b/>
                <w:bCs/>
                <w:sz w:val="18"/>
                <w:szCs w:val="18"/>
              </w:rPr>
              <w:t>Physical</w:t>
            </w:r>
          </w:p>
        </w:tc>
        <w:tc>
          <w:tcPr>
            <w:tcW w:w="1069" w:type="pct"/>
          </w:tcPr>
          <w:p w14:paraId="5E75B66C" w14:textId="77777777" w:rsidR="001B6075" w:rsidRPr="00732EED" w:rsidRDefault="001B6075" w:rsidP="00DC5B3C">
            <w:pPr>
              <w:rPr>
                <w:sz w:val="18"/>
                <w:szCs w:val="18"/>
              </w:rPr>
            </w:pPr>
            <w:r w:rsidRPr="00732EED">
              <w:rPr>
                <w:sz w:val="18"/>
                <w:szCs w:val="18"/>
              </w:rPr>
              <w:t>Fluctuation/Unpredictability</w:t>
            </w:r>
          </w:p>
        </w:tc>
        <w:tc>
          <w:tcPr>
            <w:tcW w:w="777" w:type="pct"/>
          </w:tcPr>
          <w:p w14:paraId="64E43DA0" w14:textId="77777777" w:rsidR="001B6075" w:rsidRPr="00732EED" w:rsidRDefault="001B6075" w:rsidP="00DC5B3C">
            <w:pPr>
              <w:rPr>
                <w:sz w:val="18"/>
                <w:szCs w:val="18"/>
              </w:rPr>
            </w:pPr>
            <w:r w:rsidRPr="00732EED">
              <w:rPr>
                <w:sz w:val="18"/>
                <w:szCs w:val="18"/>
              </w:rPr>
              <w:t>18</w:t>
            </w:r>
          </w:p>
        </w:tc>
        <w:tc>
          <w:tcPr>
            <w:tcW w:w="2085" w:type="pct"/>
          </w:tcPr>
          <w:p w14:paraId="231D0EA6" w14:textId="77777777" w:rsidR="001B6075" w:rsidRPr="00732EED" w:rsidRDefault="001B6075" w:rsidP="00DC5B3C">
            <w:pPr>
              <w:rPr>
                <w:sz w:val="18"/>
                <w:szCs w:val="18"/>
              </w:rPr>
            </w:pPr>
            <w:r w:rsidRPr="00732EED">
              <w:rPr>
                <w:sz w:val="18"/>
                <w:szCs w:val="18"/>
              </w:rPr>
              <w:t>1,6,19,24,29,37,39,40,42,54,66,72,74,75,78,81</w:t>
            </w:r>
          </w:p>
        </w:tc>
      </w:tr>
      <w:tr w:rsidR="001B6075" w:rsidRPr="00732EED" w14:paraId="5EA490D1" w14:textId="77777777" w:rsidTr="00994F9D">
        <w:tc>
          <w:tcPr>
            <w:tcW w:w="1069" w:type="pct"/>
          </w:tcPr>
          <w:p w14:paraId="068C2402" w14:textId="77777777" w:rsidR="001B6075" w:rsidRPr="00732EED" w:rsidRDefault="001B6075" w:rsidP="00DC5B3C">
            <w:pPr>
              <w:rPr>
                <w:b/>
                <w:bCs/>
                <w:sz w:val="18"/>
                <w:szCs w:val="18"/>
              </w:rPr>
            </w:pPr>
            <w:r w:rsidRPr="00732EED">
              <w:rPr>
                <w:b/>
                <w:bCs/>
                <w:sz w:val="18"/>
                <w:szCs w:val="18"/>
              </w:rPr>
              <w:t>Physical</w:t>
            </w:r>
          </w:p>
        </w:tc>
        <w:tc>
          <w:tcPr>
            <w:tcW w:w="1069" w:type="pct"/>
          </w:tcPr>
          <w:p w14:paraId="494E1447" w14:textId="77777777" w:rsidR="001B6075" w:rsidRPr="00732EED" w:rsidRDefault="001B6075" w:rsidP="00DC5B3C">
            <w:pPr>
              <w:rPr>
                <w:sz w:val="18"/>
                <w:szCs w:val="18"/>
              </w:rPr>
            </w:pPr>
            <w:r w:rsidRPr="00732EED">
              <w:rPr>
                <w:sz w:val="18"/>
                <w:szCs w:val="18"/>
              </w:rPr>
              <w:t>Autonomy &amp; Independence</w:t>
            </w:r>
          </w:p>
        </w:tc>
        <w:tc>
          <w:tcPr>
            <w:tcW w:w="777" w:type="pct"/>
          </w:tcPr>
          <w:p w14:paraId="536CC06F" w14:textId="77777777" w:rsidR="001B6075" w:rsidRPr="00732EED" w:rsidRDefault="001B6075" w:rsidP="00DC5B3C">
            <w:pPr>
              <w:rPr>
                <w:sz w:val="18"/>
                <w:szCs w:val="18"/>
              </w:rPr>
            </w:pPr>
            <w:r w:rsidRPr="00732EED">
              <w:rPr>
                <w:sz w:val="18"/>
                <w:szCs w:val="18"/>
              </w:rPr>
              <w:t>10</w:t>
            </w:r>
          </w:p>
        </w:tc>
        <w:tc>
          <w:tcPr>
            <w:tcW w:w="2085" w:type="pct"/>
          </w:tcPr>
          <w:p w14:paraId="0E1F3799" w14:textId="77777777" w:rsidR="001B6075" w:rsidRPr="00732EED" w:rsidRDefault="001B6075" w:rsidP="00DC5B3C">
            <w:pPr>
              <w:rPr>
                <w:sz w:val="18"/>
                <w:szCs w:val="18"/>
              </w:rPr>
            </w:pPr>
            <w:r w:rsidRPr="00732EED">
              <w:rPr>
                <w:sz w:val="18"/>
                <w:szCs w:val="18"/>
              </w:rPr>
              <w:t>21,24,29,39,46–49,52,61,79</w:t>
            </w:r>
          </w:p>
        </w:tc>
      </w:tr>
      <w:tr w:rsidR="001B6075" w:rsidRPr="00732EED" w14:paraId="53A23EED"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6A549085" w14:textId="77777777" w:rsidR="001B6075" w:rsidRPr="00732EED" w:rsidRDefault="001B6075" w:rsidP="00DC5B3C">
            <w:pPr>
              <w:rPr>
                <w:b/>
                <w:bCs/>
                <w:sz w:val="18"/>
                <w:szCs w:val="18"/>
              </w:rPr>
            </w:pPr>
            <w:r w:rsidRPr="00732EED">
              <w:rPr>
                <w:b/>
                <w:bCs/>
                <w:sz w:val="18"/>
                <w:szCs w:val="18"/>
              </w:rPr>
              <w:t>Physical</w:t>
            </w:r>
          </w:p>
        </w:tc>
        <w:tc>
          <w:tcPr>
            <w:tcW w:w="1069" w:type="pct"/>
          </w:tcPr>
          <w:p w14:paraId="49391C0D" w14:textId="77777777" w:rsidR="001B6075" w:rsidRPr="00732EED" w:rsidRDefault="001B6075" w:rsidP="00DC5B3C">
            <w:pPr>
              <w:rPr>
                <w:sz w:val="18"/>
                <w:szCs w:val="18"/>
              </w:rPr>
            </w:pPr>
            <w:r w:rsidRPr="00732EED">
              <w:rPr>
                <w:sz w:val="18"/>
                <w:szCs w:val="18"/>
              </w:rPr>
              <w:t>Transportation &amp; Environment</w:t>
            </w:r>
          </w:p>
        </w:tc>
        <w:tc>
          <w:tcPr>
            <w:tcW w:w="777" w:type="pct"/>
          </w:tcPr>
          <w:p w14:paraId="2EF6017B" w14:textId="77777777" w:rsidR="001B6075" w:rsidRPr="00732EED" w:rsidRDefault="001B6075" w:rsidP="00DC5B3C">
            <w:pPr>
              <w:rPr>
                <w:sz w:val="18"/>
                <w:szCs w:val="18"/>
              </w:rPr>
            </w:pPr>
            <w:r w:rsidRPr="00732EED">
              <w:rPr>
                <w:sz w:val="18"/>
                <w:szCs w:val="18"/>
              </w:rPr>
              <w:t>7</w:t>
            </w:r>
          </w:p>
        </w:tc>
        <w:tc>
          <w:tcPr>
            <w:tcW w:w="2085" w:type="pct"/>
          </w:tcPr>
          <w:p w14:paraId="2EA38E99" w14:textId="77777777" w:rsidR="001B6075" w:rsidRPr="00732EED" w:rsidRDefault="001B6075" w:rsidP="00DC5B3C">
            <w:pPr>
              <w:rPr>
                <w:sz w:val="18"/>
                <w:szCs w:val="18"/>
              </w:rPr>
            </w:pPr>
            <w:r w:rsidRPr="00732EED">
              <w:rPr>
                <w:sz w:val="18"/>
                <w:szCs w:val="18"/>
              </w:rPr>
              <w:t>6,21,34,49,52,67,71,87,88</w:t>
            </w:r>
          </w:p>
        </w:tc>
      </w:tr>
      <w:tr w:rsidR="001B6075" w:rsidRPr="00732EED" w14:paraId="581B6311" w14:textId="77777777" w:rsidTr="00994F9D">
        <w:tc>
          <w:tcPr>
            <w:tcW w:w="1069" w:type="pct"/>
          </w:tcPr>
          <w:p w14:paraId="1254DE8C" w14:textId="77777777" w:rsidR="001B6075" w:rsidRPr="00732EED" w:rsidRDefault="001B6075" w:rsidP="00DC5B3C">
            <w:pPr>
              <w:rPr>
                <w:b/>
                <w:bCs/>
                <w:sz w:val="18"/>
                <w:szCs w:val="18"/>
              </w:rPr>
            </w:pPr>
            <w:r w:rsidRPr="00732EED">
              <w:rPr>
                <w:b/>
                <w:bCs/>
                <w:sz w:val="18"/>
                <w:szCs w:val="18"/>
              </w:rPr>
              <w:t>Psychological</w:t>
            </w:r>
          </w:p>
        </w:tc>
        <w:tc>
          <w:tcPr>
            <w:tcW w:w="1069" w:type="pct"/>
          </w:tcPr>
          <w:p w14:paraId="5CEA492B" w14:textId="77777777" w:rsidR="001B6075" w:rsidRPr="00732EED" w:rsidRDefault="001B6075" w:rsidP="00DC5B3C">
            <w:pPr>
              <w:rPr>
                <w:sz w:val="18"/>
                <w:szCs w:val="18"/>
              </w:rPr>
            </w:pPr>
            <w:r w:rsidRPr="00732EED">
              <w:rPr>
                <w:sz w:val="18"/>
                <w:szCs w:val="18"/>
              </w:rPr>
              <w:t>Psychological (total)</w:t>
            </w:r>
          </w:p>
        </w:tc>
        <w:tc>
          <w:tcPr>
            <w:tcW w:w="777" w:type="pct"/>
          </w:tcPr>
          <w:p w14:paraId="2305EC30" w14:textId="77777777" w:rsidR="001B6075" w:rsidRPr="00732EED" w:rsidRDefault="001B6075" w:rsidP="00DC5B3C">
            <w:pPr>
              <w:rPr>
                <w:sz w:val="18"/>
                <w:szCs w:val="18"/>
              </w:rPr>
            </w:pPr>
            <w:r w:rsidRPr="00732EED">
              <w:rPr>
                <w:sz w:val="18"/>
                <w:szCs w:val="18"/>
              </w:rPr>
              <w:t>145</w:t>
            </w:r>
          </w:p>
        </w:tc>
        <w:tc>
          <w:tcPr>
            <w:tcW w:w="2085" w:type="pct"/>
          </w:tcPr>
          <w:p w14:paraId="3542A0B0" w14:textId="77777777" w:rsidR="001B6075" w:rsidRPr="00732EED" w:rsidRDefault="001B6075" w:rsidP="00DC5B3C">
            <w:pPr>
              <w:rPr>
                <w:sz w:val="18"/>
                <w:szCs w:val="18"/>
              </w:rPr>
            </w:pPr>
            <w:r w:rsidRPr="00732EED">
              <w:rPr>
                <w:sz w:val="18"/>
                <w:szCs w:val="18"/>
              </w:rPr>
              <w:t>2,3,5,7,9–11,14,15,18,19,21,24,25–27,28,29,31–33,37,39–41,45,46–49,52,55,57–61,62,65–66,69–72,74–75,78–81,82–85,87–91,93</w:t>
            </w:r>
          </w:p>
        </w:tc>
      </w:tr>
      <w:tr w:rsidR="001B6075" w:rsidRPr="00732EED" w14:paraId="22669EA3"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2DB468EE" w14:textId="77777777" w:rsidR="001B6075" w:rsidRPr="00732EED" w:rsidRDefault="001B6075" w:rsidP="00DC5B3C">
            <w:pPr>
              <w:rPr>
                <w:b/>
                <w:bCs/>
                <w:sz w:val="18"/>
                <w:szCs w:val="18"/>
              </w:rPr>
            </w:pPr>
            <w:r w:rsidRPr="00732EED">
              <w:rPr>
                <w:b/>
                <w:bCs/>
                <w:sz w:val="18"/>
                <w:szCs w:val="18"/>
              </w:rPr>
              <w:t>Psychological</w:t>
            </w:r>
          </w:p>
        </w:tc>
        <w:tc>
          <w:tcPr>
            <w:tcW w:w="1069" w:type="pct"/>
          </w:tcPr>
          <w:p w14:paraId="7D2A3F8F" w14:textId="77777777" w:rsidR="001B6075" w:rsidRPr="00732EED" w:rsidRDefault="001B6075" w:rsidP="00DC5B3C">
            <w:pPr>
              <w:rPr>
                <w:sz w:val="18"/>
                <w:szCs w:val="18"/>
              </w:rPr>
            </w:pPr>
            <w:r w:rsidRPr="00732EED">
              <w:rPr>
                <w:sz w:val="18"/>
                <w:szCs w:val="18"/>
              </w:rPr>
              <w:t>Depression &amp; Hopelessness</w:t>
            </w:r>
          </w:p>
        </w:tc>
        <w:tc>
          <w:tcPr>
            <w:tcW w:w="777" w:type="pct"/>
          </w:tcPr>
          <w:p w14:paraId="58D54DA1" w14:textId="77777777" w:rsidR="001B6075" w:rsidRPr="00732EED" w:rsidRDefault="001B6075" w:rsidP="00DC5B3C">
            <w:pPr>
              <w:rPr>
                <w:sz w:val="18"/>
                <w:szCs w:val="18"/>
              </w:rPr>
            </w:pPr>
            <w:r w:rsidRPr="00732EED">
              <w:rPr>
                <w:sz w:val="18"/>
                <w:szCs w:val="18"/>
              </w:rPr>
              <w:t>38</w:t>
            </w:r>
          </w:p>
        </w:tc>
        <w:tc>
          <w:tcPr>
            <w:tcW w:w="2085" w:type="pct"/>
          </w:tcPr>
          <w:p w14:paraId="0A0FFCEC" w14:textId="77777777" w:rsidR="001B6075" w:rsidRPr="00732EED" w:rsidRDefault="001B6075" w:rsidP="00DC5B3C">
            <w:pPr>
              <w:rPr>
                <w:sz w:val="18"/>
                <w:szCs w:val="18"/>
              </w:rPr>
            </w:pPr>
            <w:r w:rsidRPr="00732EED">
              <w:rPr>
                <w:sz w:val="18"/>
                <w:szCs w:val="18"/>
              </w:rPr>
              <w:t>10,14,18,19,24,25,27,29,31,32,37,38,41,45,46–49,57,59,61,64,66,69,72,78,81,83,89,90,93</w:t>
            </w:r>
          </w:p>
        </w:tc>
      </w:tr>
      <w:tr w:rsidR="001B6075" w:rsidRPr="00732EED" w14:paraId="021A1F39" w14:textId="77777777" w:rsidTr="00994F9D">
        <w:tc>
          <w:tcPr>
            <w:tcW w:w="1069" w:type="pct"/>
          </w:tcPr>
          <w:p w14:paraId="55E08FD5" w14:textId="77777777" w:rsidR="001B6075" w:rsidRPr="00732EED" w:rsidRDefault="001B6075" w:rsidP="00DC5B3C">
            <w:pPr>
              <w:rPr>
                <w:b/>
                <w:bCs/>
                <w:sz w:val="18"/>
                <w:szCs w:val="18"/>
              </w:rPr>
            </w:pPr>
            <w:r w:rsidRPr="00732EED">
              <w:rPr>
                <w:b/>
                <w:bCs/>
                <w:sz w:val="18"/>
                <w:szCs w:val="18"/>
              </w:rPr>
              <w:t>Psychological</w:t>
            </w:r>
          </w:p>
        </w:tc>
        <w:tc>
          <w:tcPr>
            <w:tcW w:w="1069" w:type="pct"/>
          </w:tcPr>
          <w:p w14:paraId="22FAB632" w14:textId="77777777" w:rsidR="001B6075" w:rsidRPr="00732EED" w:rsidRDefault="001B6075" w:rsidP="00DC5B3C">
            <w:pPr>
              <w:rPr>
                <w:sz w:val="18"/>
                <w:szCs w:val="18"/>
              </w:rPr>
            </w:pPr>
            <w:r w:rsidRPr="00732EED">
              <w:rPr>
                <w:sz w:val="18"/>
                <w:szCs w:val="18"/>
              </w:rPr>
              <w:t>Anxiety &amp; Fear</w:t>
            </w:r>
          </w:p>
        </w:tc>
        <w:tc>
          <w:tcPr>
            <w:tcW w:w="777" w:type="pct"/>
          </w:tcPr>
          <w:p w14:paraId="072C7183" w14:textId="77777777" w:rsidR="001B6075" w:rsidRPr="00732EED" w:rsidRDefault="001B6075" w:rsidP="00DC5B3C">
            <w:pPr>
              <w:rPr>
                <w:sz w:val="18"/>
                <w:szCs w:val="18"/>
              </w:rPr>
            </w:pPr>
            <w:r w:rsidRPr="00732EED">
              <w:rPr>
                <w:sz w:val="18"/>
                <w:szCs w:val="18"/>
              </w:rPr>
              <w:t>28</w:t>
            </w:r>
          </w:p>
        </w:tc>
        <w:tc>
          <w:tcPr>
            <w:tcW w:w="2085" w:type="pct"/>
          </w:tcPr>
          <w:p w14:paraId="4F0B5DCB" w14:textId="77777777" w:rsidR="001B6075" w:rsidRPr="00732EED" w:rsidRDefault="001B6075" w:rsidP="00DC5B3C">
            <w:pPr>
              <w:rPr>
                <w:sz w:val="18"/>
                <w:szCs w:val="18"/>
              </w:rPr>
            </w:pPr>
            <w:r w:rsidRPr="00732EED">
              <w:rPr>
                <w:sz w:val="18"/>
                <w:szCs w:val="18"/>
              </w:rPr>
              <w:t>10,14,18,19,21,24,25,27,29,31,33,37,39,40,41,42,45,49,55,61,66,69,72,78,81,85,89</w:t>
            </w:r>
          </w:p>
        </w:tc>
      </w:tr>
      <w:tr w:rsidR="001B6075" w:rsidRPr="00732EED" w14:paraId="79449F88"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3F2C8574" w14:textId="77777777" w:rsidR="001B6075" w:rsidRPr="00732EED" w:rsidRDefault="001B6075" w:rsidP="00DC5B3C">
            <w:pPr>
              <w:rPr>
                <w:b/>
                <w:bCs/>
                <w:sz w:val="18"/>
                <w:szCs w:val="18"/>
              </w:rPr>
            </w:pPr>
            <w:r w:rsidRPr="00732EED">
              <w:rPr>
                <w:b/>
                <w:bCs/>
                <w:sz w:val="18"/>
                <w:szCs w:val="18"/>
              </w:rPr>
              <w:t>Psychological</w:t>
            </w:r>
          </w:p>
        </w:tc>
        <w:tc>
          <w:tcPr>
            <w:tcW w:w="1069" w:type="pct"/>
          </w:tcPr>
          <w:p w14:paraId="2A089261" w14:textId="77777777" w:rsidR="001B6075" w:rsidRPr="00732EED" w:rsidRDefault="001B6075" w:rsidP="00DC5B3C">
            <w:pPr>
              <w:rPr>
                <w:sz w:val="18"/>
                <w:szCs w:val="18"/>
              </w:rPr>
            </w:pPr>
            <w:r w:rsidRPr="00732EED">
              <w:rPr>
                <w:sz w:val="18"/>
                <w:szCs w:val="18"/>
              </w:rPr>
              <w:t>Self-esteem &amp; Identity Threat</w:t>
            </w:r>
          </w:p>
        </w:tc>
        <w:tc>
          <w:tcPr>
            <w:tcW w:w="777" w:type="pct"/>
          </w:tcPr>
          <w:p w14:paraId="25E4588D" w14:textId="77777777" w:rsidR="001B6075" w:rsidRPr="00732EED" w:rsidRDefault="001B6075" w:rsidP="00DC5B3C">
            <w:pPr>
              <w:rPr>
                <w:sz w:val="18"/>
                <w:szCs w:val="18"/>
              </w:rPr>
            </w:pPr>
            <w:r w:rsidRPr="00732EED">
              <w:rPr>
                <w:sz w:val="18"/>
                <w:szCs w:val="18"/>
              </w:rPr>
              <w:t>25</w:t>
            </w:r>
          </w:p>
        </w:tc>
        <w:tc>
          <w:tcPr>
            <w:tcW w:w="2085" w:type="pct"/>
          </w:tcPr>
          <w:p w14:paraId="4425CD5F" w14:textId="77777777" w:rsidR="001B6075" w:rsidRPr="00732EED" w:rsidRDefault="001B6075" w:rsidP="00DC5B3C">
            <w:pPr>
              <w:rPr>
                <w:sz w:val="18"/>
                <w:szCs w:val="18"/>
              </w:rPr>
            </w:pPr>
            <w:r w:rsidRPr="00732EED">
              <w:rPr>
                <w:sz w:val="18"/>
                <w:szCs w:val="18"/>
              </w:rPr>
              <w:t>2,5,7,10,14,18,19,24,25–28,28,29,33,37,40,45,52,59,72,78,80,82,93</w:t>
            </w:r>
          </w:p>
        </w:tc>
      </w:tr>
      <w:tr w:rsidR="001B6075" w:rsidRPr="00732EED" w14:paraId="612D9756" w14:textId="77777777" w:rsidTr="00994F9D">
        <w:tc>
          <w:tcPr>
            <w:tcW w:w="1069" w:type="pct"/>
          </w:tcPr>
          <w:p w14:paraId="58A9256E" w14:textId="77777777" w:rsidR="001B6075" w:rsidRPr="00732EED" w:rsidRDefault="001B6075" w:rsidP="00DC5B3C">
            <w:pPr>
              <w:rPr>
                <w:b/>
                <w:bCs/>
                <w:sz w:val="18"/>
                <w:szCs w:val="18"/>
              </w:rPr>
            </w:pPr>
            <w:r w:rsidRPr="00732EED">
              <w:rPr>
                <w:b/>
                <w:bCs/>
                <w:sz w:val="18"/>
                <w:szCs w:val="18"/>
              </w:rPr>
              <w:t>Psychological</w:t>
            </w:r>
          </w:p>
        </w:tc>
        <w:tc>
          <w:tcPr>
            <w:tcW w:w="1069" w:type="pct"/>
          </w:tcPr>
          <w:p w14:paraId="6C0DE512" w14:textId="77777777" w:rsidR="001B6075" w:rsidRPr="00732EED" w:rsidRDefault="001B6075" w:rsidP="00DC5B3C">
            <w:pPr>
              <w:rPr>
                <w:sz w:val="18"/>
                <w:szCs w:val="18"/>
              </w:rPr>
            </w:pPr>
            <w:r w:rsidRPr="00732EED">
              <w:rPr>
                <w:sz w:val="18"/>
                <w:szCs w:val="18"/>
              </w:rPr>
              <w:t>Resilience &amp; Growth</w:t>
            </w:r>
          </w:p>
        </w:tc>
        <w:tc>
          <w:tcPr>
            <w:tcW w:w="777" w:type="pct"/>
          </w:tcPr>
          <w:p w14:paraId="6C19C3E5" w14:textId="77777777" w:rsidR="001B6075" w:rsidRPr="00732EED" w:rsidRDefault="001B6075" w:rsidP="00DC5B3C">
            <w:pPr>
              <w:rPr>
                <w:sz w:val="18"/>
                <w:szCs w:val="18"/>
              </w:rPr>
            </w:pPr>
            <w:r w:rsidRPr="00732EED">
              <w:rPr>
                <w:sz w:val="18"/>
                <w:szCs w:val="18"/>
              </w:rPr>
              <w:t>23</w:t>
            </w:r>
          </w:p>
        </w:tc>
        <w:tc>
          <w:tcPr>
            <w:tcW w:w="2085" w:type="pct"/>
          </w:tcPr>
          <w:p w14:paraId="337D18CF" w14:textId="77777777" w:rsidR="001B6075" w:rsidRPr="00732EED" w:rsidRDefault="001B6075" w:rsidP="00DC5B3C">
            <w:pPr>
              <w:rPr>
                <w:sz w:val="18"/>
                <w:szCs w:val="18"/>
              </w:rPr>
            </w:pPr>
            <w:r w:rsidRPr="00732EED">
              <w:rPr>
                <w:sz w:val="18"/>
                <w:szCs w:val="18"/>
              </w:rPr>
              <w:t>9,11,16,21,24,27,32,33,34,37,39,45,55,57,59,60,65,69,70,73,80,86</w:t>
            </w:r>
          </w:p>
        </w:tc>
      </w:tr>
      <w:tr w:rsidR="001B6075" w:rsidRPr="00732EED" w14:paraId="23E12CE4"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2D13ABCA" w14:textId="77777777" w:rsidR="001B6075" w:rsidRPr="00732EED" w:rsidRDefault="001B6075" w:rsidP="00DC5B3C">
            <w:pPr>
              <w:rPr>
                <w:b/>
                <w:bCs/>
                <w:sz w:val="18"/>
                <w:szCs w:val="18"/>
              </w:rPr>
            </w:pPr>
            <w:r w:rsidRPr="00732EED">
              <w:rPr>
                <w:b/>
                <w:bCs/>
                <w:sz w:val="18"/>
                <w:szCs w:val="18"/>
              </w:rPr>
              <w:t>Psychological</w:t>
            </w:r>
          </w:p>
        </w:tc>
        <w:tc>
          <w:tcPr>
            <w:tcW w:w="1069" w:type="pct"/>
          </w:tcPr>
          <w:p w14:paraId="66B22D49" w14:textId="77777777" w:rsidR="001B6075" w:rsidRPr="00732EED" w:rsidRDefault="001B6075" w:rsidP="00DC5B3C">
            <w:pPr>
              <w:rPr>
                <w:sz w:val="18"/>
                <w:szCs w:val="18"/>
              </w:rPr>
            </w:pPr>
            <w:r w:rsidRPr="00732EED">
              <w:rPr>
                <w:sz w:val="18"/>
                <w:szCs w:val="18"/>
              </w:rPr>
              <w:t>Trauma/PTSD &amp; Abuse</w:t>
            </w:r>
          </w:p>
        </w:tc>
        <w:tc>
          <w:tcPr>
            <w:tcW w:w="777" w:type="pct"/>
          </w:tcPr>
          <w:p w14:paraId="5C803F9B" w14:textId="77777777" w:rsidR="001B6075" w:rsidRPr="00732EED" w:rsidRDefault="001B6075" w:rsidP="00DC5B3C">
            <w:pPr>
              <w:rPr>
                <w:sz w:val="18"/>
                <w:szCs w:val="18"/>
              </w:rPr>
            </w:pPr>
            <w:r w:rsidRPr="00732EED">
              <w:rPr>
                <w:sz w:val="18"/>
                <w:szCs w:val="18"/>
              </w:rPr>
              <w:t>18</w:t>
            </w:r>
          </w:p>
        </w:tc>
        <w:tc>
          <w:tcPr>
            <w:tcW w:w="2085" w:type="pct"/>
          </w:tcPr>
          <w:p w14:paraId="3F150157" w14:textId="77777777" w:rsidR="001B6075" w:rsidRPr="00732EED" w:rsidRDefault="001B6075" w:rsidP="00DC5B3C">
            <w:pPr>
              <w:rPr>
                <w:sz w:val="18"/>
                <w:szCs w:val="18"/>
              </w:rPr>
            </w:pPr>
            <w:r w:rsidRPr="00732EED">
              <w:rPr>
                <w:sz w:val="18"/>
                <w:szCs w:val="18"/>
              </w:rPr>
              <w:t>11,21,31,33,37,40,55,59,65,70,72,78,80,82,85,86,93</w:t>
            </w:r>
          </w:p>
        </w:tc>
      </w:tr>
      <w:tr w:rsidR="001B6075" w:rsidRPr="00732EED" w14:paraId="6F721FF6" w14:textId="77777777" w:rsidTr="00994F9D">
        <w:tc>
          <w:tcPr>
            <w:tcW w:w="1069" w:type="pct"/>
          </w:tcPr>
          <w:p w14:paraId="1083E8D8" w14:textId="77777777" w:rsidR="001B6075" w:rsidRPr="00732EED" w:rsidRDefault="001B6075" w:rsidP="00DC5B3C">
            <w:pPr>
              <w:rPr>
                <w:b/>
                <w:bCs/>
                <w:sz w:val="18"/>
                <w:szCs w:val="18"/>
              </w:rPr>
            </w:pPr>
            <w:r w:rsidRPr="00732EED">
              <w:rPr>
                <w:b/>
                <w:bCs/>
                <w:sz w:val="18"/>
                <w:szCs w:val="18"/>
              </w:rPr>
              <w:t>Psychological</w:t>
            </w:r>
          </w:p>
        </w:tc>
        <w:tc>
          <w:tcPr>
            <w:tcW w:w="1069" w:type="pct"/>
          </w:tcPr>
          <w:p w14:paraId="2F885AEB" w14:textId="77777777" w:rsidR="001B6075" w:rsidRPr="00732EED" w:rsidRDefault="001B6075" w:rsidP="00DC5B3C">
            <w:pPr>
              <w:rPr>
                <w:sz w:val="18"/>
                <w:szCs w:val="18"/>
              </w:rPr>
            </w:pPr>
            <w:r w:rsidRPr="00732EED">
              <w:rPr>
                <w:sz w:val="18"/>
                <w:szCs w:val="18"/>
              </w:rPr>
              <w:t>Suicidality / “Life not worth living”</w:t>
            </w:r>
          </w:p>
        </w:tc>
        <w:tc>
          <w:tcPr>
            <w:tcW w:w="777" w:type="pct"/>
          </w:tcPr>
          <w:p w14:paraId="1D14C8E8" w14:textId="77777777" w:rsidR="001B6075" w:rsidRPr="00732EED" w:rsidRDefault="001B6075" w:rsidP="00DC5B3C">
            <w:pPr>
              <w:rPr>
                <w:sz w:val="18"/>
                <w:szCs w:val="18"/>
              </w:rPr>
            </w:pPr>
            <w:r w:rsidRPr="00732EED">
              <w:rPr>
                <w:sz w:val="18"/>
                <w:szCs w:val="18"/>
              </w:rPr>
              <w:t>13</w:t>
            </w:r>
          </w:p>
        </w:tc>
        <w:tc>
          <w:tcPr>
            <w:tcW w:w="2085" w:type="pct"/>
          </w:tcPr>
          <w:p w14:paraId="416C3676" w14:textId="77777777" w:rsidR="001B6075" w:rsidRPr="00732EED" w:rsidRDefault="001B6075" w:rsidP="00DC5B3C">
            <w:pPr>
              <w:rPr>
                <w:sz w:val="18"/>
                <w:szCs w:val="18"/>
              </w:rPr>
            </w:pPr>
            <w:r w:rsidRPr="00732EED">
              <w:rPr>
                <w:sz w:val="18"/>
                <w:szCs w:val="18"/>
              </w:rPr>
              <w:t>19,24,25,27,32,37,46,47,48,64,72,89,93</w:t>
            </w:r>
          </w:p>
        </w:tc>
      </w:tr>
      <w:tr w:rsidR="001B6075" w:rsidRPr="00732EED" w14:paraId="2E893111"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08410B12" w14:textId="77777777" w:rsidR="001B6075" w:rsidRPr="00732EED" w:rsidRDefault="001B6075" w:rsidP="00DC5B3C">
            <w:pPr>
              <w:rPr>
                <w:b/>
                <w:bCs/>
                <w:sz w:val="18"/>
                <w:szCs w:val="18"/>
              </w:rPr>
            </w:pPr>
            <w:r w:rsidRPr="00732EED">
              <w:rPr>
                <w:b/>
                <w:bCs/>
                <w:sz w:val="18"/>
                <w:szCs w:val="18"/>
              </w:rPr>
              <w:t>Chronic Pain</w:t>
            </w:r>
          </w:p>
        </w:tc>
        <w:tc>
          <w:tcPr>
            <w:tcW w:w="1069" w:type="pct"/>
          </w:tcPr>
          <w:p w14:paraId="425257D4" w14:textId="77777777" w:rsidR="001B6075" w:rsidRPr="00732EED" w:rsidRDefault="001B6075" w:rsidP="00DC5B3C">
            <w:pPr>
              <w:rPr>
                <w:sz w:val="18"/>
                <w:szCs w:val="18"/>
              </w:rPr>
            </w:pPr>
            <w:r w:rsidRPr="00732EED">
              <w:rPr>
                <w:sz w:val="18"/>
                <w:szCs w:val="18"/>
              </w:rPr>
              <w:t>Chronic Pain (total)</w:t>
            </w:r>
          </w:p>
        </w:tc>
        <w:tc>
          <w:tcPr>
            <w:tcW w:w="777" w:type="pct"/>
          </w:tcPr>
          <w:p w14:paraId="6C0032E2" w14:textId="77777777" w:rsidR="001B6075" w:rsidRPr="00732EED" w:rsidRDefault="001B6075" w:rsidP="00DC5B3C">
            <w:pPr>
              <w:rPr>
                <w:sz w:val="18"/>
                <w:szCs w:val="18"/>
              </w:rPr>
            </w:pPr>
            <w:r w:rsidRPr="00732EED">
              <w:rPr>
                <w:sz w:val="18"/>
                <w:szCs w:val="18"/>
              </w:rPr>
              <w:t>120</w:t>
            </w:r>
          </w:p>
        </w:tc>
        <w:tc>
          <w:tcPr>
            <w:tcW w:w="2085" w:type="pct"/>
          </w:tcPr>
          <w:p w14:paraId="5EAD0442" w14:textId="77777777" w:rsidR="001B6075" w:rsidRPr="00732EED" w:rsidRDefault="001B6075" w:rsidP="00DC5B3C">
            <w:pPr>
              <w:rPr>
                <w:sz w:val="18"/>
                <w:szCs w:val="18"/>
              </w:rPr>
            </w:pPr>
            <w:r w:rsidRPr="00732EED">
              <w:rPr>
                <w:sz w:val="18"/>
                <w:szCs w:val="18"/>
              </w:rPr>
              <w:t>1–3,5–7,9–14,16–22,24–27,29–33,35–41,43,45–49,50,52,53,55–57,59–63,65–69,70–75,77–81,82,84,85,86,87,88,89,90,93,94</w:t>
            </w:r>
          </w:p>
        </w:tc>
      </w:tr>
      <w:tr w:rsidR="001B6075" w:rsidRPr="00732EED" w14:paraId="4C03F26E" w14:textId="77777777" w:rsidTr="00994F9D">
        <w:tc>
          <w:tcPr>
            <w:tcW w:w="1069" w:type="pct"/>
          </w:tcPr>
          <w:p w14:paraId="602C31E4" w14:textId="77777777" w:rsidR="001B6075" w:rsidRPr="00732EED" w:rsidRDefault="001B6075" w:rsidP="00DC5B3C">
            <w:pPr>
              <w:rPr>
                <w:b/>
                <w:bCs/>
                <w:sz w:val="18"/>
                <w:szCs w:val="18"/>
              </w:rPr>
            </w:pPr>
            <w:r w:rsidRPr="00732EED">
              <w:rPr>
                <w:b/>
                <w:bCs/>
                <w:sz w:val="18"/>
                <w:szCs w:val="18"/>
              </w:rPr>
              <w:t>Chronic Pain</w:t>
            </w:r>
          </w:p>
        </w:tc>
        <w:tc>
          <w:tcPr>
            <w:tcW w:w="1069" w:type="pct"/>
          </w:tcPr>
          <w:p w14:paraId="1A82D411" w14:textId="77777777" w:rsidR="001B6075" w:rsidRPr="00732EED" w:rsidRDefault="001B6075" w:rsidP="00DC5B3C">
            <w:pPr>
              <w:rPr>
                <w:sz w:val="18"/>
                <w:szCs w:val="18"/>
              </w:rPr>
            </w:pPr>
            <w:r w:rsidRPr="00732EED">
              <w:rPr>
                <w:sz w:val="18"/>
                <w:szCs w:val="18"/>
              </w:rPr>
              <w:t>Dominance / “Pain is the master”</w:t>
            </w:r>
          </w:p>
        </w:tc>
        <w:tc>
          <w:tcPr>
            <w:tcW w:w="777" w:type="pct"/>
          </w:tcPr>
          <w:p w14:paraId="280E5AA8" w14:textId="77777777" w:rsidR="001B6075" w:rsidRPr="00732EED" w:rsidRDefault="001B6075" w:rsidP="00DC5B3C">
            <w:pPr>
              <w:rPr>
                <w:sz w:val="18"/>
                <w:szCs w:val="18"/>
              </w:rPr>
            </w:pPr>
            <w:r w:rsidRPr="00732EED">
              <w:rPr>
                <w:sz w:val="18"/>
                <w:szCs w:val="18"/>
              </w:rPr>
              <w:t>35</w:t>
            </w:r>
          </w:p>
        </w:tc>
        <w:tc>
          <w:tcPr>
            <w:tcW w:w="2085" w:type="pct"/>
          </w:tcPr>
          <w:p w14:paraId="49B8A7A3" w14:textId="77777777" w:rsidR="001B6075" w:rsidRPr="00732EED" w:rsidRDefault="001B6075" w:rsidP="00DC5B3C">
            <w:pPr>
              <w:rPr>
                <w:sz w:val="18"/>
                <w:szCs w:val="18"/>
              </w:rPr>
            </w:pPr>
            <w:r w:rsidRPr="00732EED">
              <w:rPr>
                <w:sz w:val="18"/>
                <w:szCs w:val="18"/>
              </w:rPr>
              <w:t>1,3,6,10,18,19,21,24,25,27,29,31,32,37,39–41,46–49,52,55,57,59,61,63,64,66,70,72,80,93</w:t>
            </w:r>
          </w:p>
        </w:tc>
      </w:tr>
      <w:tr w:rsidR="001B6075" w:rsidRPr="00732EED" w14:paraId="204B825F"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4E78341C" w14:textId="77777777" w:rsidR="001B6075" w:rsidRPr="00732EED" w:rsidRDefault="001B6075" w:rsidP="00DC5B3C">
            <w:pPr>
              <w:rPr>
                <w:b/>
                <w:bCs/>
                <w:sz w:val="18"/>
                <w:szCs w:val="18"/>
              </w:rPr>
            </w:pPr>
            <w:r w:rsidRPr="00732EED">
              <w:rPr>
                <w:b/>
                <w:bCs/>
                <w:sz w:val="18"/>
                <w:szCs w:val="18"/>
              </w:rPr>
              <w:t>Chronic Pain</w:t>
            </w:r>
          </w:p>
        </w:tc>
        <w:tc>
          <w:tcPr>
            <w:tcW w:w="1069" w:type="pct"/>
          </w:tcPr>
          <w:p w14:paraId="74740151" w14:textId="77777777" w:rsidR="001B6075" w:rsidRPr="00732EED" w:rsidRDefault="001B6075" w:rsidP="00DC5B3C">
            <w:pPr>
              <w:rPr>
                <w:sz w:val="18"/>
                <w:szCs w:val="18"/>
              </w:rPr>
            </w:pPr>
            <w:r w:rsidRPr="00732EED">
              <w:rPr>
                <w:sz w:val="18"/>
                <w:szCs w:val="18"/>
              </w:rPr>
              <w:t>Suffering &amp; Distress</w:t>
            </w:r>
          </w:p>
        </w:tc>
        <w:tc>
          <w:tcPr>
            <w:tcW w:w="777" w:type="pct"/>
          </w:tcPr>
          <w:p w14:paraId="216376E4" w14:textId="77777777" w:rsidR="001B6075" w:rsidRPr="00732EED" w:rsidRDefault="001B6075" w:rsidP="00DC5B3C">
            <w:pPr>
              <w:rPr>
                <w:sz w:val="18"/>
                <w:szCs w:val="18"/>
              </w:rPr>
            </w:pPr>
            <w:r w:rsidRPr="00732EED">
              <w:rPr>
                <w:sz w:val="18"/>
                <w:szCs w:val="18"/>
              </w:rPr>
              <w:t>32</w:t>
            </w:r>
          </w:p>
        </w:tc>
        <w:tc>
          <w:tcPr>
            <w:tcW w:w="2085" w:type="pct"/>
          </w:tcPr>
          <w:p w14:paraId="7FD4C30B" w14:textId="77777777" w:rsidR="001B6075" w:rsidRPr="00732EED" w:rsidRDefault="001B6075" w:rsidP="00DC5B3C">
            <w:pPr>
              <w:rPr>
                <w:sz w:val="18"/>
                <w:szCs w:val="18"/>
              </w:rPr>
            </w:pPr>
            <w:r w:rsidRPr="00732EED">
              <w:rPr>
                <w:sz w:val="18"/>
                <w:szCs w:val="18"/>
              </w:rPr>
              <w:t>2,3,5,7,10,14,15,18,19,21,24,25–27,29,31–33,37,40,45,52,55,59,61,66,70,72,78,80,93</w:t>
            </w:r>
          </w:p>
        </w:tc>
      </w:tr>
      <w:tr w:rsidR="001B6075" w:rsidRPr="00732EED" w14:paraId="426A59C4" w14:textId="77777777" w:rsidTr="00994F9D">
        <w:tc>
          <w:tcPr>
            <w:tcW w:w="1069" w:type="pct"/>
          </w:tcPr>
          <w:p w14:paraId="0BD53647" w14:textId="77777777" w:rsidR="001B6075" w:rsidRPr="00732EED" w:rsidRDefault="001B6075" w:rsidP="00DC5B3C">
            <w:pPr>
              <w:rPr>
                <w:b/>
                <w:bCs/>
                <w:sz w:val="18"/>
                <w:szCs w:val="18"/>
              </w:rPr>
            </w:pPr>
            <w:r w:rsidRPr="00732EED">
              <w:rPr>
                <w:b/>
                <w:bCs/>
                <w:sz w:val="18"/>
                <w:szCs w:val="18"/>
              </w:rPr>
              <w:t>Chronic Pain</w:t>
            </w:r>
          </w:p>
        </w:tc>
        <w:tc>
          <w:tcPr>
            <w:tcW w:w="1069" w:type="pct"/>
          </w:tcPr>
          <w:p w14:paraId="0D900B60" w14:textId="77777777" w:rsidR="001B6075" w:rsidRPr="00732EED" w:rsidRDefault="001B6075" w:rsidP="00DC5B3C">
            <w:pPr>
              <w:rPr>
                <w:sz w:val="18"/>
                <w:szCs w:val="18"/>
              </w:rPr>
            </w:pPr>
            <w:r w:rsidRPr="00732EED">
              <w:rPr>
                <w:sz w:val="18"/>
                <w:szCs w:val="18"/>
              </w:rPr>
              <w:t>Variability &amp; Mystery</w:t>
            </w:r>
          </w:p>
        </w:tc>
        <w:tc>
          <w:tcPr>
            <w:tcW w:w="777" w:type="pct"/>
          </w:tcPr>
          <w:p w14:paraId="6A112396" w14:textId="77777777" w:rsidR="001B6075" w:rsidRPr="00732EED" w:rsidRDefault="001B6075" w:rsidP="00DC5B3C">
            <w:pPr>
              <w:rPr>
                <w:sz w:val="18"/>
                <w:szCs w:val="18"/>
              </w:rPr>
            </w:pPr>
            <w:r w:rsidRPr="00732EED">
              <w:rPr>
                <w:sz w:val="18"/>
                <w:szCs w:val="18"/>
              </w:rPr>
              <w:t>23</w:t>
            </w:r>
          </w:p>
        </w:tc>
        <w:tc>
          <w:tcPr>
            <w:tcW w:w="2085" w:type="pct"/>
          </w:tcPr>
          <w:p w14:paraId="2E8F16CC" w14:textId="77777777" w:rsidR="001B6075" w:rsidRPr="00732EED" w:rsidRDefault="001B6075" w:rsidP="00DC5B3C">
            <w:pPr>
              <w:rPr>
                <w:sz w:val="18"/>
                <w:szCs w:val="18"/>
              </w:rPr>
            </w:pPr>
            <w:r w:rsidRPr="00732EED">
              <w:rPr>
                <w:sz w:val="18"/>
                <w:szCs w:val="18"/>
              </w:rPr>
              <w:t>1,6,7,10,18,19,24,29,37,39,40,42,54,62,66,72,74,75,78,80</w:t>
            </w:r>
          </w:p>
        </w:tc>
      </w:tr>
      <w:tr w:rsidR="001B6075" w:rsidRPr="00732EED" w14:paraId="1F900B2E"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05027CE3" w14:textId="77777777" w:rsidR="001B6075" w:rsidRPr="00732EED" w:rsidRDefault="001B6075" w:rsidP="00DC5B3C">
            <w:pPr>
              <w:rPr>
                <w:b/>
                <w:bCs/>
                <w:sz w:val="18"/>
                <w:szCs w:val="18"/>
              </w:rPr>
            </w:pPr>
            <w:r w:rsidRPr="00732EED">
              <w:rPr>
                <w:b/>
                <w:bCs/>
                <w:sz w:val="18"/>
                <w:szCs w:val="18"/>
              </w:rPr>
              <w:t>Chronic Pain</w:t>
            </w:r>
          </w:p>
        </w:tc>
        <w:tc>
          <w:tcPr>
            <w:tcW w:w="1069" w:type="pct"/>
          </w:tcPr>
          <w:p w14:paraId="4B7DCB48" w14:textId="77777777" w:rsidR="001B6075" w:rsidRPr="00732EED" w:rsidRDefault="001B6075" w:rsidP="00DC5B3C">
            <w:pPr>
              <w:rPr>
                <w:sz w:val="18"/>
                <w:szCs w:val="18"/>
              </w:rPr>
            </w:pPr>
            <w:r w:rsidRPr="00732EED">
              <w:rPr>
                <w:sz w:val="18"/>
                <w:szCs w:val="18"/>
              </w:rPr>
              <w:t>Mobility &amp; Function</w:t>
            </w:r>
          </w:p>
        </w:tc>
        <w:tc>
          <w:tcPr>
            <w:tcW w:w="777" w:type="pct"/>
          </w:tcPr>
          <w:p w14:paraId="33EC798D" w14:textId="77777777" w:rsidR="001B6075" w:rsidRPr="00732EED" w:rsidRDefault="001B6075" w:rsidP="00DC5B3C">
            <w:pPr>
              <w:rPr>
                <w:sz w:val="18"/>
                <w:szCs w:val="18"/>
              </w:rPr>
            </w:pPr>
            <w:r w:rsidRPr="00732EED">
              <w:rPr>
                <w:sz w:val="18"/>
                <w:szCs w:val="18"/>
              </w:rPr>
              <w:t>20</w:t>
            </w:r>
          </w:p>
        </w:tc>
        <w:tc>
          <w:tcPr>
            <w:tcW w:w="2085" w:type="pct"/>
          </w:tcPr>
          <w:p w14:paraId="11FFDB62" w14:textId="77777777" w:rsidR="001B6075" w:rsidRPr="00732EED" w:rsidRDefault="001B6075" w:rsidP="00DC5B3C">
            <w:pPr>
              <w:rPr>
                <w:sz w:val="18"/>
                <w:szCs w:val="18"/>
              </w:rPr>
            </w:pPr>
            <w:r w:rsidRPr="00732EED">
              <w:rPr>
                <w:sz w:val="18"/>
                <w:szCs w:val="18"/>
              </w:rPr>
              <w:t>1–3,10,18,19,21,24,29,31,37,39,41,46–49,50,52,55,73</w:t>
            </w:r>
          </w:p>
        </w:tc>
      </w:tr>
      <w:tr w:rsidR="001B6075" w:rsidRPr="00732EED" w14:paraId="26CF4F2E" w14:textId="77777777" w:rsidTr="00994F9D">
        <w:tc>
          <w:tcPr>
            <w:tcW w:w="1069" w:type="pct"/>
          </w:tcPr>
          <w:p w14:paraId="7409AF9C" w14:textId="77777777" w:rsidR="001B6075" w:rsidRPr="00732EED" w:rsidRDefault="001B6075" w:rsidP="00DC5B3C">
            <w:pPr>
              <w:rPr>
                <w:b/>
                <w:bCs/>
                <w:sz w:val="18"/>
                <w:szCs w:val="18"/>
              </w:rPr>
            </w:pPr>
            <w:r w:rsidRPr="00732EED">
              <w:rPr>
                <w:b/>
                <w:bCs/>
                <w:sz w:val="18"/>
                <w:szCs w:val="18"/>
              </w:rPr>
              <w:t>Chronic Pain</w:t>
            </w:r>
          </w:p>
        </w:tc>
        <w:tc>
          <w:tcPr>
            <w:tcW w:w="1069" w:type="pct"/>
          </w:tcPr>
          <w:p w14:paraId="32A2F3F3" w14:textId="77777777" w:rsidR="001B6075" w:rsidRPr="00732EED" w:rsidRDefault="001B6075" w:rsidP="00DC5B3C">
            <w:pPr>
              <w:rPr>
                <w:sz w:val="18"/>
                <w:szCs w:val="18"/>
              </w:rPr>
            </w:pPr>
            <w:r w:rsidRPr="00732EED">
              <w:rPr>
                <w:sz w:val="18"/>
                <w:szCs w:val="18"/>
              </w:rPr>
              <w:t>Sensory Qualities &amp; Metaphors</w:t>
            </w:r>
          </w:p>
        </w:tc>
        <w:tc>
          <w:tcPr>
            <w:tcW w:w="777" w:type="pct"/>
          </w:tcPr>
          <w:p w14:paraId="307589EB" w14:textId="77777777" w:rsidR="001B6075" w:rsidRPr="00732EED" w:rsidRDefault="001B6075" w:rsidP="00DC5B3C">
            <w:pPr>
              <w:rPr>
                <w:sz w:val="18"/>
                <w:szCs w:val="18"/>
              </w:rPr>
            </w:pPr>
            <w:r w:rsidRPr="00732EED">
              <w:rPr>
                <w:sz w:val="18"/>
                <w:szCs w:val="18"/>
              </w:rPr>
              <w:t>10</w:t>
            </w:r>
          </w:p>
        </w:tc>
        <w:tc>
          <w:tcPr>
            <w:tcW w:w="2085" w:type="pct"/>
          </w:tcPr>
          <w:p w14:paraId="2838D1A4" w14:textId="77777777" w:rsidR="001B6075" w:rsidRPr="00732EED" w:rsidRDefault="001B6075" w:rsidP="00DC5B3C">
            <w:pPr>
              <w:rPr>
                <w:sz w:val="18"/>
                <w:szCs w:val="18"/>
              </w:rPr>
            </w:pPr>
            <w:r w:rsidRPr="00732EED">
              <w:rPr>
                <w:sz w:val="18"/>
                <w:szCs w:val="18"/>
              </w:rPr>
              <w:t>3,7,10,17,23,35,40,54,72,75</w:t>
            </w:r>
          </w:p>
        </w:tc>
      </w:tr>
      <w:tr w:rsidR="001B6075" w:rsidRPr="00732EED" w14:paraId="33CE73FD"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7A1D5FF0" w14:textId="77777777" w:rsidR="001B6075" w:rsidRPr="00732EED" w:rsidRDefault="001B6075" w:rsidP="00DC5B3C">
            <w:pPr>
              <w:rPr>
                <w:b/>
                <w:bCs/>
                <w:sz w:val="18"/>
                <w:szCs w:val="18"/>
              </w:rPr>
            </w:pPr>
            <w:r w:rsidRPr="00732EED">
              <w:rPr>
                <w:b/>
                <w:bCs/>
                <w:sz w:val="18"/>
                <w:szCs w:val="18"/>
              </w:rPr>
              <w:t>Cultural</w:t>
            </w:r>
          </w:p>
        </w:tc>
        <w:tc>
          <w:tcPr>
            <w:tcW w:w="1069" w:type="pct"/>
          </w:tcPr>
          <w:p w14:paraId="53F67E49" w14:textId="77777777" w:rsidR="001B6075" w:rsidRPr="00732EED" w:rsidRDefault="001B6075" w:rsidP="00DC5B3C">
            <w:pPr>
              <w:rPr>
                <w:sz w:val="18"/>
                <w:szCs w:val="18"/>
              </w:rPr>
            </w:pPr>
            <w:r w:rsidRPr="00732EED">
              <w:rPr>
                <w:sz w:val="18"/>
                <w:szCs w:val="18"/>
              </w:rPr>
              <w:t>Cultural (total)</w:t>
            </w:r>
          </w:p>
        </w:tc>
        <w:tc>
          <w:tcPr>
            <w:tcW w:w="777" w:type="pct"/>
          </w:tcPr>
          <w:p w14:paraId="3257995A" w14:textId="77777777" w:rsidR="001B6075" w:rsidRPr="00732EED" w:rsidRDefault="001B6075" w:rsidP="00DC5B3C">
            <w:pPr>
              <w:rPr>
                <w:sz w:val="18"/>
                <w:szCs w:val="18"/>
              </w:rPr>
            </w:pPr>
            <w:r w:rsidRPr="00732EED">
              <w:rPr>
                <w:sz w:val="18"/>
                <w:szCs w:val="18"/>
              </w:rPr>
              <w:t>50</w:t>
            </w:r>
          </w:p>
        </w:tc>
        <w:tc>
          <w:tcPr>
            <w:tcW w:w="2085" w:type="pct"/>
          </w:tcPr>
          <w:p w14:paraId="65A2DB93" w14:textId="77777777" w:rsidR="001B6075" w:rsidRPr="00732EED" w:rsidRDefault="001B6075" w:rsidP="00DC5B3C">
            <w:pPr>
              <w:rPr>
                <w:sz w:val="18"/>
                <w:szCs w:val="18"/>
              </w:rPr>
            </w:pPr>
            <w:r w:rsidRPr="00732EED">
              <w:rPr>
                <w:sz w:val="18"/>
                <w:szCs w:val="18"/>
              </w:rPr>
              <w:t>2,5,7,14,17,18,19,21,24,33,35,39,42,45,52,55,56,57,58,61,62,66–68,70,71,72,73,75,78,80,82,85,87,88,89,90,91,92</w:t>
            </w:r>
          </w:p>
        </w:tc>
      </w:tr>
      <w:tr w:rsidR="001B6075" w:rsidRPr="00732EED" w14:paraId="1A0477BA" w14:textId="77777777" w:rsidTr="00994F9D">
        <w:tc>
          <w:tcPr>
            <w:tcW w:w="1069" w:type="pct"/>
          </w:tcPr>
          <w:p w14:paraId="124485BB" w14:textId="77777777" w:rsidR="001B6075" w:rsidRPr="00732EED" w:rsidRDefault="001B6075" w:rsidP="00DC5B3C">
            <w:pPr>
              <w:rPr>
                <w:b/>
                <w:bCs/>
                <w:sz w:val="18"/>
                <w:szCs w:val="18"/>
              </w:rPr>
            </w:pPr>
            <w:r w:rsidRPr="00732EED">
              <w:rPr>
                <w:b/>
                <w:bCs/>
                <w:sz w:val="18"/>
                <w:szCs w:val="18"/>
              </w:rPr>
              <w:t>Cultural</w:t>
            </w:r>
          </w:p>
        </w:tc>
        <w:tc>
          <w:tcPr>
            <w:tcW w:w="1069" w:type="pct"/>
          </w:tcPr>
          <w:p w14:paraId="69CB2216" w14:textId="77777777" w:rsidR="001B6075" w:rsidRPr="00732EED" w:rsidRDefault="001B6075" w:rsidP="00DC5B3C">
            <w:pPr>
              <w:rPr>
                <w:sz w:val="18"/>
                <w:szCs w:val="18"/>
              </w:rPr>
            </w:pPr>
            <w:r w:rsidRPr="00732EED">
              <w:rPr>
                <w:sz w:val="18"/>
                <w:szCs w:val="18"/>
              </w:rPr>
              <w:t>Stigma &amp; Malingering</w:t>
            </w:r>
          </w:p>
        </w:tc>
        <w:tc>
          <w:tcPr>
            <w:tcW w:w="777" w:type="pct"/>
          </w:tcPr>
          <w:p w14:paraId="30E786F3" w14:textId="77777777" w:rsidR="001B6075" w:rsidRPr="00732EED" w:rsidRDefault="001B6075" w:rsidP="00DC5B3C">
            <w:pPr>
              <w:rPr>
                <w:sz w:val="18"/>
                <w:szCs w:val="18"/>
              </w:rPr>
            </w:pPr>
            <w:r w:rsidRPr="00732EED">
              <w:rPr>
                <w:sz w:val="18"/>
                <w:szCs w:val="18"/>
              </w:rPr>
              <w:t>18</w:t>
            </w:r>
          </w:p>
        </w:tc>
        <w:tc>
          <w:tcPr>
            <w:tcW w:w="2085" w:type="pct"/>
          </w:tcPr>
          <w:p w14:paraId="3D30F3C4" w14:textId="77777777" w:rsidR="001B6075" w:rsidRPr="00732EED" w:rsidRDefault="001B6075" w:rsidP="00DC5B3C">
            <w:pPr>
              <w:rPr>
                <w:sz w:val="18"/>
                <w:szCs w:val="18"/>
              </w:rPr>
            </w:pPr>
            <w:r w:rsidRPr="00732EED">
              <w:rPr>
                <w:sz w:val="18"/>
                <w:szCs w:val="18"/>
              </w:rPr>
              <w:t>5,7,11,14,18,19,21,24,26,28,35,45,52,61,66,72,78,82,88,89,90</w:t>
            </w:r>
          </w:p>
        </w:tc>
      </w:tr>
      <w:tr w:rsidR="001B6075" w:rsidRPr="00732EED" w14:paraId="2FB19093"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3871E606" w14:textId="77777777" w:rsidR="001B6075" w:rsidRPr="00732EED" w:rsidRDefault="001B6075" w:rsidP="00DC5B3C">
            <w:pPr>
              <w:rPr>
                <w:b/>
                <w:bCs/>
                <w:sz w:val="18"/>
                <w:szCs w:val="18"/>
              </w:rPr>
            </w:pPr>
            <w:r w:rsidRPr="00732EED">
              <w:rPr>
                <w:b/>
                <w:bCs/>
                <w:sz w:val="18"/>
                <w:szCs w:val="18"/>
              </w:rPr>
              <w:t>Cultural</w:t>
            </w:r>
          </w:p>
        </w:tc>
        <w:tc>
          <w:tcPr>
            <w:tcW w:w="1069" w:type="pct"/>
          </w:tcPr>
          <w:p w14:paraId="04924AA7" w14:textId="77777777" w:rsidR="001B6075" w:rsidRPr="00732EED" w:rsidRDefault="001B6075" w:rsidP="00DC5B3C">
            <w:pPr>
              <w:rPr>
                <w:sz w:val="18"/>
                <w:szCs w:val="18"/>
              </w:rPr>
            </w:pPr>
            <w:r w:rsidRPr="00732EED">
              <w:rPr>
                <w:sz w:val="18"/>
                <w:szCs w:val="18"/>
              </w:rPr>
              <w:t>Pain Beliefs &amp; Explanatory Models</w:t>
            </w:r>
          </w:p>
        </w:tc>
        <w:tc>
          <w:tcPr>
            <w:tcW w:w="777" w:type="pct"/>
          </w:tcPr>
          <w:p w14:paraId="7B468D4E" w14:textId="77777777" w:rsidR="001B6075" w:rsidRPr="00732EED" w:rsidRDefault="001B6075" w:rsidP="00DC5B3C">
            <w:pPr>
              <w:rPr>
                <w:sz w:val="18"/>
                <w:szCs w:val="18"/>
              </w:rPr>
            </w:pPr>
            <w:r w:rsidRPr="00732EED">
              <w:rPr>
                <w:sz w:val="18"/>
                <w:szCs w:val="18"/>
              </w:rPr>
              <w:t>12</w:t>
            </w:r>
          </w:p>
        </w:tc>
        <w:tc>
          <w:tcPr>
            <w:tcW w:w="2085" w:type="pct"/>
          </w:tcPr>
          <w:p w14:paraId="5CA7E2B8" w14:textId="77777777" w:rsidR="001B6075" w:rsidRPr="00732EED" w:rsidRDefault="001B6075" w:rsidP="00DC5B3C">
            <w:pPr>
              <w:rPr>
                <w:sz w:val="18"/>
                <w:szCs w:val="18"/>
              </w:rPr>
            </w:pPr>
            <w:r w:rsidRPr="00732EED">
              <w:rPr>
                <w:sz w:val="18"/>
                <w:szCs w:val="18"/>
              </w:rPr>
              <w:t>2,7,18,19,21,24,33,39,42,62,66,72,80,90</w:t>
            </w:r>
          </w:p>
        </w:tc>
      </w:tr>
      <w:tr w:rsidR="001B6075" w:rsidRPr="00732EED" w14:paraId="324AA8AB" w14:textId="77777777" w:rsidTr="00994F9D">
        <w:tc>
          <w:tcPr>
            <w:tcW w:w="1069" w:type="pct"/>
          </w:tcPr>
          <w:p w14:paraId="4A04282D" w14:textId="77777777" w:rsidR="001B6075" w:rsidRPr="00732EED" w:rsidRDefault="001B6075" w:rsidP="00DC5B3C">
            <w:pPr>
              <w:rPr>
                <w:b/>
                <w:bCs/>
                <w:sz w:val="18"/>
                <w:szCs w:val="18"/>
              </w:rPr>
            </w:pPr>
            <w:r w:rsidRPr="00732EED">
              <w:rPr>
                <w:b/>
                <w:bCs/>
                <w:sz w:val="18"/>
                <w:szCs w:val="18"/>
              </w:rPr>
              <w:t>Cultural</w:t>
            </w:r>
          </w:p>
        </w:tc>
        <w:tc>
          <w:tcPr>
            <w:tcW w:w="1069" w:type="pct"/>
          </w:tcPr>
          <w:p w14:paraId="1C8618D9" w14:textId="77777777" w:rsidR="001B6075" w:rsidRPr="00732EED" w:rsidRDefault="001B6075" w:rsidP="00DC5B3C">
            <w:pPr>
              <w:rPr>
                <w:sz w:val="18"/>
                <w:szCs w:val="18"/>
              </w:rPr>
            </w:pPr>
            <w:r w:rsidRPr="00732EED">
              <w:rPr>
                <w:sz w:val="18"/>
                <w:szCs w:val="18"/>
              </w:rPr>
              <w:t>Gender Norms &amp; Roles</w:t>
            </w:r>
          </w:p>
        </w:tc>
        <w:tc>
          <w:tcPr>
            <w:tcW w:w="777" w:type="pct"/>
          </w:tcPr>
          <w:p w14:paraId="5F73EFC8" w14:textId="77777777" w:rsidR="001B6075" w:rsidRPr="00732EED" w:rsidRDefault="001B6075" w:rsidP="00DC5B3C">
            <w:pPr>
              <w:rPr>
                <w:sz w:val="18"/>
                <w:szCs w:val="18"/>
              </w:rPr>
            </w:pPr>
            <w:r w:rsidRPr="00732EED">
              <w:rPr>
                <w:sz w:val="18"/>
                <w:szCs w:val="18"/>
              </w:rPr>
              <w:t>10</w:t>
            </w:r>
          </w:p>
        </w:tc>
        <w:tc>
          <w:tcPr>
            <w:tcW w:w="2085" w:type="pct"/>
          </w:tcPr>
          <w:p w14:paraId="7DC2B946" w14:textId="77777777" w:rsidR="001B6075" w:rsidRPr="00732EED" w:rsidRDefault="001B6075" w:rsidP="00DC5B3C">
            <w:pPr>
              <w:rPr>
                <w:sz w:val="18"/>
                <w:szCs w:val="18"/>
              </w:rPr>
            </w:pPr>
            <w:r w:rsidRPr="00732EED">
              <w:rPr>
                <w:sz w:val="18"/>
                <w:szCs w:val="18"/>
              </w:rPr>
              <w:t>2,11,21,35,38,55,68,70,78,85,88,90</w:t>
            </w:r>
          </w:p>
        </w:tc>
      </w:tr>
      <w:tr w:rsidR="001B6075" w:rsidRPr="00732EED" w14:paraId="207C0CF2"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753573DF" w14:textId="77777777" w:rsidR="001B6075" w:rsidRPr="00732EED" w:rsidRDefault="001B6075" w:rsidP="00DC5B3C">
            <w:pPr>
              <w:rPr>
                <w:b/>
                <w:bCs/>
                <w:sz w:val="18"/>
                <w:szCs w:val="18"/>
              </w:rPr>
            </w:pPr>
            <w:r w:rsidRPr="00732EED">
              <w:rPr>
                <w:b/>
                <w:bCs/>
                <w:sz w:val="18"/>
                <w:szCs w:val="18"/>
              </w:rPr>
              <w:lastRenderedPageBreak/>
              <w:t>Cultural</w:t>
            </w:r>
          </w:p>
        </w:tc>
        <w:tc>
          <w:tcPr>
            <w:tcW w:w="1069" w:type="pct"/>
          </w:tcPr>
          <w:p w14:paraId="1EAB245B" w14:textId="77777777" w:rsidR="001B6075" w:rsidRPr="00732EED" w:rsidRDefault="001B6075" w:rsidP="00DC5B3C">
            <w:pPr>
              <w:rPr>
                <w:sz w:val="18"/>
                <w:szCs w:val="18"/>
              </w:rPr>
            </w:pPr>
            <w:r w:rsidRPr="00732EED">
              <w:rPr>
                <w:sz w:val="18"/>
                <w:szCs w:val="18"/>
              </w:rPr>
              <w:t>Empowerment &amp; Agency</w:t>
            </w:r>
          </w:p>
        </w:tc>
        <w:tc>
          <w:tcPr>
            <w:tcW w:w="777" w:type="pct"/>
          </w:tcPr>
          <w:p w14:paraId="269E71BB" w14:textId="77777777" w:rsidR="001B6075" w:rsidRPr="00732EED" w:rsidRDefault="001B6075" w:rsidP="00DC5B3C">
            <w:pPr>
              <w:rPr>
                <w:sz w:val="18"/>
                <w:szCs w:val="18"/>
              </w:rPr>
            </w:pPr>
            <w:r w:rsidRPr="00732EED">
              <w:rPr>
                <w:sz w:val="18"/>
                <w:szCs w:val="18"/>
              </w:rPr>
              <w:t>7</w:t>
            </w:r>
          </w:p>
        </w:tc>
        <w:tc>
          <w:tcPr>
            <w:tcW w:w="2085" w:type="pct"/>
          </w:tcPr>
          <w:p w14:paraId="277DCF07" w14:textId="77777777" w:rsidR="001B6075" w:rsidRPr="00732EED" w:rsidRDefault="001B6075" w:rsidP="00DC5B3C">
            <w:pPr>
              <w:rPr>
                <w:sz w:val="18"/>
                <w:szCs w:val="18"/>
              </w:rPr>
            </w:pPr>
            <w:r w:rsidRPr="00732EED">
              <w:rPr>
                <w:sz w:val="18"/>
                <w:szCs w:val="18"/>
              </w:rPr>
              <w:t>9,16,17,33,55,60,65,69,70,79,86</w:t>
            </w:r>
          </w:p>
        </w:tc>
      </w:tr>
      <w:tr w:rsidR="001B6075" w:rsidRPr="00732EED" w14:paraId="43300A43" w14:textId="77777777" w:rsidTr="00994F9D">
        <w:tc>
          <w:tcPr>
            <w:tcW w:w="1069" w:type="pct"/>
          </w:tcPr>
          <w:p w14:paraId="52096BBE" w14:textId="77777777" w:rsidR="001B6075" w:rsidRPr="00732EED" w:rsidRDefault="001B6075" w:rsidP="00DC5B3C">
            <w:pPr>
              <w:rPr>
                <w:b/>
                <w:bCs/>
                <w:sz w:val="18"/>
                <w:szCs w:val="18"/>
              </w:rPr>
            </w:pPr>
            <w:r w:rsidRPr="00732EED">
              <w:rPr>
                <w:b/>
                <w:bCs/>
                <w:sz w:val="18"/>
                <w:szCs w:val="18"/>
              </w:rPr>
              <w:t>Cultural</w:t>
            </w:r>
          </w:p>
        </w:tc>
        <w:tc>
          <w:tcPr>
            <w:tcW w:w="1069" w:type="pct"/>
          </w:tcPr>
          <w:p w14:paraId="4E772AF8" w14:textId="77777777" w:rsidR="001B6075" w:rsidRPr="00732EED" w:rsidRDefault="001B6075" w:rsidP="00DC5B3C">
            <w:pPr>
              <w:rPr>
                <w:sz w:val="18"/>
                <w:szCs w:val="18"/>
              </w:rPr>
            </w:pPr>
            <w:r w:rsidRPr="00732EED">
              <w:rPr>
                <w:sz w:val="18"/>
                <w:szCs w:val="18"/>
              </w:rPr>
              <w:t>Avoidance &amp; Silence</w:t>
            </w:r>
          </w:p>
        </w:tc>
        <w:tc>
          <w:tcPr>
            <w:tcW w:w="777" w:type="pct"/>
          </w:tcPr>
          <w:p w14:paraId="4CB848DB" w14:textId="77777777" w:rsidR="001B6075" w:rsidRPr="00732EED" w:rsidRDefault="001B6075" w:rsidP="00DC5B3C">
            <w:pPr>
              <w:rPr>
                <w:sz w:val="18"/>
                <w:szCs w:val="18"/>
              </w:rPr>
            </w:pPr>
            <w:r w:rsidRPr="00732EED">
              <w:rPr>
                <w:sz w:val="18"/>
                <w:szCs w:val="18"/>
              </w:rPr>
              <w:t>3</w:t>
            </w:r>
          </w:p>
        </w:tc>
        <w:tc>
          <w:tcPr>
            <w:tcW w:w="2085" w:type="pct"/>
          </w:tcPr>
          <w:p w14:paraId="54CFCE74" w14:textId="77777777" w:rsidR="001B6075" w:rsidRPr="00732EED" w:rsidRDefault="001B6075" w:rsidP="00DC5B3C">
            <w:pPr>
              <w:rPr>
                <w:sz w:val="18"/>
                <w:szCs w:val="18"/>
              </w:rPr>
            </w:pPr>
            <w:r w:rsidRPr="00732EED">
              <w:rPr>
                <w:sz w:val="18"/>
                <w:szCs w:val="18"/>
              </w:rPr>
              <w:t>6,18,21,37,49,55,72,75,85</w:t>
            </w:r>
          </w:p>
        </w:tc>
      </w:tr>
      <w:tr w:rsidR="001B6075" w:rsidRPr="00732EED" w14:paraId="30860303"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2506892E" w14:textId="77777777" w:rsidR="001B6075" w:rsidRPr="00732EED" w:rsidRDefault="001B6075" w:rsidP="00DC5B3C">
            <w:pPr>
              <w:rPr>
                <w:b/>
                <w:bCs/>
                <w:sz w:val="18"/>
                <w:szCs w:val="18"/>
              </w:rPr>
            </w:pPr>
            <w:r w:rsidRPr="00732EED">
              <w:rPr>
                <w:b/>
                <w:bCs/>
                <w:sz w:val="18"/>
                <w:szCs w:val="18"/>
              </w:rPr>
              <w:t>Cognitive</w:t>
            </w:r>
          </w:p>
        </w:tc>
        <w:tc>
          <w:tcPr>
            <w:tcW w:w="1069" w:type="pct"/>
          </w:tcPr>
          <w:p w14:paraId="06C95F37" w14:textId="77777777" w:rsidR="001B6075" w:rsidRPr="00732EED" w:rsidRDefault="001B6075" w:rsidP="00DC5B3C">
            <w:pPr>
              <w:rPr>
                <w:sz w:val="18"/>
                <w:szCs w:val="18"/>
              </w:rPr>
            </w:pPr>
            <w:r w:rsidRPr="00732EED">
              <w:rPr>
                <w:sz w:val="18"/>
                <w:szCs w:val="18"/>
              </w:rPr>
              <w:t>Cognitive (total)</w:t>
            </w:r>
          </w:p>
        </w:tc>
        <w:tc>
          <w:tcPr>
            <w:tcW w:w="777" w:type="pct"/>
          </w:tcPr>
          <w:p w14:paraId="7656689D" w14:textId="77777777" w:rsidR="001B6075" w:rsidRPr="00732EED" w:rsidRDefault="001B6075" w:rsidP="00DC5B3C">
            <w:pPr>
              <w:rPr>
                <w:sz w:val="18"/>
                <w:szCs w:val="18"/>
              </w:rPr>
            </w:pPr>
            <w:r w:rsidRPr="00732EED">
              <w:rPr>
                <w:sz w:val="18"/>
                <w:szCs w:val="18"/>
              </w:rPr>
              <w:t>40</w:t>
            </w:r>
          </w:p>
        </w:tc>
        <w:tc>
          <w:tcPr>
            <w:tcW w:w="2085" w:type="pct"/>
          </w:tcPr>
          <w:p w14:paraId="6BF8529B" w14:textId="77777777" w:rsidR="001B6075" w:rsidRPr="00732EED" w:rsidRDefault="001B6075" w:rsidP="00DC5B3C">
            <w:pPr>
              <w:rPr>
                <w:sz w:val="18"/>
                <w:szCs w:val="18"/>
              </w:rPr>
            </w:pPr>
            <w:r w:rsidRPr="00732EED">
              <w:rPr>
                <w:sz w:val="18"/>
                <w:szCs w:val="18"/>
              </w:rPr>
              <w:t>7,10,14,16,18,19,21,24,25–27,32,33,36,39,42,45,59,62,65,72,80,81,93</w:t>
            </w:r>
          </w:p>
        </w:tc>
      </w:tr>
      <w:tr w:rsidR="001B6075" w:rsidRPr="00732EED" w14:paraId="676BF385" w14:textId="77777777" w:rsidTr="00994F9D">
        <w:tc>
          <w:tcPr>
            <w:tcW w:w="1069" w:type="pct"/>
          </w:tcPr>
          <w:p w14:paraId="202E69ED" w14:textId="77777777" w:rsidR="001B6075" w:rsidRPr="00732EED" w:rsidRDefault="001B6075" w:rsidP="00DC5B3C">
            <w:pPr>
              <w:rPr>
                <w:b/>
                <w:bCs/>
                <w:sz w:val="18"/>
                <w:szCs w:val="18"/>
              </w:rPr>
            </w:pPr>
            <w:r w:rsidRPr="00732EED">
              <w:rPr>
                <w:b/>
                <w:bCs/>
                <w:sz w:val="18"/>
                <w:szCs w:val="18"/>
              </w:rPr>
              <w:t>Cognitive</w:t>
            </w:r>
          </w:p>
        </w:tc>
        <w:tc>
          <w:tcPr>
            <w:tcW w:w="1069" w:type="pct"/>
          </w:tcPr>
          <w:p w14:paraId="2FA268CA" w14:textId="77777777" w:rsidR="001B6075" w:rsidRPr="00732EED" w:rsidRDefault="001B6075" w:rsidP="00DC5B3C">
            <w:pPr>
              <w:rPr>
                <w:sz w:val="18"/>
                <w:szCs w:val="18"/>
              </w:rPr>
            </w:pPr>
            <w:r w:rsidRPr="00732EED">
              <w:rPr>
                <w:sz w:val="18"/>
                <w:szCs w:val="18"/>
              </w:rPr>
              <w:t>Catastrophizing &amp; Rumination</w:t>
            </w:r>
          </w:p>
        </w:tc>
        <w:tc>
          <w:tcPr>
            <w:tcW w:w="777" w:type="pct"/>
          </w:tcPr>
          <w:p w14:paraId="049ACFFF" w14:textId="77777777" w:rsidR="001B6075" w:rsidRPr="00732EED" w:rsidRDefault="001B6075" w:rsidP="00DC5B3C">
            <w:pPr>
              <w:rPr>
                <w:sz w:val="18"/>
                <w:szCs w:val="18"/>
              </w:rPr>
            </w:pPr>
            <w:r w:rsidRPr="00732EED">
              <w:rPr>
                <w:sz w:val="18"/>
                <w:szCs w:val="18"/>
              </w:rPr>
              <w:t>15</w:t>
            </w:r>
          </w:p>
        </w:tc>
        <w:tc>
          <w:tcPr>
            <w:tcW w:w="2085" w:type="pct"/>
          </w:tcPr>
          <w:p w14:paraId="422A2F78" w14:textId="77777777" w:rsidR="001B6075" w:rsidRPr="00732EED" w:rsidRDefault="001B6075" w:rsidP="00DC5B3C">
            <w:pPr>
              <w:rPr>
                <w:sz w:val="18"/>
                <w:szCs w:val="18"/>
              </w:rPr>
            </w:pPr>
            <w:r w:rsidRPr="00732EED">
              <w:rPr>
                <w:sz w:val="18"/>
                <w:szCs w:val="18"/>
              </w:rPr>
              <w:t>10,14,18,19,24,31,33,36,39,41,59,61,72,81</w:t>
            </w:r>
          </w:p>
        </w:tc>
      </w:tr>
      <w:tr w:rsidR="001B6075" w:rsidRPr="00732EED" w14:paraId="608455EB"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336A28DB" w14:textId="77777777" w:rsidR="001B6075" w:rsidRPr="00732EED" w:rsidRDefault="001B6075" w:rsidP="00DC5B3C">
            <w:pPr>
              <w:rPr>
                <w:b/>
                <w:bCs/>
                <w:sz w:val="18"/>
                <w:szCs w:val="18"/>
              </w:rPr>
            </w:pPr>
            <w:r w:rsidRPr="00732EED">
              <w:rPr>
                <w:b/>
                <w:bCs/>
                <w:sz w:val="18"/>
                <w:szCs w:val="18"/>
              </w:rPr>
              <w:t>Cognitive</w:t>
            </w:r>
          </w:p>
        </w:tc>
        <w:tc>
          <w:tcPr>
            <w:tcW w:w="1069" w:type="pct"/>
          </w:tcPr>
          <w:p w14:paraId="0AAE36D9" w14:textId="77777777" w:rsidR="001B6075" w:rsidRPr="00732EED" w:rsidRDefault="001B6075" w:rsidP="00DC5B3C">
            <w:pPr>
              <w:rPr>
                <w:sz w:val="18"/>
                <w:szCs w:val="18"/>
              </w:rPr>
            </w:pPr>
            <w:r w:rsidRPr="00732EED">
              <w:rPr>
                <w:sz w:val="18"/>
                <w:szCs w:val="18"/>
              </w:rPr>
              <w:t>Disease Intrusiveness</w:t>
            </w:r>
          </w:p>
        </w:tc>
        <w:tc>
          <w:tcPr>
            <w:tcW w:w="777" w:type="pct"/>
          </w:tcPr>
          <w:p w14:paraId="587ADBC7" w14:textId="77777777" w:rsidR="001B6075" w:rsidRPr="00732EED" w:rsidRDefault="001B6075" w:rsidP="00DC5B3C">
            <w:pPr>
              <w:rPr>
                <w:sz w:val="18"/>
                <w:szCs w:val="18"/>
              </w:rPr>
            </w:pPr>
            <w:r w:rsidRPr="00732EED">
              <w:rPr>
                <w:sz w:val="18"/>
                <w:szCs w:val="18"/>
              </w:rPr>
              <w:t>10</w:t>
            </w:r>
          </w:p>
        </w:tc>
        <w:tc>
          <w:tcPr>
            <w:tcW w:w="2085" w:type="pct"/>
          </w:tcPr>
          <w:p w14:paraId="7C4E3CED" w14:textId="77777777" w:rsidR="001B6075" w:rsidRPr="00732EED" w:rsidRDefault="001B6075" w:rsidP="00DC5B3C">
            <w:pPr>
              <w:rPr>
                <w:sz w:val="18"/>
                <w:szCs w:val="18"/>
              </w:rPr>
            </w:pPr>
            <w:r w:rsidRPr="00732EED">
              <w:rPr>
                <w:sz w:val="18"/>
                <w:szCs w:val="18"/>
              </w:rPr>
              <w:t>10,18,19,21,24,25,27,39,59,72,81,93</w:t>
            </w:r>
          </w:p>
        </w:tc>
      </w:tr>
      <w:tr w:rsidR="001B6075" w:rsidRPr="00732EED" w14:paraId="47602103" w14:textId="77777777" w:rsidTr="00994F9D">
        <w:tc>
          <w:tcPr>
            <w:tcW w:w="1069" w:type="pct"/>
          </w:tcPr>
          <w:p w14:paraId="4FE10218" w14:textId="77777777" w:rsidR="001B6075" w:rsidRPr="00732EED" w:rsidRDefault="001B6075" w:rsidP="00DC5B3C">
            <w:pPr>
              <w:rPr>
                <w:b/>
                <w:bCs/>
                <w:sz w:val="18"/>
                <w:szCs w:val="18"/>
              </w:rPr>
            </w:pPr>
            <w:r w:rsidRPr="00732EED">
              <w:rPr>
                <w:b/>
                <w:bCs/>
                <w:sz w:val="18"/>
                <w:szCs w:val="18"/>
              </w:rPr>
              <w:t>Cognitive</w:t>
            </w:r>
          </w:p>
        </w:tc>
        <w:tc>
          <w:tcPr>
            <w:tcW w:w="1069" w:type="pct"/>
          </w:tcPr>
          <w:p w14:paraId="061A37E0" w14:textId="77777777" w:rsidR="001B6075" w:rsidRPr="00732EED" w:rsidRDefault="001B6075" w:rsidP="00DC5B3C">
            <w:pPr>
              <w:rPr>
                <w:sz w:val="18"/>
                <w:szCs w:val="18"/>
              </w:rPr>
            </w:pPr>
            <w:r w:rsidRPr="00732EED">
              <w:rPr>
                <w:sz w:val="18"/>
                <w:szCs w:val="18"/>
              </w:rPr>
              <w:t>Existential Angst &amp; Meaning</w:t>
            </w:r>
          </w:p>
        </w:tc>
        <w:tc>
          <w:tcPr>
            <w:tcW w:w="777" w:type="pct"/>
          </w:tcPr>
          <w:p w14:paraId="36DE4818" w14:textId="77777777" w:rsidR="001B6075" w:rsidRPr="00732EED" w:rsidRDefault="001B6075" w:rsidP="00DC5B3C">
            <w:pPr>
              <w:rPr>
                <w:sz w:val="18"/>
                <w:szCs w:val="18"/>
              </w:rPr>
            </w:pPr>
            <w:r w:rsidRPr="00732EED">
              <w:rPr>
                <w:sz w:val="18"/>
                <w:szCs w:val="18"/>
              </w:rPr>
              <w:t>8</w:t>
            </w:r>
          </w:p>
        </w:tc>
        <w:tc>
          <w:tcPr>
            <w:tcW w:w="2085" w:type="pct"/>
          </w:tcPr>
          <w:p w14:paraId="088091A5" w14:textId="77777777" w:rsidR="001B6075" w:rsidRPr="00732EED" w:rsidRDefault="001B6075" w:rsidP="00DC5B3C">
            <w:pPr>
              <w:rPr>
                <w:sz w:val="18"/>
                <w:szCs w:val="18"/>
              </w:rPr>
            </w:pPr>
            <w:r w:rsidRPr="00732EED">
              <w:rPr>
                <w:sz w:val="18"/>
                <w:szCs w:val="18"/>
              </w:rPr>
              <w:t>19,24,25,27,32,33,59,65,72,80,93</w:t>
            </w:r>
          </w:p>
        </w:tc>
      </w:tr>
      <w:tr w:rsidR="001B6075" w:rsidRPr="00732EED" w14:paraId="079BFDD5"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4DDF4129" w14:textId="77777777" w:rsidR="001B6075" w:rsidRPr="00732EED" w:rsidRDefault="001B6075" w:rsidP="00DC5B3C">
            <w:pPr>
              <w:rPr>
                <w:b/>
                <w:bCs/>
                <w:sz w:val="18"/>
                <w:szCs w:val="18"/>
              </w:rPr>
            </w:pPr>
            <w:r w:rsidRPr="00732EED">
              <w:rPr>
                <w:b/>
                <w:bCs/>
                <w:sz w:val="18"/>
                <w:szCs w:val="18"/>
              </w:rPr>
              <w:t>Cognitive</w:t>
            </w:r>
          </w:p>
        </w:tc>
        <w:tc>
          <w:tcPr>
            <w:tcW w:w="1069" w:type="pct"/>
          </w:tcPr>
          <w:p w14:paraId="08D3B045" w14:textId="77777777" w:rsidR="001B6075" w:rsidRPr="00732EED" w:rsidRDefault="001B6075" w:rsidP="00DC5B3C">
            <w:pPr>
              <w:rPr>
                <w:sz w:val="18"/>
                <w:szCs w:val="18"/>
              </w:rPr>
            </w:pPr>
            <w:r w:rsidRPr="00732EED">
              <w:rPr>
                <w:sz w:val="18"/>
                <w:szCs w:val="18"/>
              </w:rPr>
              <w:t>Illness Representations / Models</w:t>
            </w:r>
          </w:p>
        </w:tc>
        <w:tc>
          <w:tcPr>
            <w:tcW w:w="777" w:type="pct"/>
          </w:tcPr>
          <w:p w14:paraId="3C1DE989" w14:textId="77777777" w:rsidR="001B6075" w:rsidRPr="00732EED" w:rsidRDefault="001B6075" w:rsidP="00DC5B3C">
            <w:pPr>
              <w:rPr>
                <w:sz w:val="18"/>
                <w:szCs w:val="18"/>
              </w:rPr>
            </w:pPr>
            <w:r w:rsidRPr="00732EED">
              <w:rPr>
                <w:sz w:val="18"/>
                <w:szCs w:val="18"/>
              </w:rPr>
              <w:t>7</w:t>
            </w:r>
          </w:p>
        </w:tc>
        <w:tc>
          <w:tcPr>
            <w:tcW w:w="2085" w:type="pct"/>
          </w:tcPr>
          <w:p w14:paraId="6294F586" w14:textId="77777777" w:rsidR="001B6075" w:rsidRPr="00732EED" w:rsidRDefault="001B6075" w:rsidP="00DC5B3C">
            <w:pPr>
              <w:rPr>
                <w:sz w:val="18"/>
                <w:szCs w:val="18"/>
              </w:rPr>
            </w:pPr>
            <w:r w:rsidRPr="00732EED">
              <w:rPr>
                <w:sz w:val="18"/>
                <w:szCs w:val="18"/>
              </w:rPr>
              <w:t>3,16,24,39,42,62,72,80</w:t>
            </w:r>
          </w:p>
        </w:tc>
      </w:tr>
      <w:tr w:rsidR="001B6075" w:rsidRPr="00732EED" w14:paraId="02506159" w14:textId="77777777" w:rsidTr="00994F9D">
        <w:tc>
          <w:tcPr>
            <w:tcW w:w="1069" w:type="pct"/>
          </w:tcPr>
          <w:p w14:paraId="06659A4A" w14:textId="77777777" w:rsidR="001B6075" w:rsidRPr="00732EED" w:rsidRDefault="001B6075" w:rsidP="00DC5B3C">
            <w:pPr>
              <w:rPr>
                <w:b/>
                <w:bCs/>
                <w:sz w:val="18"/>
                <w:szCs w:val="18"/>
              </w:rPr>
            </w:pPr>
            <w:r w:rsidRPr="00732EED">
              <w:rPr>
                <w:b/>
                <w:bCs/>
                <w:sz w:val="18"/>
                <w:szCs w:val="18"/>
              </w:rPr>
              <w:t>Healthcare</w:t>
            </w:r>
          </w:p>
        </w:tc>
        <w:tc>
          <w:tcPr>
            <w:tcW w:w="1069" w:type="pct"/>
          </w:tcPr>
          <w:p w14:paraId="02DCCE6C" w14:textId="77777777" w:rsidR="001B6075" w:rsidRPr="00732EED" w:rsidRDefault="001B6075" w:rsidP="00DC5B3C">
            <w:pPr>
              <w:rPr>
                <w:sz w:val="18"/>
                <w:szCs w:val="18"/>
              </w:rPr>
            </w:pPr>
            <w:r w:rsidRPr="00732EED">
              <w:rPr>
                <w:sz w:val="18"/>
                <w:szCs w:val="18"/>
              </w:rPr>
              <w:t>Healthcare/System (total)</w:t>
            </w:r>
          </w:p>
        </w:tc>
        <w:tc>
          <w:tcPr>
            <w:tcW w:w="777" w:type="pct"/>
          </w:tcPr>
          <w:p w14:paraId="6BE7A7EC" w14:textId="77777777" w:rsidR="001B6075" w:rsidRPr="00732EED" w:rsidRDefault="001B6075" w:rsidP="00DC5B3C">
            <w:pPr>
              <w:rPr>
                <w:sz w:val="18"/>
                <w:szCs w:val="18"/>
              </w:rPr>
            </w:pPr>
            <w:r w:rsidRPr="00732EED">
              <w:rPr>
                <w:sz w:val="18"/>
                <w:szCs w:val="18"/>
              </w:rPr>
              <w:t>130</w:t>
            </w:r>
          </w:p>
        </w:tc>
        <w:tc>
          <w:tcPr>
            <w:tcW w:w="2085" w:type="pct"/>
          </w:tcPr>
          <w:p w14:paraId="31220CC3" w14:textId="77777777" w:rsidR="001B6075" w:rsidRPr="00732EED" w:rsidRDefault="001B6075" w:rsidP="00DC5B3C">
            <w:pPr>
              <w:rPr>
                <w:sz w:val="18"/>
                <w:szCs w:val="18"/>
              </w:rPr>
            </w:pPr>
            <w:r w:rsidRPr="00732EED">
              <w:rPr>
                <w:sz w:val="18"/>
                <w:szCs w:val="18"/>
              </w:rPr>
              <w:t>1,3,4,5,6,11,12,13,17,19,20,21,22,24–27,34,35,39,41–43,44,45,46–49,50,52,53,56–58,60,61,62,65–69,71,72,73,74,76,79,80,83,84,86,92</w:t>
            </w:r>
          </w:p>
        </w:tc>
      </w:tr>
      <w:tr w:rsidR="001B6075" w:rsidRPr="00732EED" w14:paraId="62B4AB2D" w14:textId="77777777" w:rsidTr="00994F9D">
        <w:trPr>
          <w:cnfStyle w:val="000000100000" w:firstRow="0" w:lastRow="0" w:firstColumn="0" w:lastColumn="0" w:oddVBand="0" w:evenVBand="0" w:oddHBand="1" w:evenHBand="0" w:firstRowFirstColumn="0" w:firstRowLastColumn="0" w:lastRowFirstColumn="0" w:lastRowLastColumn="0"/>
        </w:trPr>
        <w:tc>
          <w:tcPr>
            <w:tcW w:w="1069" w:type="pct"/>
          </w:tcPr>
          <w:p w14:paraId="60B331E7" w14:textId="77777777" w:rsidR="001B6075" w:rsidRPr="00732EED" w:rsidRDefault="001B6075" w:rsidP="00DC5B3C">
            <w:pPr>
              <w:rPr>
                <w:b/>
                <w:bCs/>
                <w:sz w:val="18"/>
                <w:szCs w:val="18"/>
              </w:rPr>
            </w:pPr>
            <w:r w:rsidRPr="00732EED">
              <w:rPr>
                <w:b/>
                <w:bCs/>
                <w:sz w:val="18"/>
                <w:szCs w:val="18"/>
              </w:rPr>
              <w:t>Healthcare</w:t>
            </w:r>
          </w:p>
        </w:tc>
        <w:tc>
          <w:tcPr>
            <w:tcW w:w="1069" w:type="pct"/>
          </w:tcPr>
          <w:p w14:paraId="558E48F4" w14:textId="77777777" w:rsidR="001B6075" w:rsidRPr="00732EED" w:rsidRDefault="001B6075" w:rsidP="00DC5B3C">
            <w:pPr>
              <w:rPr>
                <w:sz w:val="18"/>
                <w:szCs w:val="18"/>
              </w:rPr>
            </w:pPr>
            <w:r w:rsidRPr="00732EED">
              <w:rPr>
                <w:sz w:val="18"/>
                <w:szCs w:val="18"/>
              </w:rPr>
              <w:t>Validation vs Dismissal</w:t>
            </w:r>
          </w:p>
        </w:tc>
        <w:tc>
          <w:tcPr>
            <w:tcW w:w="777" w:type="pct"/>
          </w:tcPr>
          <w:p w14:paraId="4E91A7E9" w14:textId="77777777" w:rsidR="001B6075" w:rsidRPr="00732EED" w:rsidRDefault="001B6075" w:rsidP="00DC5B3C">
            <w:pPr>
              <w:rPr>
                <w:sz w:val="18"/>
                <w:szCs w:val="18"/>
              </w:rPr>
            </w:pPr>
            <w:r w:rsidRPr="00732EED">
              <w:rPr>
                <w:sz w:val="18"/>
                <w:szCs w:val="18"/>
              </w:rPr>
              <w:t>35</w:t>
            </w:r>
          </w:p>
        </w:tc>
        <w:tc>
          <w:tcPr>
            <w:tcW w:w="2085" w:type="pct"/>
          </w:tcPr>
          <w:p w14:paraId="44E3655E" w14:textId="77777777" w:rsidR="001B6075" w:rsidRPr="00732EED" w:rsidRDefault="001B6075" w:rsidP="00DC5B3C">
            <w:pPr>
              <w:rPr>
                <w:sz w:val="18"/>
                <w:szCs w:val="18"/>
              </w:rPr>
            </w:pPr>
            <w:r w:rsidRPr="00732EED">
              <w:rPr>
                <w:sz w:val="18"/>
                <w:szCs w:val="18"/>
              </w:rPr>
              <w:t>4,5,7,11,14,18,19,21,24–27,35,39,41–44,45,52,53,56,57,61,62,66,68,71,72,74,80</w:t>
            </w:r>
          </w:p>
        </w:tc>
      </w:tr>
      <w:tr w:rsidR="001B6075" w:rsidRPr="00732EED" w14:paraId="04185682" w14:textId="77777777" w:rsidTr="00994F9D">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69" w:type="pct"/>
          </w:tcPr>
          <w:p w14:paraId="4817C9FE" w14:textId="77777777" w:rsidR="001B6075" w:rsidRPr="00732EED" w:rsidRDefault="001B6075" w:rsidP="00DC5B3C">
            <w:pPr>
              <w:rPr>
                <w:sz w:val="18"/>
                <w:szCs w:val="18"/>
              </w:rPr>
            </w:pPr>
            <w:r w:rsidRPr="00732EED">
              <w:rPr>
                <w:sz w:val="18"/>
                <w:szCs w:val="18"/>
              </w:rPr>
              <w:t>Healthcare</w:t>
            </w:r>
          </w:p>
        </w:tc>
        <w:tc>
          <w:tcPr>
            <w:tcW w:w="1069" w:type="pct"/>
          </w:tcPr>
          <w:p w14:paraId="53ACFDA6"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Fragmented Care &amp; Mismatch</w:t>
            </w:r>
          </w:p>
        </w:tc>
        <w:tc>
          <w:tcPr>
            <w:tcW w:w="777" w:type="pct"/>
          </w:tcPr>
          <w:p w14:paraId="2E8BA41F"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28</w:t>
            </w:r>
          </w:p>
        </w:tc>
        <w:tc>
          <w:tcPr>
            <w:tcW w:w="2085" w:type="pct"/>
          </w:tcPr>
          <w:p w14:paraId="3E23F26F"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6,11,19,20,22,24,26,34,35,39,41–43,45,46–49,52,53,56,60,62,65,69,71,72</w:t>
            </w:r>
          </w:p>
        </w:tc>
      </w:tr>
      <w:tr w:rsidR="001B6075" w:rsidRPr="00732EED" w14:paraId="1208C298" w14:textId="77777777" w:rsidTr="00994F9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9" w:type="pct"/>
          </w:tcPr>
          <w:p w14:paraId="34BB65F6" w14:textId="77777777" w:rsidR="001B6075" w:rsidRPr="00732EED" w:rsidRDefault="001B6075" w:rsidP="00DC5B3C">
            <w:pPr>
              <w:rPr>
                <w:sz w:val="18"/>
                <w:szCs w:val="18"/>
              </w:rPr>
            </w:pPr>
            <w:r w:rsidRPr="00732EED">
              <w:rPr>
                <w:sz w:val="18"/>
                <w:szCs w:val="18"/>
              </w:rPr>
              <w:t>Healthcare</w:t>
            </w:r>
          </w:p>
        </w:tc>
        <w:tc>
          <w:tcPr>
            <w:tcW w:w="1069" w:type="pct"/>
          </w:tcPr>
          <w:p w14:paraId="144352B4"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Access Barriers &amp; Logistics</w:t>
            </w:r>
          </w:p>
        </w:tc>
        <w:tc>
          <w:tcPr>
            <w:tcW w:w="777" w:type="pct"/>
          </w:tcPr>
          <w:p w14:paraId="75C8900A"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25</w:t>
            </w:r>
          </w:p>
        </w:tc>
        <w:tc>
          <w:tcPr>
            <w:tcW w:w="2085" w:type="pct"/>
          </w:tcPr>
          <w:p w14:paraId="2A4AC8DE"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6,18,21,34,39,49,52,53,56,57,58,61,67,68,69,71,72,74,76,79,87,88,92</w:t>
            </w:r>
          </w:p>
        </w:tc>
      </w:tr>
      <w:tr w:rsidR="001B6075" w:rsidRPr="00732EED" w14:paraId="60B6557B" w14:textId="77777777" w:rsidTr="00994F9D">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69" w:type="pct"/>
          </w:tcPr>
          <w:p w14:paraId="751E01CE" w14:textId="77777777" w:rsidR="001B6075" w:rsidRPr="00732EED" w:rsidRDefault="001B6075" w:rsidP="00DC5B3C">
            <w:pPr>
              <w:rPr>
                <w:sz w:val="18"/>
                <w:szCs w:val="18"/>
              </w:rPr>
            </w:pPr>
            <w:r w:rsidRPr="00732EED">
              <w:rPr>
                <w:sz w:val="18"/>
                <w:szCs w:val="18"/>
              </w:rPr>
              <w:t>Healthcare</w:t>
            </w:r>
          </w:p>
        </w:tc>
        <w:tc>
          <w:tcPr>
            <w:tcW w:w="1069" w:type="pct"/>
          </w:tcPr>
          <w:p w14:paraId="1B382BB5"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Positive Programs &amp; Self-Management</w:t>
            </w:r>
          </w:p>
        </w:tc>
        <w:tc>
          <w:tcPr>
            <w:tcW w:w="777" w:type="pct"/>
          </w:tcPr>
          <w:p w14:paraId="54F17992"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24</w:t>
            </w:r>
          </w:p>
        </w:tc>
        <w:tc>
          <w:tcPr>
            <w:tcW w:w="2085" w:type="pct"/>
          </w:tcPr>
          <w:p w14:paraId="4ED1C66E"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12,13,16,17,32,34,39,57,58,60,62,65,69,70,71,72,80,83,86</w:t>
            </w:r>
          </w:p>
        </w:tc>
      </w:tr>
      <w:tr w:rsidR="001B6075" w:rsidRPr="00732EED" w14:paraId="207EF3B6" w14:textId="77777777" w:rsidTr="00994F9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9" w:type="pct"/>
          </w:tcPr>
          <w:p w14:paraId="4DFA42A0" w14:textId="77777777" w:rsidR="001B6075" w:rsidRPr="00732EED" w:rsidRDefault="001B6075" w:rsidP="00DC5B3C">
            <w:pPr>
              <w:rPr>
                <w:sz w:val="18"/>
                <w:szCs w:val="18"/>
              </w:rPr>
            </w:pPr>
            <w:r w:rsidRPr="00732EED">
              <w:rPr>
                <w:sz w:val="18"/>
                <w:szCs w:val="18"/>
              </w:rPr>
              <w:t>Healthcare</w:t>
            </w:r>
          </w:p>
        </w:tc>
        <w:tc>
          <w:tcPr>
            <w:tcW w:w="1069" w:type="pct"/>
          </w:tcPr>
          <w:p w14:paraId="14DAC008"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System Reform &amp; Professional Views</w:t>
            </w:r>
          </w:p>
        </w:tc>
        <w:tc>
          <w:tcPr>
            <w:tcW w:w="777" w:type="pct"/>
          </w:tcPr>
          <w:p w14:paraId="2705A675"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18</w:t>
            </w:r>
          </w:p>
        </w:tc>
        <w:tc>
          <w:tcPr>
            <w:tcW w:w="2085" w:type="pct"/>
          </w:tcPr>
          <w:p w14:paraId="1ECFAF25"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34,45,65,71,72,76,79,80,84,86,92</w:t>
            </w:r>
          </w:p>
        </w:tc>
      </w:tr>
      <w:tr w:rsidR="001B6075" w:rsidRPr="00732EED" w14:paraId="79D19E3C" w14:textId="77777777" w:rsidTr="00994F9D">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69" w:type="pct"/>
          </w:tcPr>
          <w:p w14:paraId="41585BB8" w14:textId="77777777" w:rsidR="001B6075" w:rsidRPr="00732EED" w:rsidRDefault="001B6075" w:rsidP="00DC5B3C">
            <w:pPr>
              <w:rPr>
                <w:sz w:val="18"/>
                <w:szCs w:val="18"/>
              </w:rPr>
            </w:pPr>
            <w:r w:rsidRPr="00732EED">
              <w:rPr>
                <w:sz w:val="18"/>
                <w:szCs w:val="18"/>
              </w:rPr>
              <w:t>Environmental</w:t>
            </w:r>
          </w:p>
        </w:tc>
        <w:tc>
          <w:tcPr>
            <w:tcW w:w="1069" w:type="pct"/>
          </w:tcPr>
          <w:p w14:paraId="75C36A12"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Environmental (total)</w:t>
            </w:r>
          </w:p>
        </w:tc>
        <w:tc>
          <w:tcPr>
            <w:tcW w:w="777" w:type="pct"/>
          </w:tcPr>
          <w:p w14:paraId="64C938A3"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w:t>
            </w:r>
          </w:p>
        </w:tc>
        <w:tc>
          <w:tcPr>
            <w:tcW w:w="2085" w:type="pct"/>
          </w:tcPr>
          <w:p w14:paraId="168EA80C"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1,6,18,19,21,24,34,39,45,49,50,52,58,67,71,72,76,79,87,88,89</w:t>
            </w:r>
          </w:p>
        </w:tc>
      </w:tr>
      <w:tr w:rsidR="001B6075" w:rsidRPr="00732EED" w14:paraId="2E919D1D" w14:textId="77777777" w:rsidTr="00994F9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9" w:type="pct"/>
          </w:tcPr>
          <w:p w14:paraId="79B067BE" w14:textId="77777777" w:rsidR="001B6075" w:rsidRPr="00732EED" w:rsidRDefault="001B6075" w:rsidP="00DC5B3C">
            <w:pPr>
              <w:rPr>
                <w:sz w:val="18"/>
                <w:szCs w:val="18"/>
              </w:rPr>
            </w:pPr>
            <w:r w:rsidRPr="00732EED">
              <w:rPr>
                <w:sz w:val="18"/>
                <w:szCs w:val="18"/>
              </w:rPr>
              <w:t>Environmental</w:t>
            </w:r>
          </w:p>
        </w:tc>
        <w:tc>
          <w:tcPr>
            <w:tcW w:w="1069" w:type="pct"/>
          </w:tcPr>
          <w:p w14:paraId="7F88DF47"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Rurality &amp; Geography</w:t>
            </w:r>
          </w:p>
        </w:tc>
        <w:tc>
          <w:tcPr>
            <w:tcW w:w="777" w:type="pct"/>
          </w:tcPr>
          <w:p w14:paraId="40EA9F5A"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9</w:t>
            </w:r>
          </w:p>
        </w:tc>
        <w:tc>
          <w:tcPr>
            <w:tcW w:w="2085" w:type="pct"/>
          </w:tcPr>
          <w:p w14:paraId="03F02394"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6,18,21,34,39,49,50,58,71,72,87,89</w:t>
            </w:r>
          </w:p>
        </w:tc>
      </w:tr>
      <w:tr w:rsidR="001B6075" w:rsidRPr="00732EED" w14:paraId="000E6B53" w14:textId="77777777" w:rsidTr="00994F9D">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69" w:type="pct"/>
          </w:tcPr>
          <w:p w14:paraId="23452BCB" w14:textId="77777777" w:rsidR="001B6075" w:rsidRPr="00732EED" w:rsidRDefault="001B6075" w:rsidP="00DC5B3C">
            <w:pPr>
              <w:rPr>
                <w:sz w:val="18"/>
                <w:szCs w:val="18"/>
              </w:rPr>
            </w:pPr>
            <w:r w:rsidRPr="00732EED">
              <w:rPr>
                <w:sz w:val="18"/>
                <w:szCs w:val="18"/>
              </w:rPr>
              <w:t>Environmental</w:t>
            </w:r>
          </w:p>
        </w:tc>
        <w:tc>
          <w:tcPr>
            <w:tcW w:w="1069" w:type="pct"/>
          </w:tcPr>
          <w:p w14:paraId="2FADBE73"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Home/Work Environment Adaptations</w:t>
            </w:r>
          </w:p>
        </w:tc>
        <w:tc>
          <w:tcPr>
            <w:tcW w:w="777" w:type="pct"/>
          </w:tcPr>
          <w:p w14:paraId="377001FE"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w:t>
            </w:r>
          </w:p>
        </w:tc>
        <w:tc>
          <w:tcPr>
            <w:tcW w:w="2085" w:type="pct"/>
          </w:tcPr>
          <w:p w14:paraId="5F093A4C"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18,19,21,24,39,46–49,52,79,88</w:t>
            </w:r>
          </w:p>
        </w:tc>
      </w:tr>
      <w:tr w:rsidR="001B6075" w:rsidRPr="00732EED" w14:paraId="3AC677C4" w14:textId="77777777" w:rsidTr="00994F9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9" w:type="pct"/>
          </w:tcPr>
          <w:p w14:paraId="44381057" w14:textId="77777777" w:rsidR="001B6075" w:rsidRPr="00732EED" w:rsidRDefault="001B6075" w:rsidP="00DC5B3C">
            <w:pPr>
              <w:rPr>
                <w:sz w:val="18"/>
                <w:szCs w:val="18"/>
              </w:rPr>
            </w:pPr>
            <w:r w:rsidRPr="00732EED">
              <w:rPr>
                <w:sz w:val="18"/>
                <w:szCs w:val="18"/>
              </w:rPr>
              <w:t>Environmental</w:t>
            </w:r>
          </w:p>
        </w:tc>
        <w:tc>
          <w:tcPr>
            <w:tcW w:w="1069" w:type="pct"/>
          </w:tcPr>
          <w:p w14:paraId="35D7B47F"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Institutional/LTC Context</w:t>
            </w:r>
          </w:p>
        </w:tc>
        <w:tc>
          <w:tcPr>
            <w:tcW w:w="777" w:type="pct"/>
          </w:tcPr>
          <w:p w14:paraId="2F3439EA"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w:t>
            </w:r>
          </w:p>
        </w:tc>
        <w:tc>
          <w:tcPr>
            <w:tcW w:w="2085" w:type="pct"/>
          </w:tcPr>
          <w:p w14:paraId="019E8E51"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34,71,72,76,92</w:t>
            </w:r>
          </w:p>
        </w:tc>
      </w:tr>
      <w:tr w:rsidR="001B6075" w:rsidRPr="00732EED" w14:paraId="13D8A95C" w14:textId="77777777" w:rsidTr="00994F9D">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69" w:type="pct"/>
          </w:tcPr>
          <w:p w14:paraId="6AED78D6" w14:textId="77777777" w:rsidR="001B6075" w:rsidRPr="00732EED" w:rsidRDefault="001B6075" w:rsidP="00DC5B3C">
            <w:pPr>
              <w:rPr>
                <w:sz w:val="18"/>
                <w:szCs w:val="18"/>
              </w:rPr>
            </w:pPr>
            <w:r w:rsidRPr="00732EED">
              <w:rPr>
                <w:sz w:val="18"/>
                <w:szCs w:val="18"/>
              </w:rPr>
              <w:t>Ecological</w:t>
            </w:r>
          </w:p>
        </w:tc>
        <w:tc>
          <w:tcPr>
            <w:tcW w:w="1069" w:type="pct"/>
          </w:tcPr>
          <w:p w14:paraId="33419EDB"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Ecological (total)</w:t>
            </w:r>
          </w:p>
        </w:tc>
        <w:tc>
          <w:tcPr>
            <w:tcW w:w="777" w:type="pct"/>
          </w:tcPr>
          <w:p w14:paraId="77780DCC"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w:t>
            </w:r>
          </w:p>
        </w:tc>
        <w:tc>
          <w:tcPr>
            <w:tcW w:w="2085" w:type="pct"/>
          </w:tcPr>
          <w:p w14:paraId="53B64DEF"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17,34,50,65,72,76,80,83,84,86</w:t>
            </w:r>
          </w:p>
        </w:tc>
      </w:tr>
      <w:tr w:rsidR="001B6075" w:rsidRPr="00732EED" w14:paraId="294A982B" w14:textId="77777777" w:rsidTr="00994F9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9" w:type="pct"/>
          </w:tcPr>
          <w:p w14:paraId="79E5F899" w14:textId="77777777" w:rsidR="001B6075" w:rsidRPr="00732EED" w:rsidRDefault="001B6075" w:rsidP="00DC5B3C">
            <w:pPr>
              <w:rPr>
                <w:sz w:val="18"/>
                <w:szCs w:val="18"/>
              </w:rPr>
            </w:pPr>
            <w:r w:rsidRPr="00732EED">
              <w:rPr>
                <w:sz w:val="18"/>
                <w:szCs w:val="18"/>
              </w:rPr>
              <w:t>Ecological</w:t>
            </w:r>
          </w:p>
        </w:tc>
        <w:tc>
          <w:tcPr>
            <w:tcW w:w="1069" w:type="pct"/>
          </w:tcPr>
          <w:p w14:paraId="067EFF0B"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Acceptance Ecosystem</w:t>
            </w:r>
          </w:p>
        </w:tc>
        <w:tc>
          <w:tcPr>
            <w:tcW w:w="777" w:type="pct"/>
          </w:tcPr>
          <w:p w14:paraId="510B0D68"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w:t>
            </w:r>
          </w:p>
        </w:tc>
        <w:tc>
          <w:tcPr>
            <w:tcW w:w="2085" w:type="pct"/>
          </w:tcPr>
          <w:p w14:paraId="300E2267"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32,57,65,72,80</w:t>
            </w:r>
          </w:p>
        </w:tc>
      </w:tr>
      <w:tr w:rsidR="001B6075" w:rsidRPr="00732EED" w14:paraId="4516E2F4" w14:textId="77777777" w:rsidTr="00994F9D">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69" w:type="pct"/>
          </w:tcPr>
          <w:p w14:paraId="2DBC7FCA" w14:textId="77777777" w:rsidR="001B6075" w:rsidRPr="00732EED" w:rsidRDefault="001B6075" w:rsidP="00DC5B3C">
            <w:pPr>
              <w:rPr>
                <w:sz w:val="18"/>
                <w:szCs w:val="18"/>
              </w:rPr>
            </w:pPr>
            <w:r w:rsidRPr="00732EED">
              <w:rPr>
                <w:sz w:val="18"/>
                <w:szCs w:val="18"/>
              </w:rPr>
              <w:t>Ecological</w:t>
            </w:r>
          </w:p>
        </w:tc>
        <w:tc>
          <w:tcPr>
            <w:tcW w:w="1069" w:type="pct"/>
          </w:tcPr>
          <w:p w14:paraId="337F3DE1"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Social–Structural Determinants</w:t>
            </w:r>
          </w:p>
        </w:tc>
        <w:tc>
          <w:tcPr>
            <w:tcW w:w="777" w:type="pct"/>
          </w:tcPr>
          <w:p w14:paraId="33759DE2"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w:t>
            </w:r>
          </w:p>
        </w:tc>
        <w:tc>
          <w:tcPr>
            <w:tcW w:w="2085" w:type="pct"/>
          </w:tcPr>
          <w:p w14:paraId="4236A2F8" w14:textId="77777777" w:rsidR="001B6075" w:rsidRPr="00732EED" w:rsidRDefault="001B6075" w:rsidP="00DC5B3C">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18,21,24,34,39,67,72,76,84,89</w:t>
            </w:r>
          </w:p>
        </w:tc>
      </w:tr>
      <w:tr w:rsidR="001B6075" w:rsidRPr="00732EED" w14:paraId="18B87200" w14:textId="77777777" w:rsidTr="00994F9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9" w:type="pct"/>
          </w:tcPr>
          <w:p w14:paraId="1A0D82D5" w14:textId="77777777" w:rsidR="001B6075" w:rsidRPr="00732EED" w:rsidRDefault="001B6075" w:rsidP="00DC5B3C">
            <w:pPr>
              <w:rPr>
                <w:sz w:val="18"/>
                <w:szCs w:val="18"/>
              </w:rPr>
            </w:pPr>
            <w:r w:rsidRPr="00732EED">
              <w:rPr>
                <w:sz w:val="18"/>
                <w:szCs w:val="18"/>
              </w:rPr>
              <w:t>Ecological</w:t>
            </w:r>
          </w:p>
        </w:tc>
        <w:tc>
          <w:tcPr>
            <w:tcW w:w="1069" w:type="pct"/>
          </w:tcPr>
          <w:p w14:paraId="1360F734"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Digital &amp; Participatory Ecologies</w:t>
            </w:r>
          </w:p>
        </w:tc>
        <w:tc>
          <w:tcPr>
            <w:tcW w:w="777" w:type="pct"/>
          </w:tcPr>
          <w:p w14:paraId="09F846DB"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w:t>
            </w:r>
          </w:p>
        </w:tc>
        <w:tc>
          <w:tcPr>
            <w:tcW w:w="2085" w:type="pct"/>
          </w:tcPr>
          <w:p w14:paraId="14C3058B" w14:textId="77777777" w:rsidR="001B6075" w:rsidRPr="00732EED" w:rsidRDefault="001B6075" w:rsidP="00DC5B3C">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17,34,50,65,71,72,76,80,83</w:t>
            </w:r>
          </w:p>
        </w:tc>
      </w:tr>
    </w:tbl>
    <w:p w14:paraId="298168FE" w14:textId="79540ED9" w:rsidR="00B345A8" w:rsidRPr="00732EED" w:rsidRDefault="00B345A8" w:rsidP="00B345A8">
      <w:pPr>
        <w:rPr>
          <w:sz w:val="18"/>
          <w:szCs w:val="18"/>
        </w:rPr>
      </w:pPr>
      <w:r w:rsidRPr="00732EED">
        <w:rPr>
          <w:sz w:val="18"/>
          <w:szCs w:val="18"/>
        </w:rPr>
        <w:t>*Study ID mapping: Study numbers correspond to full citations listed in Supplementary Table S4 &amp; S5. Count definition: "Theme Relevance (Count)" denotes number of coded occurrences of the theme across the dataset (instances), not necessarily the number of unique studies mentioning the theme. Study Numbers column: where ranges are given (e.g., 1–3) these indicate inclusive sequential Study IDs; commas separate discrete Study IDs. Overlap/non</w:t>
      </w:r>
      <w:r w:rsidRPr="00732EED">
        <w:rPr>
          <w:sz w:val="18"/>
          <w:szCs w:val="18"/>
        </w:rPr>
        <w:noBreakHyphen/>
        <w:t>mutual exclusivity: themes and subthemes may co</w:t>
      </w:r>
      <w:r w:rsidRPr="00732EED">
        <w:rPr>
          <w:sz w:val="18"/>
          <w:szCs w:val="18"/>
        </w:rPr>
        <w:noBreakHyphen/>
        <w:t>occur within the same study and therefore counts are not mutually exclusive; totals across domains will exceed the number of included studies. Coding rules: themes were identified via a sequential hermeneutic–heuristic meta</w:t>
      </w:r>
      <w:r w:rsidRPr="00732EED">
        <w:rPr>
          <w:sz w:val="18"/>
          <w:szCs w:val="18"/>
        </w:rPr>
        <w:noBreakHyphen/>
        <w:t xml:space="preserve">synthesis; </w:t>
      </w:r>
      <w:r w:rsidR="00E76828" w:rsidRPr="00732EED">
        <w:rPr>
          <w:sz w:val="18"/>
          <w:szCs w:val="18"/>
        </w:rPr>
        <w:t>i</w:t>
      </w:r>
      <w:r w:rsidR="00E76828" w:rsidRPr="00732EED">
        <w:rPr>
          <w:color w:val="09090B"/>
          <w:sz w:val="18"/>
          <w:szCs w:val="18"/>
          <w:shd w:val="clear" w:color="auto" w:fill="FFFFFF"/>
        </w:rPr>
        <w:t>nter</w:t>
      </w:r>
      <w:r w:rsidR="00E76828" w:rsidRPr="00732EED">
        <w:rPr>
          <w:color w:val="09090B"/>
          <w:sz w:val="18"/>
          <w:szCs w:val="18"/>
          <w:shd w:val="clear" w:color="auto" w:fill="FFFFFF"/>
        </w:rPr>
        <w:noBreakHyphen/>
        <w:t>rater reliability for theme coding was assessed using Cohen’s kappa based on independent double</w:t>
      </w:r>
      <w:r w:rsidR="00E76828" w:rsidRPr="00732EED">
        <w:rPr>
          <w:color w:val="09090B"/>
          <w:sz w:val="18"/>
          <w:szCs w:val="18"/>
          <w:shd w:val="clear" w:color="auto" w:fill="FFFFFF"/>
        </w:rPr>
        <w:noBreakHyphen/>
        <w:t>coding of a 20% random sample of extraction units (n = 100 items) by two coders (κ = 0.78), indicating substantial agreement (κ ≥ 0.75 = excellent; 0.40–0.74 = fair</w:t>
      </w:r>
      <w:r w:rsidR="00E76828" w:rsidRPr="00732EED">
        <w:rPr>
          <w:color w:val="09090B"/>
          <w:sz w:val="18"/>
          <w:szCs w:val="18"/>
          <w:shd w:val="clear" w:color="auto" w:fill="FFFFFF"/>
        </w:rPr>
        <w:noBreakHyphen/>
        <w:t>to</w:t>
      </w:r>
      <w:r w:rsidR="00E76828" w:rsidRPr="00732EED">
        <w:rPr>
          <w:color w:val="09090B"/>
          <w:sz w:val="18"/>
          <w:szCs w:val="18"/>
          <w:shd w:val="clear" w:color="auto" w:fill="FFFFFF"/>
        </w:rPr>
        <w:noBreakHyphen/>
        <w:t xml:space="preserve">good; &lt;0.40 = poor). Disagreements were resolved by consensus and arbitration by a third reviewer; </w:t>
      </w:r>
      <w:r w:rsidRPr="00732EED">
        <w:rPr>
          <w:sz w:val="18"/>
          <w:szCs w:val="18"/>
        </w:rPr>
        <w:t>coding rules, codebook, and examples of coded excerpts are provided in Supplementary Files.  Reliability: coding was performed by multiple reviewers with consensus procedures; inter</w:t>
      </w:r>
      <w:r w:rsidRPr="00732EED">
        <w:rPr>
          <w:sz w:val="18"/>
          <w:szCs w:val="18"/>
        </w:rPr>
        <w:noBreakHyphen/>
        <w:t xml:space="preserve">rater resolution method is described in Methods and Supplementary Files. Date coverage: included studies were published July 2010–July 2025; Inclusion/exclusion: only primary qualitative studies and qualitative syntheses meeting protocol criteria were included. Quality/context: counts do not weight by study quality or sample size; corresponding </w:t>
      </w:r>
      <w:proofErr w:type="spellStart"/>
      <w:r w:rsidRPr="00732EED">
        <w:rPr>
          <w:sz w:val="18"/>
          <w:szCs w:val="18"/>
        </w:rPr>
        <w:t>CERQual</w:t>
      </w:r>
      <w:proofErr w:type="spellEnd"/>
      <w:r w:rsidRPr="00732EED">
        <w:rPr>
          <w:sz w:val="18"/>
          <w:szCs w:val="18"/>
        </w:rPr>
        <w:t xml:space="preserve"> confidence assessments and study appraisals are reported in Supplementary Tables S3–S5. Abbreviations &amp; notes: LTC = long</w:t>
      </w:r>
      <w:r w:rsidRPr="00732EED">
        <w:rPr>
          <w:sz w:val="18"/>
          <w:szCs w:val="18"/>
        </w:rPr>
        <w:noBreakHyphen/>
        <w:t>term care; NR = not reported. Reproducibility: raw extraction tables, verbatim quotations informing each coded instance, and the full search history are available in Supplementary Files.</w:t>
      </w:r>
    </w:p>
    <w:p w14:paraId="7207B3DD" w14:textId="577BF3CB" w:rsidR="005F7C23" w:rsidRPr="00732EED" w:rsidRDefault="005F7C23">
      <w:pPr>
        <w:spacing w:after="160" w:line="278" w:lineRule="auto"/>
        <w:rPr>
          <w:b/>
          <w:color w:val="000000"/>
          <w:sz w:val="18"/>
          <w:szCs w:val="18"/>
        </w:rPr>
      </w:pPr>
      <w:r w:rsidRPr="00732EED">
        <w:rPr>
          <w:b/>
          <w:color w:val="000000"/>
          <w:sz w:val="18"/>
          <w:szCs w:val="18"/>
        </w:rPr>
        <w:br w:type="page"/>
      </w:r>
    </w:p>
    <w:p w14:paraId="3B7BDD57" w14:textId="77777777" w:rsidR="00E418E3" w:rsidRPr="00732EED" w:rsidRDefault="00E418E3" w:rsidP="00E418E3">
      <w:pPr>
        <w:rPr>
          <w:b/>
          <w:bCs/>
          <w:sz w:val="18"/>
          <w:szCs w:val="18"/>
        </w:rPr>
      </w:pPr>
      <w:r w:rsidRPr="00732EED">
        <w:rPr>
          <w:b/>
          <w:bCs/>
          <w:sz w:val="18"/>
          <w:szCs w:val="18"/>
        </w:rPr>
        <w:lastRenderedPageBreak/>
        <w:t>Supplementary Table S13. Sensitivity analyses of Phase 1 heuristic domain structure</w:t>
      </w:r>
    </w:p>
    <w:tbl>
      <w:tblPr>
        <w:tblStyle w:val="PlainTable1"/>
        <w:tblW w:w="5000" w:type="pct"/>
        <w:tblLook w:val="04A0" w:firstRow="1" w:lastRow="0" w:firstColumn="1" w:lastColumn="0" w:noHBand="0" w:noVBand="1"/>
      </w:tblPr>
      <w:tblGrid>
        <w:gridCol w:w="897"/>
        <w:gridCol w:w="1410"/>
        <w:gridCol w:w="701"/>
        <w:gridCol w:w="630"/>
        <w:gridCol w:w="1031"/>
        <w:gridCol w:w="720"/>
        <w:gridCol w:w="1350"/>
        <w:gridCol w:w="717"/>
        <w:gridCol w:w="736"/>
        <w:gridCol w:w="798"/>
        <w:gridCol w:w="1125"/>
        <w:gridCol w:w="837"/>
        <w:gridCol w:w="1415"/>
        <w:gridCol w:w="1195"/>
      </w:tblGrid>
      <w:tr w:rsidR="00E418E3" w:rsidRPr="004D4A76" w14:paraId="127E40BB" w14:textId="77777777" w:rsidTr="007F6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E71D9D" w14:textId="77777777" w:rsidR="00E418E3" w:rsidRPr="004D4A76" w:rsidRDefault="00E418E3" w:rsidP="007F6616">
            <w:pPr>
              <w:rPr>
                <w:sz w:val="14"/>
                <w:szCs w:val="14"/>
              </w:rPr>
            </w:pPr>
            <w:r w:rsidRPr="004D4A76">
              <w:rPr>
                <w:sz w:val="14"/>
                <w:szCs w:val="14"/>
              </w:rPr>
              <w:t>Sensitivity analysis</w:t>
            </w:r>
          </w:p>
        </w:tc>
        <w:tc>
          <w:tcPr>
            <w:tcW w:w="0" w:type="auto"/>
            <w:hideMark/>
          </w:tcPr>
          <w:p w14:paraId="5267BCB1"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Analytic specification</w:t>
            </w:r>
          </w:p>
        </w:tc>
        <w:tc>
          <w:tcPr>
            <w:tcW w:w="0" w:type="auto"/>
            <w:hideMark/>
          </w:tcPr>
          <w:p w14:paraId="70BEB607"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Total analytic unit</w:t>
            </w:r>
          </w:p>
        </w:tc>
        <w:tc>
          <w:tcPr>
            <w:tcW w:w="0" w:type="auto"/>
            <w:hideMark/>
          </w:tcPr>
          <w:p w14:paraId="5F5A21AD"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Social n (%)</w:t>
            </w:r>
          </w:p>
        </w:tc>
        <w:tc>
          <w:tcPr>
            <w:tcW w:w="0" w:type="auto"/>
            <w:hideMark/>
          </w:tcPr>
          <w:p w14:paraId="1FCAE2DC"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Psychological n (%)</w:t>
            </w:r>
          </w:p>
        </w:tc>
        <w:tc>
          <w:tcPr>
            <w:tcW w:w="0" w:type="auto"/>
            <w:hideMark/>
          </w:tcPr>
          <w:p w14:paraId="456DD2CF"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Physical n (%)</w:t>
            </w:r>
          </w:p>
        </w:tc>
        <w:tc>
          <w:tcPr>
            <w:tcW w:w="0" w:type="auto"/>
            <w:hideMark/>
          </w:tcPr>
          <w:p w14:paraId="213D3494"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Healthcare/System n (%)</w:t>
            </w:r>
          </w:p>
        </w:tc>
        <w:tc>
          <w:tcPr>
            <w:tcW w:w="0" w:type="auto"/>
            <w:hideMark/>
          </w:tcPr>
          <w:p w14:paraId="4416E263"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Chronic Pain n (%)</w:t>
            </w:r>
          </w:p>
        </w:tc>
        <w:tc>
          <w:tcPr>
            <w:tcW w:w="0" w:type="auto"/>
            <w:hideMark/>
          </w:tcPr>
          <w:p w14:paraId="3CF7DAE3"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Cultural n (%)</w:t>
            </w:r>
          </w:p>
        </w:tc>
        <w:tc>
          <w:tcPr>
            <w:tcW w:w="0" w:type="auto"/>
            <w:hideMark/>
          </w:tcPr>
          <w:p w14:paraId="0B951806"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Cognitive n (%)</w:t>
            </w:r>
          </w:p>
        </w:tc>
        <w:tc>
          <w:tcPr>
            <w:tcW w:w="0" w:type="auto"/>
            <w:hideMark/>
          </w:tcPr>
          <w:p w14:paraId="71C764AF"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Environmental n (%)</w:t>
            </w:r>
          </w:p>
        </w:tc>
        <w:tc>
          <w:tcPr>
            <w:tcW w:w="0" w:type="auto"/>
            <w:hideMark/>
          </w:tcPr>
          <w:p w14:paraId="096E8ADC"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Ecological n (%)</w:t>
            </w:r>
          </w:p>
        </w:tc>
        <w:tc>
          <w:tcPr>
            <w:tcW w:w="0" w:type="auto"/>
            <w:hideMark/>
          </w:tcPr>
          <w:p w14:paraId="70D1C202"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Main structural finding</w:t>
            </w:r>
          </w:p>
        </w:tc>
        <w:tc>
          <w:tcPr>
            <w:tcW w:w="0" w:type="auto"/>
            <w:hideMark/>
          </w:tcPr>
          <w:p w14:paraId="3A0CA762" w14:textId="77777777" w:rsidR="00E418E3" w:rsidRPr="004D4A76" w:rsidRDefault="00E418E3" w:rsidP="007F6616">
            <w:pPr>
              <w:cnfStyle w:val="100000000000" w:firstRow="1" w:lastRow="0" w:firstColumn="0" w:lastColumn="0" w:oddVBand="0" w:evenVBand="0" w:oddHBand="0" w:evenHBand="0" w:firstRowFirstColumn="0" w:firstRowLastColumn="0" w:lastRowFirstColumn="0" w:lastRowLastColumn="0"/>
              <w:rPr>
                <w:sz w:val="14"/>
                <w:szCs w:val="14"/>
              </w:rPr>
            </w:pPr>
            <w:r w:rsidRPr="004D4A76">
              <w:rPr>
                <w:sz w:val="14"/>
                <w:szCs w:val="14"/>
              </w:rPr>
              <w:t>Interpretation</w:t>
            </w:r>
          </w:p>
        </w:tc>
      </w:tr>
      <w:tr w:rsidR="00E418E3" w:rsidRPr="004D4A76" w14:paraId="33F65727" w14:textId="77777777" w:rsidTr="007F6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860F84" w14:textId="77777777" w:rsidR="00E418E3" w:rsidRPr="004D4A76" w:rsidRDefault="00E418E3" w:rsidP="007F6616">
            <w:pPr>
              <w:rPr>
                <w:sz w:val="14"/>
                <w:szCs w:val="14"/>
              </w:rPr>
            </w:pPr>
            <w:r w:rsidRPr="004D4A76">
              <w:rPr>
                <w:sz w:val="14"/>
                <w:szCs w:val="14"/>
              </w:rPr>
              <w:t>Reference analysis</w:t>
            </w:r>
          </w:p>
        </w:tc>
        <w:tc>
          <w:tcPr>
            <w:tcW w:w="0" w:type="auto"/>
            <w:hideMark/>
          </w:tcPr>
          <w:p w14:paraId="020DFCAB"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 xml:space="preserve">Full </w:t>
            </w:r>
            <w:proofErr w:type="spellStart"/>
            <w:r w:rsidRPr="004D4A76">
              <w:rPr>
                <w:sz w:val="14"/>
                <w:szCs w:val="14"/>
              </w:rPr>
              <w:t>multicode</w:t>
            </w:r>
            <w:proofErr w:type="spellEnd"/>
            <w:r w:rsidRPr="004D4A76">
              <w:rPr>
                <w:sz w:val="14"/>
                <w:szCs w:val="14"/>
              </w:rPr>
              <w:t xml:space="preserve"> model including primary, secondary, and tertiary domain assignments across all included studies</w:t>
            </w:r>
          </w:p>
        </w:tc>
        <w:tc>
          <w:tcPr>
            <w:tcW w:w="0" w:type="auto"/>
            <w:hideMark/>
          </w:tcPr>
          <w:p w14:paraId="6DA2EB0F"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835</w:t>
            </w:r>
          </w:p>
        </w:tc>
        <w:tc>
          <w:tcPr>
            <w:tcW w:w="0" w:type="auto"/>
            <w:hideMark/>
          </w:tcPr>
          <w:p w14:paraId="1E208E79"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185 (22.16)</w:t>
            </w:r>
          </w:p>
        </w:tc>
        <w:tc>
          <w:tcPr>
            <w:tcW w:w="0" w:type="auto"/>
            <w:hideMark/>
          </w:tcPr>
          <w:p w14:paraId="62067147"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145 (17.37)</w:t>
            </w:r>
          </w:p>
        </w:tc>
        <w:tc>
          <w:tcPr>
            <w:tcW w:w="0" w:type="auto"/>
            <w:hideMark/>
          </w:tcPr>
          <w:p w14:paraId="2C3488E9"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135 (16.17)</w:t>
            </w:r>
          </w:p>
        </w:tc>
        <w:tc>
          <w:tcPr>
            <w:tcW w:w="0" w:type="auto"/>
            <w:hideMark/>
          </w:tcPr>
          <w:p w14:paraId="76751D7F"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130 (15.57)</w:t>
            </w:r>
          </w:p>
        </w:tc>
        <w:tc>
          <w:tcPr>
            <w:tcW w:w="0" w:type="auto"/>
            <w:hideMark/>
          </w:tcPr>
          <w:p w14:paraId="05F97C96"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120 (14.37)</w:t>
            </w:r>
          </w:p>
        </w:tc>
        <w:tc>
          <w:tcPr>
            <w:tcW w:w="0" w:type="auto"/>
            <w:hideMark/>
          </w:tcPr>
          <w:p w14:paraId="4F2D4C40"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50 (5.99)</w:t>
            </w:r>
          </w:p>
        </w:tc>
        <w:tc>
          <w:tcPr>
            <w:tcW w:w="0" w:type="auto"/>
            <w:hideMark/>
          </w:tcPr>
          <w:p w14:paraId="17D31136"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40 (4.79)</w:t>
            </w:r>
          </w:p>
        </w:tc>
        <w:tc>
          <w:tcPr>
            <w:tcW w:w="0" w:type="auto"/>
            <w:hideMark/>
          </w:tcPr>
          <w:p w14:paraId="174815EB"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20 (2.40)</w:t>
            </w:r>
          </w:p>
        </w:tc>
        <w:tc>
          <w:tcPr>
            <w:tcW w:w="0" w:type="auto"/>
            <w:hideMark/>
          </w:tcPr>
          <w:p w14:paraId="437D8EEB"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10 (1.20)</w:t>
            </w:r>
          </w:p>
        </w:tc>
        <w:tc>
          <w:tcPr>
            <w:tcW w:w="0" w:type="auto"/>
            <w:hideMark/>
          </w:tcPr>
          <w:p w14:paraId="42E0B034"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Five dominant domains were Social, Psychological, Physical, Healthcare/System, and Chronic Pain</w:t>
            </w:r>
          </w:p>
        </w:tc>
        <w:tc>
          <w:tcPr>
            <w:tcW w:w="0" w:type="auto"/>
            <w:hideMark/>
          </w:tcPr>
          <w:p w14:paraId="40D484C5"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Reference model showed a stable multidomain experiential structure centered on relational, embodied, psychological, and healthcare-mediated experience</w:t>
            </w:r>
          </w:p>
        </w:tc>
      </w:tr>
      <w:tr w:rsidR="00E418E3" w:rsidRPr="004D4A76" w14:paraId="13F22241" w14:textId="77777777" w:rsidTr="007F6616">
        <w:tc>
          <w:tcPr>
            <w:cnfStyle w:val="001000000000" w:firstRow="0" w:lastRow="0" w:firstColumn="1" w:lastColumn="0" w:oddVBand="0" w:evenVBand="0" w:oddHBand="0" w:evenHBand="0" w:firstRowFirstColumn="0" w:firstRowLastColumn="0" w:lastRowFirstColumn="0" w:lastRowLastColumn="0"/>
            <w:tcW w:w="0" w:type="auto"/>
            <w:hideMark/>
          </w:tcPr>
          <w:p w14:paraId="0C7A47FE" w14:textId="77777777" w:rsidR="00E418E3" w:rsidRPr="004D4A76" w:rsidRDefault="00E418E3" w:rsidP="007F6616">
            <w:pPr>
              <w:rPr>
                <w:sz w:val="14"/>
                <w:szCs w:val="14"/>
              </w:rPr>
            </w:pPr>
            <w:r w:rsidRPr="004D4A76">
              <w:rPr>
                <w:sz w:val="14"/>
                <w:szCs w:val="14"/>
              </w:rPr>
              <w:t>Equal study weighting</w:t>
            </w:r>
          </w:p>
        </w:tc>
        <w:tc>
          <w:tcPr>
            <w:tcW w:w="0" w:type="auto"/>
            <w:hideMark/>
          </w:tcPr>
          <w:p w14:paraId="4A288010"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Each included study contributed equally irrespective of coding density</w:t>
            </w:r>
          </w:p>
        </w:tc>
        <w:tc>
          <w:tcPr>
            <w:tcW w:w="0" w:type="auto"/>
            <w:hideMark/>
          </w:tcPr>
          <w:p w14:paraId="0EC5C6C6"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437</w:t>
            </w:r>
          </w:p>
        </w:tc>
        <w:tc>
          <w:tcPr>
            <w:tcW w:w="0" w:type="auto"/>
            <w:hideMark/>
          </w:tcPr>
          <w:p w14:paraId="54674F0E"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97 (22.20)</w:t>
            </w:r>
          </w:p>
        </w:tc>
        <w:tc>
          <w:tcPr>
            <w:tcW w:w="0" w:type="auto"/>
            <w:hideMark/>
          </w:tcPr>
          <w:p w14:paraId="1A509D9C"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76 (17.39)</w:t>
            </w:r>
          </w:p>
        </w:tc>
        <w:tc>
          <w:tcPr>
            <w:tcW w:w="0" w:type="auto"/>
            <w:hideMark/>
          </w:tcPr>
          <w:p w14:paraId="21BB3520"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71 (16.25)</w:t>
            </w:r>
          </w:p>
        </w:tc>
        <w:tc>
          <w:tcPr>
            <w:tcW w:w="0" w:type="auto"/>
            <w:hideMark/>
          </w:tcPr>
          <w:p w14:paraId="25F1E318"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68 (15.56)</w:t>
            </w:r>
          </w:p>
        </w:tc>
        <w:tc>
          <w:tcPr>
            <w:tcW w:w="0" w:type="auto"/>
            <w:hideMark/>
          </w:tcPr>
          <w:p w14:paraId="4BA1DAB9"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63 (14.42)</w:t>
            </w:r>
          </w:p>
        </w:tc>
        <w:tc>
          <w:tcPr>
            <w:tcW w:w="0" w:type="auto"/>
            <w:hideMark/>
          </w:tcPr>
          <w:p w14:paraId="1B50BE3B"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26 (5.95)</w:t>
            </w:r>
          </w:p>
        </w:tc>
        <w:tc>
          <w:tcPr>
            <w:tcW w:w="0" w:type="auto"/>
            <w:hideMark/>
          </w:tcPr>
          <w:p w14:paraId="039E9ACE"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21 (4.81)</w:t>
            </w:r>
          </w:p>
        </w:tc>
        <w:tc>
          <w:tcPr>
            <w:tcW w:w="0" w:type="auto"/>
            <w:hideMark/>
          </w:tcPr>
          <w:p w14:paraId="76A57B3E"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10 (2.29)</w:t>
            </w:r>
          </w:p>
        </w:tc>
        <w:tc>
          <w:tcPr>
            <w:tcW w:w="0" w:type="auto"/>
            <w:hideMark/>
          </w:tcPr>
          <w:p w14:paraId="4575F262"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5 (1.15)</w:t>
            </w:r>
          </w:p>
        </w:tc>
        <w:tc>
          <w:tcPr>
            <w:tcW w:w="0" w:type="auto"/>
            <w:hideMark/>
          </w:tcPr>
          <w:p w14:paraId="58E072FD"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Domain rank order unchanged</w:t>
            </w:r>
          </w:p>
        </w:tc>
        <w:tc>
          <w:tcPr>
            <w:tcW w:w="0" w:type="auto"/>
            <w:hideMark/>
          </w:tcPr>
          <w:p w14:paraId="35A84880"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Findings were not driven primarily by more densely coded studies</w:t>
            </w:r>
          </w:p>
        </w:tc>
      </w:tr>
      <w:tr w:rsidR="00E418E3" w:rsidRPr="004D4A76" w14:paraId="40B0B302" w14:textId="77777777" w:rsidTr="007F6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18E397" w14:textId="77777777" w:rsidR="00E418E3" w:rsidRPr="004D4A76" w:rsidRDefault="00E418E3" w:rsidP="007F6616">
            <w:pPr>
              <w:rPr>
                <w:sz w:val="14"/>
                <w:szCs w:val="14"/>
              </w:rPr>
            </w:pPr>
            <w:r w:rsidRPr="004D4A76">
              <w:rPr>
                <w:sz w:val="14"/>
                <w:szCs w:val="14"/>
              </w:rPr>
              <w:t>Primary-code-only model</w:t>
            </w:r>
          </w:p>
        </w:tc>
        <w:tc>
          <w:tcPr>
            <w:tcW w:w="0" w:type="auto"/>
            <w:hideMark/>
          </w:tcPr>
          <w:p w14:paraId="14DFF8BE"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One dominant domain retained per included study</w:t>
            </w:r>
          </w:p>
        </w:tc>
        <w:tc>
          <w:tcPr>
            <w:tcW w:w="0" w:type="auto"/>
            <w:hideMark/>
          </w:tcPr>
          <w:p w14:paraId="6F563F2D"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94</w:t>
            </w:r>
          </w:p>
        </w:tc>
        <w:tc>
          <w:tcPr>
            <w:tcW w:w="0" w:type="auto"/>
            <w:hideMark/>
          </w:tcPr>
          <w:p w14:paraId="5AC29D5A"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21 (22.34)</w:t>
            </w:r>
          </w:p>
        </w:tc>
        <w:tc>
          <w:tcPr>
            <w:tcW w:w="0" w:type="auto"/>
            <w:hideMark/>
          </w:tcPr>
          <w:p w14:paraId="771B7735"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16 (17.02)</w:t>
            </w:r>
          </w:p>
        </w:tc>
        <w:tc>
          <w:tcPr>
            <w:tcW w:w="0" w:type="auto"/>
            <w:hideMark/>
          </w:tcPr>
          <w:p w14:paraId="73B93392"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15 (15.96)</w:t>
            </w:r>
          </w:p>
        </w:tc>
        <w:tc>
          <w:tcPr>
            <w:tcW w:w="0" w:type="auto"/>
            <w:hideMark/>
          </w:tcPr>
          <w:p w14:paraId="22FC6A0B"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15 (15.96)</w:t>
            </w:r>
          </w:p>
        </w:tc>
        <w:tc>
          <w:tcPr>
            <w:tcW w:w="0" w:type="auto"/>
            <w:hideMark/>
          </w:tcPr>
          <w:p w14:paraId="487CE12B"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14 (14.89)</w:t>
            </w:r>
          </w:p>
        </w:tc>
        <w:tc>
          <w:tcPr>
            <w:tcW w:w="0" w:type="auto"/>
            <w:hideMark/>
          </w:tcPr>
          <w:p w14:paraId="79D6F8CC"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6 (6.38)</w:t>
            </w:r>
          </w:p>
        </w:tc>
        <w:tc>
          <w:tcPr>
            <w:tcW w:w="0" w:type="auto"/>
            <w:hideMark/>
          </w:tcPr>
          <w:p w14:paraId="4713A391"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4 (4.26)</w:t>
            </w:r>
          </w:p>
        </w:tc>
        <w:tc>
          <w:tcPr>
            <w:tcW w:w="0" w:type="auto"/>
            <w:hideMark/>
          </w:tcPr>
          <w:p w14:paraId="5776DC73"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2 (2.13)</w:t>
            </w:r>
          </w:p>
        </w:tc>
        <w:tc>
          <w:tcPr>
            <w:tcW w:w="0" w:type="auto"/>
            <w:hideMark/>
          </w:tcPr>
          <w:p w14:paraId="05F3FB67"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 (1.06)</w:t>
            </w:r>
          </w:p>
        </w:tc>
        <w:tc>
          <w:tcPr>
            <w:tcW w:w="0" w:type="auto"/>
            <w:hideMark/>
          </w:tcPr>
          <w:p w14:paraId="7C0046CD"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Principal hierarchy retained, with slight compression of differences among middle-ranked domains</w:t>
            </w:r>
          </w:p>
        </w:tc>
        <w:tc>
          <w:tcPr>
            <w:tcW w:w="0" w:type="auto"/>
            <w:hideMark/>
          </w:tcPr>
          <w:p w14:paraId="31A92301"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 xml:space="preserve">Major findings were not dependent on </w:t>
            </w:r>
            <w:proofErr w:type="spellStart"/>
            <w:r w:rsidRPr="004D4A76">
              <w:rPr>
                <w:sz w:val="14"/>
                <w:szCs w:val="14"/>
              </w:rPr>
              <w:t>multicode</w:t>
            </w:r>
            <w:proofErr w:type="spellEnd"/>
            <w:r w:rsidRPr="004D4A76">
              <w:rPr>
                <w:sz w:val="14"/>
                <w:szCs w:val="14"/>
              </w:rPr>
              <w:t xml:space="preserve"> density; multi-coding added nuance rather than creating the core structure</w:t>
            </w:r>
          </w:p>
        </w:tc>
      </w:tr>
      <w:tr w:rsidR="00E418E3" w:rsidRPr="004D4A76" w14:paraId="432BBC26" w14:textId="77777777" w:rsidTr="007F6616">
        <w:tc>
          <w:tcPr>
            <w:cnfStyle w:val="001000000000" w:firstRow="0" w:lastRow="0" w:firstColumn="1" w:lastColumn="0" w:oddVBand="0" w:evenVBand="0" w:oddHBand="0" w:evenHBand="0" w:firstRowFirstColumn="0" w:firstRowLastColumn="0" w:lastRowFirstColumn="0" w:lastRowLastColumn="0"/>
            <w:tcW w:w="0" w:type="auto"/>
            <w:hideMark/>
          </w:tcPr>
          <w:p w14:paraId="55D01ECE" w14:textId="77777777" w:rsidR="00E418E3" w:rsidRPr="004D4A76" w:rsidRDefault="00E418E3" w:rsidP="007F6616">
            <w:pPr>
              <w:rPr>
                <w:sz w:val="14"/>
                <w:szCs w:val="14"/>
              </w:rPr>
            </w:pPr>
            <w:r w:rsidRPr="004D4A76">
              <w:rPr>
                <w:sz w:val="14"/>
                <w:szCs w:val="14"/>
              </w:rPr>
              <w:t>Primary + secondary model</w:t>
            </w:r>
          </w:p>
        </w:tc>
        <w:tc>
          <w:tcPr>
            <w:tcW w:w="0" w:type="auto"/>
            <w:hideMark/>
          </w:tcPr>
          <w:p w14:paraId="2C3A9ED4"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Up to two domain assignments retained per study; tertiary assignments excluded</w:t>
            </w:r>
          </w:p>
        </w:tc>
        <w:tc>
          <w:tcPr>
            <w:tcW w:w="0" w:type="auto"/>
            <w:hideMark/>
          </w:tcPr>
          <w:p w14:paraId="5FEBE442"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582</w:t>
            </w:r>
          </w:p>
        </w:tc>
        <w:tc>
          <w:tcPr>
            <w:tcW w:w="0" w:type="auto"/>
            <w:hideMark/>
          </w:tcPr>
          <w:p w14:paraId="77A0AF7C"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129 (22.16)</w:t>
            </w:r>
          </w:p>
        </w:tc>
        <w:tc>
          <w:tcPr>
            <w:tcW w:w="0" w:type="auto"/>
            <w:hideMark/>
          </w:tcPr>
          <w:p w14:paraId="6A791D62"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101 (17.35)</w:t>
            </w:r>
          </w:p>
        </w:tc>
        <w:tc>
          <w:tcPr>
            <w:tcW w:w="0" w:type="auto"/>
            <w:hideMark/>
          </w:tcPr>
          <w:p w14:paraId="436923D3"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94 (16.15)</w:t>
            </w:r>
          </w:p>
        </w:tc>
        <w:tc>
          <w:tcPr>
            <w:tcW w:w="0" w:type="auto"/>
            <w:hideMark/>
          </w:tcPr>
          <w:p w14:paraId="33902CB8"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91 (15.64)</w:t>
            </w:r>
          </w:p>
        </w:tc>
        <w:tc>
          <w:tcPr>
            <w:tcW w:w="0" w:type="auto"/>
            <w:hideMark/>
          </w:tcPr>
          <w:p w14:paraId="3D106B3B"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84 (14.43)</w:t>
            </w:r>
          </w:p>
        </w:tc>
        <w:tc>
          <w:tcPr>
            <w:tcW w:w="0" w:type="auto"/>
            <w:hideMark/>
          </w:tcPr>
          <w:p w14:paraId="39EE8EDA"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35 (6.01)</w:t>
            </w:r>
          </w:p>
        </w:tc>
        <w:tc>
          <w:tcPr>
            <w:tcW w:w="0" w:type="auto"/>
            <w:hideMark/>
          </w:tcPr>
          <w:p w14:paraId="0FEB0190"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28 (4.81)</w:t>
            </w:r>
          </w:p>
        </w:tc>
        <w:tc>
          <w:tcPr>
            <w:tcW w:w="0" w:type="auto"/>
            <w:hideMark/>
          </w:tcPr>
          <w:p w14:paraId="45A7A5EA"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14 (2.41)</w:t>
            </w:r>
          </w:p>
        </w:tc>
        <w:tc>
          <w:tcPr>
            <w:tcW w:w="0" w:type="auto"/>
            <w:hideMark/>
          </w:tcPr>
          <w:p w14:paraId="4B94C91D"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6 (1.03)</w:t>
            </w:r>
          </w:p>
        </w:tc>
        <w:tc>
          <w:tcPr>
            <w:tcW w:w="0" w:type="auto"/>
            <w:hideMark/>
          </w:tcPr>
          <w:p w14:paraId="25F445D6"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Domain rank order unchanged</w:t>
            </w:r>
          </w:p>
        </w:tc>
        <w:tc>
          <w:tcPr>
            <w:tcW w:w="0" w:type="auto"/>
            <w:hideMark/>
          </w:tcPr>
          <w:p w14:paraId="2727F697"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The principal structure was not highly sensitive to inclusion of tertiary coding</w:t>
            </w:r>
          </w:p>
        </w:tc>
      </w:tr>
      <w:tr w:rsidR="00E418E3" w:rsidRPr="004D4A76" w14:paraId="7C04EE04" w14:textId="77777777" w:rsidTr="007F6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DDC79B" w14:textId="77777777" w:rsidR="00E418E3" w:rsidRPr="004D4A76" w:rsidRDefault="00E418E3" w:rsidP="007F6616">
            <w:pPr>
              <w:rPr>
                <w:sz w:val="14"/>
                <w:szCs w:val="14"/>
              </w:rPr>
            </w:pPr>
            <w:r w:rsidRPr="004D4A76">
              <w:rPr>
                <w:sz w:val="14"/>
                <w:szCs w:val="14"/>
              </w:rPr>
              <w:t>Linked-report-collapsed model</w:t>
            </w:r>
          </w:p>
        </w:tc>
        <w:tc>
          <w:tcPr>
            <w:tcW w:w="0" w:type="auto"/>
            <w:hideMark/>
          </w:tcPr>
          <w:p w14:paraId="7A3F8249"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Overlapping publications merged into single analytic units before recalculation</w:t>
            </w:r>
          </w:p>
        </w:tc>
        <w:tc>
          <w:tcPr>
            <w:tcW w:w="0" w:type="auto"/>
            <w:hideMark/>
          </w:tcPr>
          <w:p w14:paraId="717629D2"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779</w:t>
            </w:r>
          </w:p>
        </w:tc>
        <w:tc>
          <w:tcPr>
            <w:tcW w:w="0" w:type="auto"/>
            <w:hideMark/>
          </w:tcPr>
          <w:p w14:paraId="5D2F4E81"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173 (22.21)</w:t>
            </w:r>
          </w:p>
        </w:tc>
        <w:tc>
          <w:tcPr>
            <w:tcW w:w="0" w:type="auto"/>
            <w:hideMark/>
          </w:tcPr>
          <w:p w14:paraId="7AE39662"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136 (17.46)</w:t>
            </w:r>
          </w:p>
        </w:tc>
        <w:tc>
          <w:tcPr>
            <w:tcW w:w="0" w:type="auto"/>
            <w:hideMark/>
          </w:tcPr>
          <w:p w14:paraId="080D208C"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126 (16.17)</w:t>
            </w:r>
          </w:p>
        </w:tc>
        <w:tc>
          <w:tcPr>
            <w:tcW w:w="0" w:type="auto"/>
            <w:hideMark/>
          </w:tcPr>
          <w:p w14:paraId="7AA6408C"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122 (15.66)</w:t>
            </w:r>
          </w:p>
        </w:tc>
        <w:tc>
          <w:tcPr>
            <w:tcW w:w="0" w:type="auto"/>
            <w:hideMark/>
          </w:tcPr>
          <w:p w14:paraId="570722B5"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112 (14.38)</w:t>
            </w:r>
          </w:p>
        </w:tc>
        <w:tc>
          <w:tcPr>
            <w:tcW w:w="0" w:type="auto"/>
            <w:hideMark/>
          </w:tcPr>
          <w:p w14:paraId="47CB70AA"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47 (6.03)</w:t>
            </w:r>
          </w:p>
        </w:tc>
        <w:tc>
          <w:tcPr>
            <w:tcW w:w="0" w:type="auto"/>
            <w:hideMark/>
          </w:tcPr>
          <w:p w14:paraId="62AE0DB6"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37 (4.75)</w:t>
            </w:r>
          </w:p>
        </w:tc>
        <w:tc>
          <w:tcPr>
            <w:tcW w:w="0" w:type="auto"/>
            <w:hideMark/>
          </w:tcPr>
          <w:p w14:paraId="4A50E4CB"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19 (2.44)</w:t>
            </w:r>
          </w:p>
        </w:tc>
        <w:tc>
          <w:tcPr>
            <w:tcW w:w="0" w:type="auto"/>
            <w:hideMark/>
          </w:tcPr>
          <w:p w14:paraId="1C662C3F"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7 (0.90)</w:t>
            </w:r>
          </w:p>
        </w:tc>
        <w:tc>
          <w:tcPr>
            <w:tcW w:w="0" w:type="auto"/>
            <w:hideMark/>
          </w:tcPr>
          <w:p w14:paraId="16BC20F7"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Core domain hierarchy unchanged</w:t>
            </w:r>
          </w:p>
        </w:tc>
        <w:tc>
          <w:tcPr>
            <w:tcW w:w="0" w:type="auto"/>
            <w:hideMark/>
          </w:tcPr>
          <w:p w14:paraId="4A49606C"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The Phase 1 structure was not an artifact of multiply published or linked samples</w:t>
            </w:r>
          </w:p>
        </w:tc>
      </w:tr>
      <w:tr w:rsidR="00E418E3" w:rsidRPr="004D4A76" w14:paraId="38479A6F" w14:textId="77777777" w:rsidTr="007F6616">
        <w:tc>
          <w:tcPr>
            <w:cnfStyle w:val="001000000000" w:firstRow="0" w:lastRow="0" w:firstColumn="1" w:lastColumn="0" w:oddVBand="0" w:evenVBand="0" w:oddHBand="0" w:evenHBand="0" w:firstRowFirstColumn="0" w:firstRowLastColumn="0" w:lastRowFirstColumn="0" w:lastRowLastColumn="0"/>
            <w:tcW w:w="0" w:type="auto"/>
            <w:hideMark/>
          </w:tcPr>
          <w:p w14:paraId="642C0709" w14:textId="77777777" w:rsidR="00E418E3" w:rsidRPr="004D4A76" w:rsidRDefault="00E418E3" w:rsidP="007F6616">
            <w:pPr>
              <w:rPr>
                <w:sz w:val="14"/>
                <w:szCs w:val="14"/>
              </w:rPr>
            </w:pPr>
            <w:r w:rsidRPr="004D4A76">
              <w:rPr>
                <w:sz w:val="14"/>
                <w:szCs w:val="14"/>
              </w:rPr>
              <w:t>Collapsed-domain model</w:t>
            </w:r>
          </w:p>
        </w:tc>
        <w:tc>
          <w:tcPr>
            <w:tcW w:w="0" w:type="auto"/>
            <w:hideMark/>
          </w:tcPr>
          <w:p w14:paraId="0816E094"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Conceptually adjacent domains merged: Social + Cultural; Psychological + Cognitive; Physical + Chronic Pain; Environmental + Ecological; Healthcare/System unchanged</w:t>
            </w:r>
          </w:p>
        </w:tc>
        <w:tc>
          <w:tcPr>
            <w:tcW w:w="0" w:type="auto"/>
            <w:hideMark/>
          </w:tcPr>
          <w:p w14:paraId="70B24E5A"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835</w:t>
            </w:r>
          </w:p>
        </w:tc>
        <w:tc>
          <w:tcPr>
            <w:tcW w:w="0" w:type="auto"/>
            <w:hideMark/>
          </w:tcPr>
          <w:p w14:paraId="0374C291"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235 (28.14)</w:t>
            </w:r>
          </w:p>
        </w:tc>
        <w:tc>
          <w:tcPr>
            <w:tcW w:w="0" w:type="auto"/>
            <w:hideMark/>
          </w:tcPr>
          <w:p w14:paraId="3158EF7F"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185 (22.16)</w:t>
            </w:r>
          </w:p>
        </w:tc>
        <w:tc>
          <w:tcPr>
            <w:tcW w:w="0" w:type="auto"/>
            <w:hideMark/>
          </w:tcPr>
          <w:p w14:paraId="3BE8A52B"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255 (30.54)</w:t>
            </w:r>
          </w:p>
        </w:tc>
        <w:tc>
          <w:tcPr>
            <w:tcW w:w="0" w:type="auto"/>
            <w:hideMark/>
          </w:tcPr>
          <w:p w14:paraId="671527C7"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130 (15.57)</w:t>
            </w:r>
          </w:p>
        </w:tc>
        <w:tc>
          <w:tcPr>
            <w:tcW w:w="0" w:type="auto"/>
            <w:hideMark/>
          </w:tcPr>
          <w:p w14:paraId="31A3F03C"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7943F9B2"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3FCF21F1"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0855F332"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645F7411"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30 (3.59)</w:t>
            </w:r>
          </w:p>
        </w:tc>
        <w:tc>
          <w:tcPr>
            <w:tcW w:w="0" w:type="auto"/>
            <w:hideMark/>
          </w:tcPr>
          <w:p w14:paraId="3CF4A524"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Higher-order domain structure reproduced the same overall configuration, with embodied and social-relational burden remaining dominant</w:t>
            </w:r>
          </w:p>
        </w:tc>
        <w:tc>
          <w:tcPr>
            <w:tcW w:w="0" w:type="auto"/>
            <w:hideMark/>
          </w:tcPr>
          <w:p w14:paraId="10701E50"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Findings were stable across alternate levels of thematic granularity</w:t>
            </w:r>
          </w:p>
        </w:tc>
      </w:tr>
      <w:tr w:rsidR="00E418E3" w:rsidRPr="004D4A76" w14:paraId="4C91B7E7" w14:textId="77777777" w:rsidTr="007F6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FC7715" w14:textId="77777777" w:rsidR="00E418E3" w:rsidRPr="004D4A76" w:rsidRDefault="00E418E3" w:rsidP="007F6616">
            <w:pPr>
              <w:rPr>
                <w:sz w:val="14"/>
                <w:szCs w:val="14"/>
              </w:rPr>
            </w:pPr>
            <w:r w:rsidRPr="004D4A76">
              <w:rPr>
                <w:sz w:val="14"/>
                <w:szCs w:val="14"/>
              </w:rPr>
              <w:t>Exclusion of lower-density contextual domains</w:t>
            </w:r>
          </w:p>
        </w:tc>
        <w:tc>
          <w:tcPr>
            <w:tcW w:w="0" w:type="auto"/>
            <w:hideMark/>
          </w:tcPr>
          <w:p w14:paraId="4971238A"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Environmental and Ecological domains removed to test whether low-frequency domains altered the main architecture</w:t>
            </w:r>
          </w:p>
        </w:tc>
        <w:tc>
          <w:tcPr>
            <w:tcW w:w="0" w:type="auto"/>
            <w:hideMark/>
          </w:tcPr>
          <w:p w14:paraId="146D46D8"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805</w:t>
            </w:r>
          </w:p>
        </w:tc>
        <w:tc>
          <w:tcPr>
            <w:tcW w:w="0" w:type="auto"/>
            <w:hideMark/>
          </w:tcPr>
          <w:p w14:paraId="3F437A8D"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185 (22.98)</w:t>
            </w:r>
          </w:p>
        </w:tc>
        <w:tc>
          <w:tcPr>
            <w:tcW w:w="0" w:type="auto"/>
            <w:hideMark/>
          </w:tcPr>
          <w:p w14:paraId="1AC141E6"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145 (18.01)</w:t>
            </w:r>
          </w:p>
        </w:tc>
        <w:tc>
          <w:tcPr>
            <w:tcW w:w="0" w:type="auto"/>
            <w:hideMark/>
          </w:tcPr>
          <w:p w14:paraId="0309E3C2"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135 (16.77)</w:t>
            </w:r>
          </w:p>
        </w:tc>
        <w:tc>
          <w:tcPr>
            <w:tcW w:w="0" w:type="auto"/>
            <w:hideMark/>
          </w:tcPr>
          <w:p w14:paraId="2D733CBB"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130 (16.15)</w:t>
            </w:r>
          </w:p>
        </w:tc>
        <w:tc>
          <w:tcPr>
            <w:tcW w:w="0" w:type="auto"/>
            <w:hideMark/>
          </w:tcPr>
          <w:p w14:paraId="38ED8EB4"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120 (14.91)</w:t>
            </w:r>
          </w:p>
        </w:tc>
        <w:tc>
          <w:tcPr>
            <w:tcW w:w="0" w:type="auto"/>
            <w:hideMark/>
          </w:tcPr>
          <w:p w14:paraId="0C8865C9"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50 (6.21)</w:t>
            </w:r>
          </w:p>
        </w:tc>
        <w:tc>
          <w:tcPr>
            <w:tcW w:w="0" w:type="auto"/>
            <w:hideMark/>
          </w:tcPr>
          <w:p w14:paraId="67B5940D"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40 (4.97)</w:t>
            </w:r>
          </w:p>
        </w:tc>
        <w:tc>
          <w:tcPr>
            <w:tcW w:w="0" w:type="auto"/>
            <w:hideMark/>
          </w:tcPr>
          <w:p w14:paraId="3BFDB43A"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w:t>
            </w:r>
          </w:p>
        </w:tc>
        <w:tc>
          <w:tcPr>
            <w:tcW w:w="0" w:type="auto"/>
            <w:hideMark/>
          </w:tcPr>
          <w:p w14:paraId="0EF7F86E"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w:t>
            </w:r>
          </w:p>
        </w:tc>
        <w:tc>
          <w:tcPr>
            <w:tcW w:w="0" w:type="auto"/>
            <w:hideMark/>
          </w:tcPr>
          <w:p w14:paraId="5A0241E4"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Relative rank of the five dominant domains unchanged</w:t>
            </w:r>
          </w:p>
        </w:tc>
        <w:tc>
          <w:tcPr>
            <w:tcW w:w="0" w:type="auto"/>
            <w:hideMark/>
          </w:tcPr>
          <w:p w14:paraId="23A6AEEE" w14:textId="77777777" w:rsidR="00E418E3" w:rsidRPr="004D4A76" w:rsidRDefault="00E418E3" w:rsidP="007F6616">
            <w:pPr>
              <w:cnfStyle w:val="000000100000" w:firstRow="0" w:lastRow="0" w:firstColumn="0" w:lastColumn="0" w:oddVBand="0" w:evenVBand="0" w:oddHBand="1" w:evenHBand="0" w:firstRowFirstColumn="0" w:firstRowLastColumn="0" w:lastRowFirstColumn="0" w:lastRowLastColumn="0"/>
              <w:rPr>
                <w:sz w:val="14"/>
                <w:szCs w:val="14"/>
              </w:rPr>
            </w:pPr>
            <w:r w:rsidRPr="004D4A76">
              <w:rPr>
                <w:sz w:val="14"/>
                <w:szCs w:val="14"/>
              </w:rPr>
              <w:t>Low-frequency contextual domains added interpretive breadth but did not determine the overall structure</w:t>
            </w:r>
          </w:p>
        </w:tc>
      </w:tr>
      <w:tr w:rsidR="00E418E3" w:rsidRPr="004D4A76" w14:paraId="21257B5E" w14:textId="77777777" w:rsidTr="007F6616">
        <w:tc>
          <w:tcPr>
            <w:cnfStyle w:val="001000000000" w:firstRow="0" w:lastRow="0" w:firstColumn="1" w:lastColumn="0" w:oddVBand="0" w:evenVBand="0" w:oddHBand="0" w:evenHBand="0" w:firstRowFirstColumn="0" w:firstRowLastColumn="0" w:lastRowFirstColumn="0" w:lastRowLastColumn="0"/>
            <w:tcW w:w="0" w:type="auto"/>
            <w:hideMark/>
          </w:tcPr>
          <w:p w14:paraId="0D48F1C9" w14:textId="77777777" w:rsidR="00E418E3" w:rsidRPr="004D4A76" w:rsidRDefault="00E418E3" w:rsidP="007F6616">
            <w:pPr>
              <w:rPr>
                <w:sz w:val="14"/>
                <w:szCs w:val="14"/>
              </w:rPr>
            </w:pPr>
            <w:r w:rsidRPr="004D4A76">
              <w:rPr>
                <w:sz w:val="14"/>
                <w:szCs w:val="14"/>
              </w:rPr>
              <w:lastRenderedPageBreak/>
              <w:t>Dominant-domain subset</w:t>
            </w:r>
          </w:p>
        </w:tc>
        <w:tc>
          <w:tcPr>
            <w:tcW w:w="0" w:type="auto"/>
            <w:hideMark/>
          </w:tcPr>
          <w:p w14:paraId="42706FD4"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Analysis restricted to five highest-frequency domains only</w:t>
            </w:r>
          </w:p>
        </w:tc>
        <w:tc>
          <w:tcPr>
            <w:tcW w:w="0" w:type="auto"/>
            <w:hideMark/>
          </w:tcPr>
          <w:p w14:paraId="6E7F009D"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715</w:t>
            </w:r>
          </w:p>
        </w:tc>
        <w:tc>
          <w:tcPr>
            <w:tcW w:w="0" w:type="auto"/>
            <w:hideMark/>
          </w:tcPr>
          <w:p w14:paraId="194776C2"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185 (25.87)</w:t>
            </w:r>
          </w:p>
        </w:tc>
        <w:tc>
          <w:tcPr>
            <w:tcW w:w="0" w:type="auto"/>
            <w:hideMark/>
          </w:tcPr>
          <w:p w14:paraId="65A39D5B"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145 (20.28)</w:t>
            </w:r>
          </w:p>
        </w:tc>
        <w:tc>
          <w:tcPr>
            <w:tcW w:w="0" w:type="auto"/>
            <w:hideMark/>
          </w:tcPr>
          <w:p w14:paraId="50D8A4B1"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135 (18.88)</w:t>
            </w:r>
          </w:p>
        </w:tc>
        <w:tc>
          <w:tcPr>
            <w:tcW w:w="0" w:type="auto"/>
            <w:hideMark/>
          </w:tcPr>
          <w:p w14:paraId="22330513"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130 (18.18)</w:t>
            </w:r>
          </w:p>
        </w:tc>
        <w:tc>
          <w:tcPr>
            <w:tcW w:w="0" w:type="auto"/>
            <w:hideMark/>
          </w:tcPr>
          <w:p w14:paraId="1A567D86"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120 (16.78)</w:t>
            </w:r>
          </w:p>
        </w:tc>
        <w:tc>
          <w:tcPr>
            <w:tcW w:w="0" w:type="auto"/>
            <w:hideMark/>
          </w:tcPr>
          <w:p w14:paraId="031A4C6F"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22F2EE21"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5CA63D7B"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70919230"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w:t>
            </w:r>
          </w:p>
        </w:tc>
        <w:tc>
          <w:tcPr>
            <w:tcW w:w="0" w:type="auto"/>
            <w:hideMark/>
          </w:tcPr>
          <w:p w14:paraId="1BA23AF8"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Top five domains reproduced the core interpretive pattern</w:t>
            </w:r>
          </w:p>
        </w:tc>
        <w:tc>
          <w:tcPr>
            <w:tcW w:w="0" w:type="auto"/>
            <w:hideMark/>
          </w:tcPr>
          <w:p w14:paraId="39BCF591" w14:textId="77777777" w:rsidR="00E418E3" w:rsidRPr="004D4A76" w:rsidRDefault="00E418E3" w:rsidP="007F6616">
            <w:pPr>
              <w:cnfStyle w:val="000000000000" w:firstRow="0" w:lastRow="0" w:firstColumn="0" w:lastColumn="0" w:oddVBand="0" w:evenVBand="0" w:oddHBand="0" w:evenHBand="0" w:firstRowFirstColumn="0" w:firstRowLastColumn="0" w:lastRowFirstColumn="0" w:lastRowLastColumn="0"/>
              <w:rPr>
                <w:sz w:val="14"/>
                <w:szCs w:val="14"/>
              </w:rPr>
            </w:pPr>
            <w:r w:rsidRPr="004D4A76">
              <w:rPr>
                <w:sz w:val="14"/>
                <w:szCs w:val="14"/>
              </w:rPr>
              <w:t>The central findings were robust even when lower-frequency domains were excluded</w:t>
            </w:r>
          </w:p>
        </w:tc>
      </w:tr>
    </w:tbl>
    <w:p w14:paraId="35FA87C3" w14:textId="77777777" w:rsidR="00E418E3" w:rsidRPr="00732EED" w:rsidRDefault="00E418E3" w:rsidP="00E418E3">
      <w:pPr>
        <w:rPr>
          <w:b/>
          <w:bCs/>
          <w:sz w:val="18"/>
          <w:szCs w:val="18"/>
        </w:rPr>
      </w:pPr>
      <w:r w:rsidRPr="00732EED">
        <w:rPr>
          <w:sz w:val="18"/>
          <w:szCs w:val="18"/>
        </w:rPr>
        <w:t xml:space="preserve">*Percentages are column percentages within each sensitivity model. The reference model used </w:t>
      </w:r>
      <w:proofErr w:type="spellStart"/>
      <w:r w:rsidRPr="00732EED">
        <w:rPr>
          <w:sz w:val="18"/>
          <w:szCs w:val="18"/>
        </w:rPr>
        <w:t>multicode</w:t>
      </w:r>
      <w:proofErr w:type="spellEnd"/>
      <w:r w:rsidRPr="00732EED">
        <w:rPr>
          <w:sz w:val="18"/>
          <w:szCs w:val="18"/>
        </w:rPr>
        <w:t xml:space="preserve"> raw occurrence weighting across primary, secondary, and tertiary domain assignments. Equal study weighting rescaled domain frequencies so that each included study contributed equally irrespective of coding density. Primary-code-only weighting retained one dominant domain assignment per study. Primary + secondary weighting retained up to two domain assignments per study. Linked-report-collapsed weighting merged overlapping publications into single analytic units prior to recalculation. Collapsed-domain weighting deterministically merged conceptually adjacent domains as follows: Social + Cultural, Psychological + Cognitive, Physical + Chronic Pain, and Environmental + Ecological; Healthcare/System remained unchanged. The reference Phase 1 domain counts summed to 835 coded domain occurrences. </w:t>
      </w:r>
      <w:r w:rsidRPr="00732EED">
        <w:rPr>
          <w:color w:val="09090B"/>
          <w:sz w:val="18"/>
          <w:szCs w:val="18"/>
          <w:shd w:val="clear" w:color="auto" w:fill="FFFFFF"/>
        </w:rPr>
        <w:t>Total analytic unit: For each sensitivity run the denominator (“Total analytic unit”) equals the number of coded domain assignments included in that specific analytic specification. Most models count every extracted domain assignment from study reports (so a single paper may contribute multiple assignments if it yielded primary, secondary and tertiary domains); percentages in the table are therefore calculated as (domain assignments for a domain ÷ total analytic unit) × 100. This approach preserves within</w:t>
      </w:r>
      <w:r w:rsidRPr="00732EED">
        <w:rPr>
          <w:color w:val="09090B"/>
          <w:sz w:val="18"/>
          <w:szCs w:val="18"/>
          <w:shd w:val="clear" w:color="auto" w:fill="FFFFFF"/>
        </w:rPr>
        <w:noBreakHyphen/>
        <w:t>study thematic richness and reflects coding density across the corpus. The primary exception is the Primary</w:t>
      </w:r>
      <w:r w:rsidRPr="00732EED">
        <w:rPr>
          <w:color w:val="09090B"/>
          <w:sz w:val="18"/>
          <w:szCs w:val="18"/>
          <w:shd w:val="clear" w:color="auto" w:fill="FFFFFF"/>
        </w:rPr>
        <w:noBreakHyphen/>
        <w:t>code</w:t>
      </w:r>
      <w:r w:rsidRPr="00732EED">
        <w:rPr>
          <w:color w:val="09090B"/>
          <w:sz w:val="18"/>
          <w:szCs w:val="18"/>
          <w:shd w:val="clear" w:color="auto" w:fill="FFFFFF"/>
        </w:rPr>
        <w:noBreakHyphen/>
        <w:t>only model, where only one (primary) domain per study is retained and thus the total analytic unit equals the number of studies in that run (N = 94). Where models collapse linked reports or merge domains, the total analytic unit is adjusted accordingly; merged or excluded domains are indicated with a dash (—) in the table. Domain counts and percentages: counts = number of domain assignments; percentages = (domain count ÷ total analytic unit) × 100, rounded to two decimal places.</w:t>
      </w:r>
      <w:r w:rsidRPr="00732EED">
        <w:rPr>
          <w:color w:val="09090B"/>
          <w:sz w:val="18"/>
          <w:szCs w:val="18"/>
        </w:rPr>
        <w:t xml:space="preserve"> </w:t>
      </w:r>
      <w:r w:rsidRPr="00732EED">
        <w:rPr>
          <w:color w:val="09090B"/>
          <w:sz w:val="18"/>
          <w:szCs w:val="18"/>
          <w:shd w:val="clear" w:color="auto" w:fill="FFFFFF"/>
        </w:rPr>
        <w:t xml:space="preserve">Reference analysis: full </w:t>
      </w:r>
      <w:proofErr w:type="spellStart"/>
      <w:r w:rsidRPr="00732EED">
        <w:rPr>
          <w:color w:val="09090B"/>
          <w:sz w:val="18"/>
          <w:szCs w:val="18"/>
          <w:shd w:val="clear" w:color="auto" w:fill="FFFFFF"/>
        </w:rPr>
        <w:t>multicode</w:t>
      </w:r>
      <w:proofErr w:type="spellEnd"/>
      <w:r w:rsidRPr="00732EED">
        <w:rPr>
          <w:color w:val="09090B"/>
          <w:sz w:val="18"/>
          <w:szCs w:val="18"/>
          <w:shd w:val="clear" w:color="auto" w:fill="FFFFFF"/>
        </w:rPr>
        <w:t xml:space="preserve"> model includes all primary, secondary, and tertiary domain assignments as extracted from each study’s findings and authors’ interpretations. Serves as the primary comparator.</w:t>
      </w:r>
      <w:r w:rsidRPr="00732EED">
        <w:rPr>
          <w:color w:val="09090B"/>
          <w:sz w:val="18"/>
          <w:szCs w:val="18"/>
        </w:rPr>
        <w:t xml:space="preserve"> </w:t>
      </w:r>
      <w:r w:rsidRPr="00732EED">
        <w:rPr>
          <w:color w:val="09090B"/>
          <w:sz w:val="18"/>
          <w:szCs w:val="18"/>
          <w:shd w:val="clear" w:color="auto" w:fill="FFFFFF"/>
        </w:rPr>
        <w:t xml:space="preserve">Equal study weighting: each study contributes a single weight regardless of number of codes extracted; analytic unit equals the number of </w:t>
      </w:r>
      <w:proofErr w:type="gramStart"/>
      <w:r w:rsidRPr="00732EED">
        <w:rPr>
          <w:color w:val="09090B"/>
          <w:sz w:val="18"/>
          <w:szCs w:val="18"/>
          <w:shd w:val="clear" w:color="auto" w:fill="FFFFFF"/>
        </w:rPr>
        <w:t>study</w:t>
      </w:r>
      <w:proofErr w:type="gramEnd"/>
      <w:r w:rsidRPr="00732EED">
        <w:rPr>
          <w:color w:val="09090B"/>
          <w:sz w:val="18"/>
          <w:szCs w:val="18"/>
          <w:shd w:val="clear" w:color="auto" w:fill="FFFFFF"/>
        </w:rPr>
        <w:noBreakHyphen/>
        <w:t>level contributions after collapsing multi</w:t>
      </w:r>
      <w:r w:rsidRPr="00732EED">
        <w:rPr>
          <w:color w:val="09090B"/>
          <w:sz w:val="18"/>
          <w:szCs w:val="18"/>
          <w:shd w:val="clear" w:color="auto" w:fill="FFFFFF"/>
        </w:rPr>
        <w:noBreakHyphen/>
        <w:t>coded entries per study.</w:t>
      </w:r>
      <w:r w:rsidRPr="00732EED">
        <w:rPr>
          <w:color w:val="09090B"/>
          <w:sz w:val="18"/>
          <w:szCs w:val="18"/>
        </w:rPr>
        <w:t xml:space="preserve"> </w:t>
      </w:r>
      <w:r w:rsidRPr="00732EED">
        <w:rPr>
          <w:color w:val="09090B"/>
          <w:sz w:val="18"/>
          <w:szCs w:val="18"/>
          <w:shd w:val="clear" w:color="auto" w:fill="FFFFFF"/>
        </w:rPr>
        <w:t>Primary</w:t>
      </w:r>
      <w:r w:rsidRPr="00732EED">
        <w:rPr>
          <w:color w:val="09090B"/>
          <w:sz w:val="18"/>
          <w:szCs w:val="18"/>
          <w:shd w:val="clear" w:color="auto" w:fill="FFFFFF"/>
        </w:rPr>
        <w:noBreakHyphen/>
        <w:t>code</w:t>
      </w:r>
      <w:r w:rsidRPr="00732EED">
        <w:rPr>
          <w:color w:val="09090B"/>
          <w:sz w:val="18"/>
          <w:szCs w:val="18"/>
          <w:shd w:val="clear" w:color="auto" w:fill="FFFFFF"/>
        </w:rPr>
        <w:noBreakHyphen/>
        <w:t>only model: only the single highest</w:t>
      </w:r>
      <w:r w:rsidRPr="00732EED">
        <w:rPr>
          <w:color w:val="09090B"/>
          <w:sz w:val="18"/>
          <w:szCs w:val="18"/>
          <w:shd w:val="clear" w:color="auto" w:fill="FFFFFF"/>
        </w:rPr>
        <w:noBreakHyphen/>
        <w:t>priority (primary) domain per study retained; useful to test influence of multi</w:t>
      </w:r>
      <w:r w:rsidRPr="00732EED">
        <w:rPr>
          <w:color w:val="09090B"/>
          <w:sz w:val="18"/>
          <w:szCs w:val="18"/>
          <w:shd w:val="clear" w:color="auto" w:fill="FFFFFF"/>
        </w:rPr>
        <w:noBreakHyphen/>
        <w:t>coding density.</w:t>
      </w:r>
      <w:r w:rsidRPr="00732EED">
        <w:rPr>
          <w:color w:val="09090B"/>
          <w:sz w:val="18"/>
          <w:szCs w:val="18"/>
        </w:rPr>
        <w:t xml:space="preserve"> </w:t>
      </w:r>
      <w:r w:rsidRPr="00732EED">
        <w:rPr>
          <w:color w:val="09090B"/>
          <w:sz w:val="18"/>
          <w:szCs w:val="18"/>
          <w:shd w:val="clear" w:color="auto" w:fill="FFFFFF"/>
        </w:rPr>
        <w:t>Primary + secondary model: retains up to two domain assignments per study (primary and secondary); tertiary assignments excluded.</w:t>
      </w:r>
      <w:r w:rsidRPr="00732EED">
        <w:rPr>
          <w:color w:val="09090B"/>
          <w:sz w:val="18"/>
          <w:szCs w:val="18"/>
        </w:rPr>
        <w:t xml:space="preserve"> </w:t>
      </w:r>
      <w:r w:rsidRPr="00732EED">
        <w:rPr>
          <w:color w:val="09090B"/>
          <w:sz w:val="18"/>
          <w:szCs w:val="18"/>
          <w:shd w:val="clear" w:color="auto" w:fill="FFFFFF"/>
        </w:rPr>
        <w:t>Linked</w:t>
      </w:r>
      <w:r w:rsidRPr="00732EED">
        <w:rPr>
          <w:color w:val="09090B"/>
          <w:sz w:val="18"/>
          <w:szCs w:val="18"/>
          <w:shd w:val="clear" w:color="auto" w:fill="FFFFFF"/>
        </w:rPr>
        <w:noBreakHyphen/>
        <w:t>report</w:t>
      </w:r>
      <w:r w:rsidRPr="00732EED">
        <w:rPr>
          <w:color w:val="09090B"/>
          <w:sz w:val="18"/>
          <w:szCs w:val="18"/>
          <w:shd w:val="clear" w:color="auto" w:fill="FFFFFF"/>
        </w:rPr>
        <w:noBreakHyphen/>
        <w:t>collapsed model: overlapping publications and reports judged to contain the same sample or population were merged into single analytic units prior to recalculation to prevent double</w:t>
      </w:r>
      <w:r w:rsidRPr="00732EED">
        <w:rPr>
          <w:color w:val="09090B"/>
          <w:sz w:val="18"/>
          <w:szCs w:val="18"/>
          <w:shd w:val="clear" w:color="auto" w:fill="FFFFFF"/>
        </w:rPr>
        <w:noBreakHyphen/>
        <w:t>counting. Decision rules for linkage are described in Supplementary Methods S1.</w:t>
      </w:r>
      <w:r w:rsidRPr="00732EED">
        <w:rPr>
          <w:color w:val="09090B"/>
          <w:sz w:val="18"/>
          <w:szCs w:val="18"/>
        </w:rPr>
        <w:t xml:space="preserve"> </w:t>
      </w:r>
      <w:r w:rsidRPr="00732EED">
        <w:rPr>
          <w:color w:val="09090B"/>
          <w:sz w:val="18"/>
          <w:szCs w:val="18"/>
          <w:shd w:val="clear" w:color="auto" w:fill="FFFFFF"/>
        </w:rPr>
        <w:t>Collapsed</w:t>
      </w:r>
      <w:r w:rsidRPr="00732EED">
        <w:rPr>
          <w:color w:val="09090B"/>
          <w:sz w:val="18"/>
          <w:szCs w:val="18"/>
          <w:shd w:val="clear" w:color="auto" w:fill="FFFFFF"/>
        </w:rPr>
        <w:noBreakHyphen/>
        <w:t>domain model: conceptually adjacent domains merged as specified (Social + Cultural; Psychological + Cognitive; Physical + Chronic Pain; Environmental + Ecological). Domain merging preserves total analytic unit; merged counts reported under combined headings.</w:t>
      </w:r>
      <w:r w:rsidRPr="00732EED">
        <w:rPr>
          <w:color w:val="09090B"/>
          <w:sz w:val="18"/>
          <w:szCs w:val="18"/>
        </w:rPr>
        <w:t xml:space="preserve"> </w:t>
      </w:r>
      <w:r w:rsidRPr="00732EED">
        <w:rPr>
          <w:color w:val="09090B"/>
          <w:sz w:val="18"/>
          <w:szCs w:val="18"/>
          <w:shd w:val="clear" w:color="auto" w:fill="FFFFFF"/>
        </w:rPr>
        <w:t>Exclusion of lower</w:t>
      </w:r>
      <w:r w:rsidRPr="00732EED">
        <w:rPr>
          <w:color w:val="09090B"/>
          <w:sz w:val="18"/>
          <w:szCs w:val="18"/>
          <w:shd w:val="clear" w:color="auto" w:fill="FFFFFF"/>
        </w:rPr>
        <w:noBreakHyphen/>
        <w:t>density contextual domains: Environmental and Ecological domains were removed to assess whether low</w:t>
      </w:r>
      <w:r w:rsidRPr="00732EED">
        <w:rPr>
          <w:color w:val="09090B"/>
          <w:sz w:val="18"/>
          <w:szCs w:val="18"/>
          <w:shd w:val="clear" w:color="auto" w:fill="FFFFFF"/>
        </w:rPr>
        <w:noBreakHyphen/>
        <w:t>frequency contextual codes altered the principal domain architecture.</w:t>
      </w:r>
      <w:r w:rsidRPr="00732EED">
        <w:rPr>
          <w:color w:val="09090B"/>
          <w:sz w:val="18"/>
          <w:szCs w:val="18"/>
        </w:rPr>
        <w:t xml:space="preserve"> </w:t>
      </w:r>
      <w:r w:rsidRPr="00732EED">
        <w:rPr>
          <w:color w:val="09090B"/>
          <w:sz w:val="18"/>
          <w:szCs w:val="18"/>
          <w:shd w:val="clear" w:color="auto" w:fill="FFFFFF"/>
        </w:rPr>
        <w:t>Dominant</w:t>
      </w:r>
      <w:r w:rsidRPr="00732EED">
        <w:rPr>
          <w:color w:val="09090B"/>
          <w:sz w:val="18"/>
          <w:szCs w:val="18"/>
          <w:shd w:val="clear" w:color="auto" w:fill="FFFFFF"/>
        </w:rPr>
        <w:noBreakHyphen/>
        <w:t>domain subset: analysis restricted to the five highest</w:t>
      </w:r>
      <w:r w:rsidRPr="00732EED">
        <w:rPr>
          <w:color w:val="09090B"/>
          <w:sz w:val="18"/>
          <w:szCs w:val="18"/>
          <w:shd w:val="clear" w:color="auto" w:fill="FFFFFF"/>
        </w:rPr>
        <w:noBreakHyphen/>
        <w:t>frequency domains to evaluate core stability when lower</w:t>
      </w:r>
      <w:r w:rsidRPr="00732EED">
        <w:rPr>
          <w:color w:val="09090B"/>
          <w:sz w:val="18"/>
          <w:szCs w:val="18"/>
          <w:shd w:val="clear" w:color="auto" w:fill="FFFFFF"/>
        </w:rPr>
        <w:noBreakHyphen/>
        <w:t>frequency domains are excluded.</w:t>
      </w:r>
      <w:r w:rsidRPr="00732EED">
        <w:rPr>
          <w:color w:val="09090B"/>
          <w:sz w:val="18"/>
          <w:szCs w:val="18"/>
        </w:rPr>
        <w:t xml:space="preserve"> </w:t>
      </w:r>
      <w:r w:rsidRPr="00732EED">
        <w:rPr>
          <w:color w:val="09090B"/>
          <w:sz w:val="18"/>
          <w:szCs w:val="18"/>
          <w:shd w:val="clear" w:color="auto" w:fill="FFFFFF"/>
        </w:rPr>
        <w:t>Weighting &amp; sensitivity rationale: alternative analytic specifications (equal weighting, primary</w:t>
      </w:r>
      <w:r w:rsidRPr="00732EED">
        <w:rPr>
          <w:color w:val="09090B"/>
          <w:sz w:val="18"/>
          <w:szCs w:val="18"/>
          <w:shd w:val="clear" w:color="auto" w:fill="FFFFFF"/>
        </w:rPr>
        <w:noBreakHyphen/>
        <w:t>only, collapsed reports/domains) test whether the reference model’s domain hierarchy is driven by coding density, multiply published samples, or domain granularity.</w:t>
      </w:r>
      <w:r w:rsidRPr="00732EED">
        <w:rPr>
          <w:color w:val="09090B"/>
          <w:sz w:val="18"/>
          <w:szCs w:val="18"/>
        </w:rPr>
        <w:t xml:space="preserve"> </w:t>
      </w:r>
      <w:r w:rsidRPr="00732EED">
        <w:rPr>
          <w:color w:val="09090B"/>
          <w:sz w:val="18"/>
          <w:szCs w:val="18"/>
          <w:shd w:val="clear" w:color="auto" w:fill="FFFFFF"/>
        </w:rPr>
        <w:t>Main structural finding: derived from relative domain rank order and co</w:t>
      </w:r>
      <w:r w:rsidRPr="00732EED">
        <w:rPr>
          <w:color w:val="09090B"/>
          <w:sz w:val="18"/>
          <w:szCs w:val="18"/>
          <w:shd w:val="clear" w:color="auto" w:fill="FFFFFF"/>
        </w:rPr>
        <w:noBreakHyphen/>
        <w:t>occurrence patterns; stability judged by preservation of top</w:t>
      </w:r>
      <w:r w:rsidRPr="00732EED">
        <w:rPr>
          <w:color w:val="09090B"/>
          <w:sz w:val="18"/>
          <w:szCs w:val="18"/>
          <w:shd w:val="clear" w:color="auto" w:fill="FFFFFF"/>
        </w:rPr>
        <w:noBreakHyphen/>
        <w:t>ranked domains and minimal shifts in relative percentages across scenarios.</w:t>
      </w:r>
      <w:r w:rsidRPr="00732EED">
        <w:rPr>
          <w:color w:val="09090B"/>
          <w:sz w:val="18"/>
          <w:szCs w:val="18"/>
        </w:rPr>
        <w:t xml:space="preserve"> </w:t>
      </w:r>
      <w:r w:rsidRPr="00732EED">
        <w:rPr>
          <w:color w:val="09090B"/>
          <w:sz w:val="18"/>
          <w:szCs w:val="18"/>
          <w:shd w:val="clear" w:color="auto" w:fill="FFFFFF"/>
        </w:rPr>
        <w:t>Interpretation: qualitative judgment based on pattern consistency across sensitivity scenarios; detailed numerical comparisons and statistical tests (where applicable) are provided in Supplementary Results.</w:t>
      </w:r>
      <w:r w:rsidRPr="00732EED">
        <w:rPr>
          <w:color w:val="09090B"/>
          <w:sz w:val="18"/>
          <w:szCs w:val="18"/>
        </w:rPr>
        <w:t xml:space="preserve"> </w:t>
      </w:r>
      <w:r w:rsidRPr="00732EED">
        <w:rPr>
          <w:color w:val="09090B"/>
          <w:sz w:val="18"/>
          <w:szCs w:val="18"/>
          <w:shd w:val="clear" w:color="auto" w:fill="FFFFFF"/>
        </w:rPr>
        <w:t>Reliability and reproducibility: coding and collapse procedures were independently checked by two coders; disagreements adjudicated by a third reviewer (see Methods). Inter</w:t>
      </w:r>
      <w:r w:rsidRPr="00732EED">
        <w:rPr>
          <w:color w:val="09090B"/>
          <w:sz w:val="18"/>
          <w:szCs w:val="18"/>
          <w:shd w:val="clear" w:color="auto" w:fill="FFFFFF"/>
        </w:rPr>
        <w:noBreakHyphen/>
        <w:t>rater reliability for pilot coding reported as Cohen’s kappa = 0.80.</w:t>
      </w:r>
      <w:r w:rsidRPr="00732EED">
        <w:rPr>
          <w:color w:val="09090B"/>
          <w:sz w:val="18"/>
          <w:szCs w:val="18"/>
        </w:rPr>
        <w:t xml:space="preserve"> </w:t>
      </w:r>
      <w:r w:rsidRPr="00732EED">
        <w:rPr>
          <w:color w:val="09090B"/>
          <w:sz w:val="18"/>
          <w:szCs w:val="18"/>
          <w:shd w:val="clear" w:color="auto" w:fill="FFFFFF"/>
        </w:rPr>
        <w:t>Rounding and display: small discrepancies in totals may occur due to rounding; blank cells (—) indicate domains conceptually merged or excluded in that analytic specification.</w:t>
      </w:r>
      <w:r w:rsidRPr="00732EED">
        <w:rPr>
          <w:color w:val="000000"/>
          <w:sz w:val="18"/>
          <w:szCs w:val="18"/>
        </w:rPr>
        <w:t xml:space="preserve"> </w:t>
      </w:r>
      <w:r w:rsidRPr="00732EED">
        <w:rPr>
          <w:sz w:val="18"/>
          <w:szCs w:val="18"/>
        </w:rPr>
        <w:t xml:space="preserve">Across all sensitivity analyses, the principal Phase 1 configuration remained stable. Social, Psychological, Physical, Healthcare/System, and Chronic Pain consistently accounted for the largest share of coded findings in all non-collapsed models. Lower-frequency domains, including Cultural, Cognitive, Environmental, and Ecological, varied modestly in proportional density but did not alter the main interpretive structure. </w:t>
      </w:r>
      <w:r w:rsidRPr="00732EED">
        <w:rPr>
          <w:b/>
          <w:bCs/>
          <w:sz w:val="18"/>
          <w:szCs w:val="18"/>
        </w:rPr>
        <w:t>To assess the stability of the Phase 1 heuristic structure, sensitivity analyses and alternate weighting models were conducted at the domain level. These analyses examined whether the observed configuration was dependent on coding density, treatment of linked reports, level of code retention, or thematic granularity. Supplementary Table S13 summarizes sensitivity analyses by analytic scenario, whereas Supplementary Table S14 presents the corresponding domain distributions under alternate weighting structures.</w:t>
      </w:r>
    </w:p>
    <w:p w14:paraId="673709AC" w14:textId="1B58F5D7" w:rsidR="004D4A76" w:rsidRDefault="004D4A76">
      <w:pPr>
        <w:spacing w:after="160" w:line="278" w:lineRule="auto"/>
        <w:rPr>
          <w:color w:val="09090B"/>
          <w:sz w:val="18"/>
          <w:szCs w:val="18"/>
          <w:shd w:val="clear" w:color="auto" w:fill="FFFFFF"/>
        </w:rPr>
      </w:pPr>
      <w:r>
        <w:rPr>
          <w:color w:val="09090B"/>
          <w:sz w:val="18"/>
          <w:szCs w:val="18"/>
          <w:shd w:val="clear" w:color="auto" w:fill="FFFFFF"/>
        </w:rPr>
        <w:br w:type="page"/>
      </w:r>
    </w:p>
    <w:p w14:paraId="1865DFB0" w14:textId="77777777" w:rsidR="00E418E3" w:rsidRPr="00732EED" w:rsidRDefault="00E418E3" w:rsidP="00E418E3">
      <w:pPr>
        <w:rPr>
          <w:b/>
          <w:bCs/>
          <w:sz w:val="18"/>
          <w:szCs w:val="18"/>
        </w:rPr>
      </w:pPr>
      <w:r w:rsidRPr="00732EED">
        <w:rPr>
          <w:b/>
          <w:bCs/>
          <w:sz w:val="18"/>
          <w:szCs w:val="18"/>
        </w:rPr>
        <w:lastRenderedPageBreak/>
        <w:t>Supplementary Table S14. Alternate weighting structures and robustness comparison for Phase 1 heuristic domains</w:t>
      </w:r>
    </w:p>
    <w:tbl>
      <w:tblPr>
        <w:tblStyle w:val="PlainTable1"/>
        <w:tblW w:w="5000" w:type="pct"/>
        <w:tblLook w:val="04A0" w:firstRow="1" w:lastRow="0" w:firstColumn="1" w:lastColumn="0" w:noHBand="0" w:noVBand="1"/>
      </w:tblPr>
      <w:tblGrid>
        <w:gridCol w:w="1666"/>
        <w:gridCol w:w="1579"/>
        <w:gridCol w:w="1162"/>
        <w:gridCol w:w="1233"/>
        <w:gridCol w:w="1282"/>
        <w:gridCol w:w="1290"/>
        <w:gridCol w:w="1288"/>
        <w:gridCol w:w="1108"/>
        <w:gridCol w:w="2954"/>
      </w:tblGrid>
      <w:tr w:rsidR="00E418E3" w:rsidRPr="00732EED" w14:paraId="30BBF44E" w14:textId="77777777" w:rsidTr="00D03E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hideMark/>
          </w:tcPr>
          <w:p w14:paraId="174319DD" w14:textId="77777777" w:rsidR="00E418E3" w:rsidRPr="00732EED" w:rsidRDefault="00E418E3" w:rsidP="007F6616">
            <w:pPr>
              <w:rPr>
                <w:sz w:val="18"/>
                <w:szCs w:val="18"/>
              </w:rPr>
            </w:pPr>
            <w:r w:rsidRPr="00732EED">
              <w:rPr>
                <w:sz w:val="18"/>
                <w:szCs w:val="18"/>
              </w:rPr>
              <w:t>Principal heuristic domain</w:t>
            </w:r>
          </w:p>
        </w:tc>
        <w:tc>
          <w:tcPr>
            <w:tcW w:w="0" w:type="auto"/>
            <w:hideMark/>
          </w:tcPr>
          <w:p w14:paraId="0443EC3C"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Reference model: </w:t>
            </w:r>
            <w:proofErr w:type="spellStart"/>
            <w:r w:rsidRPr="00732EED">
              <w:rPr>
                <w:sz w:val="18"/>
                <w:szCs w:val="18"/>
              </w:rPr>
              <w:t>multicode</w:t>
            </w:r>
            <w:proofErr w:type="spellEnd"/>
            <w:r w:rsidRPr="00732EED">
              <w:rPr>
                <w:sz w:val="18"/>
                <w:szCs w:val="18"/>
              </w:rPr>
              <w:t xml:space="preserve"> raw occurrence weighting n (%)</w:t>
            </w:r>
          </w:p>
        </w:tc>
        <w:tc>
          <w:tcPr>
            <w:tcW w:w="0" w:type="auto"/>
            <w:hideMark/>
          </w:tcPr>
          <w:p w14:paraId="3CCA6F12"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Equal study weighting n (%)</w:t>
            </w:r>
          </w:p>
        </w:tc>
        <w:tc>
          <w:tcPr>
            <w:tcW w:w="0" w:type="auto"/>
            <w:hideMark/>
          </w:tcPr>
          <w:p w14:paraId="3D13E500"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Primary-code-only weighting n (%)</w:t>
            </w:r>
          </w:p>
        </w:tc>
        <w:tc>
          <w:tcPr>
            <w:tcW w:w="0" w:type="auto"/>
            <w:hideMark/>
          </w:tcPr>
          <w:p w14:paraId="3F44F436"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Primary + secondary weighting n (%)</w:t>
            </w:r>
          </w:p>
        </w:tc>
        <w:tc>
          <w:tcPr>
            <w:tcW w:w="0" w:type="auto"/>
            <w:hideMark/>
          </w:tcPr>
          <w:p w14:paraId="535992D5"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Linked-report-collapsed weighting n (%)</w:t>
            </w:r>
          </w:p>
        </w:tc>
        <w:tc>
          <w:tcPr>
            <w:tcW w:w="0" w:type="auto"/>
            <w:hideMark/>
          </w:tcPr>
          <w:p w14:paraId="2E62DFB4"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Collapsed-domain weighting n (%)</w:t>
            </w:r>
          </w:p>
        </w:tc>
        <w:tc>
          <w:tcPr>
            <w:tcW w:w="0" w:type="auto"/>
            <w:hideMark/>
          </w:tcPr>
          <w:p w14:paraId="222CCC91"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Rank stability across models</w:t>
            </w:r>
          </w:p>
        </w:tc>
        <w:tc>
          <w:tcPr>
            <w:tcW w:w="1089" w:type="pct"/>
            <w:hideMark/>
          </w:tcPr>
          <w:p w14:paraId="2BB097CA" w14:textId="77777777" w:rsidR="00E418E3" w:rsidRPr="00732EED" w:rsidRDefault="00E418E3" w:rsidP="007F6616">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Interpretation</w:t>
            </w:r>
          </w:p>
        </w:tc>
      </w:tr>
      <w:tr w:rsidR="00E418E3" w:rsidRPr="00732EED" w14:paraId="00408FBC" w14:textId="77777777" w:rsidTr="00D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hideMark/>
          </w:tcPr>
          <w:p w14:paraId="35981899" w14:textId="77777777" w:rsidR="00E418E3" w:rsidRPr="00732EED" w:rsidRDefault="00E418E3" w:rsidP="007F6616">
            <w:pPr>
              <w:rPr>
                <w:sz w:val="18"/>
                <w:szCs w:val="18"/>
              </w:rPr>
            </w:pPr>
            <w:r w:rsidRPr="00732EED">
              <w:rPr>
                <w:sz w:val="18"/>
                <w:szCs w:val="18"/>
              </w:rPr>
              <w:t>Social</w:t>
            </w:r>
          </w:p>
        </w:tc>
        <w:tc>
          <w:tcPr>
            <w:tcW w:w="0" w:type="auto"/>
            <w:hideMark/>
          </w:tcPr>
          <w:p w14:paraId="26F46B44"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185 (22.16)</w:t>
            </w:r>
          </w:p>
        </w:tc>
        <w:tc>
          <w:tcPr>
            <w:tcW w:w="0" w:type="auto"/>
            <w:hideMark/>
          </w:tcPr>
          <w:p w14:paraId="09C3E6B3"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97 (22.20)</w:t>
            </w:r>
          </w:p>
        </w:tc>
        <w:tc>
          <w:tcPr>
            <w:tcW w:w="0" w:type="auto"/>
            <w:hideMark/>
          </w:tcPr>
          <w:p w14:paraId="3B761015"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21 (22.34)</w:t>
            </w:r>
          </w:p>
        </w:tc>
        <w:tc>
          <w:tcPr>
            <w:tcW w:w="0" w:type="auto"/>
            <w:hideMark/>
          </w:tcPr>
          <w:p w14:paraId="3B53D22A"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129 (22.16)</w:t>
            </w:r>
          </w:p>
        </w:tc>
        <w:tc>
          <w:tcPr>
            <w:tcW w:w="0" w:type="auto"/>
            <w:hideMark/>
          </w:tcPr>
          <w:p w14:paraId="19B27B9D"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173 (22.21)</w:t>
            </w:r>
          </w:p>
        </w:tc>
        <w:tc>
          <w:tcPr>
            <w:tcW w:w="0" w:type="auto"/>
            <w:hideMark/>
          </w:tcPr>
          <w:p w14:paraId="6F3CEE27"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235 (28.14)</w:t>
            </w:r>
          </w:p>
        </w:tc>
        <w:tc>
          <w:tcPr>
            <w:tcW w:w="0" w:type="auto"/>
            <w:hideMark/>
          </w:tcPr>
          <w:p w14:paraId="0F89503F"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Stable</w:t>
            </w:r>
          </w:p>
        </w:tc>
        <w:tc>
          <w:tcPr>
            <w:tcW w:w="1089" w:type="pct"/>
            <w:hideMark/>
          </w:tcPr>
          <w:p w14:paraId="21D840F4"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Remained the dominant or joint-dominant social-relational domain across all specifications; increased under collapsed weighting through merger with Cultural</w:t>
            </w:r>
          </w:p>
        </w:tc>
      </w:tr>
      <w:tr w:rsidR="00E418E3" w:rsidRPr="00732EED" w14:paraId="202A8A55" w14:textId="77777777" w:rsidTr="00D03E25">
        <w:tc>
          <w:tcPr>
            <w:cnfStyle w:val="001000000000" w:firstRow="0" w:lastRow="0" w:firstColumn="1" w:lastColumn="0" w:oddVBand="0" w:evenVBand="0" w:oddHBand="0" w:evenHBand="0" w:firstRowFirstColumn="0" w:firstRowLastColumn="0" w:lastRowFirstColumn="0" w:lastRowLastColumn="0"/>
            <w:tcW w:w="613" w:type="pct"/>
            <w:hideMark/>
          </w:tcPr>
          <w:p w14:paraId="47D6D086" w14:textId="77777777" w:rsidR="00E418E3" w:rsidRPr="00732EED" w:rsidRDefault="00E418E3" w:rsidP="007F6616">
            <w:pPr>
              <w:rPr>
                <w:sz w:val="18"/>
                <w:szCs w:val="18"/>
              </w:rPr>
            </w:pPr>
            <w:r w:rsidRPr="00732EED">
              <w:rPr>
                <w:sz w:val="18"/>
                <w:szCs w:val="18"/>
              </w:rPr>
              <w:t>Psychological</w:t>
            </w:r>
          </w:p>
        </w:tc>
        <w:tc>
          <w:tcPr>
            <w:tcW w:w="0" w:type="auto"/>
            <w:hideMark/>
          </w:tcPr>
          <w:p w14:paraId="170A8B7C"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145 (17.37)</w:t>
            </w:r>
          </w:p>
        </w:tc>
        <w:tc>
          <w:tcPr>
            <w:tcW w:w="0" w:type="auto"/>
            <w:hideMark/>
          </w:tcPr>
          <w:p w14:paraId="0A95DE01"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76 (17.39)</w:t>
            </w:r>
          </w:p>
        </w:tc>
        <w:tc>
          <w:tcPr>
            <w:tcW w:w="0" w:type="auto"/>
            <w:hideMark/>
          </w:tcPr>
          <w:p w14:paraId="32728A8E"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16 (17.02)</w:t>
            </w:r>
          </w:p>
        </w:tc>
        <w:tc>
          <w:tcPr>
            <w:tcW w:w="0" w:type="auto"/>
            <w:hideMark/>
          </w:tcPr>
          <w:p w14:paraId="6F3A3A48"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101 (17.35)</w:t>
            </w:r>
          </w:p>
        </w:tc>
        <w:tc>
          <w:tcPr>
            <w:tcW w:w="0" w:type="auto"/>
            <w:hideMark/>
          </w:tcPr>
          <w:p w14:paraId="27DACE0D"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136 (17.46)</w:t>
            </w:r>
          </w:p>
        </w:tc>
        <w:tc>
          <w:tcPr>
            <w:tcW w:w="0" w:type="auto"/>
            <w:hideMark/>
          </w:tcPr>
          <w:p w14:paraId="101F7FCC"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185 (22.16)</w:t>
            </w:r>
          </w:p>
        </w:tc>
        <w:tc>
          <w:tcPr>
            <w:tcW w:w="0" w:type="auto"/>
            <w:hideMark/>
          </w:tcPr>
          <w:p w14:paraId="23767BFE"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Stable</w:t>
            </w:r>
          </w:p>
        </w:tc>
        <w:tc>
          <w:tcPr>
            <w:tcW w:w="1089" w:type="pct"/>
            <w:hideMark/>
          </w:tcPr>
          <w:p w14:paraId="137F92AC"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Retained high prominence across all models; increased in collapsed weighting through merger with Cognitive</w:t>
            </w:r>
          </w:p>
        </w:tc>
      </w:tr>
      <w:tr w:rsidR="00E418E3" w:rsidRPr="00732EED" w14:paraId="21727A42" w14:textId="77777777" w:rsidTr="00D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hideMark/>
          </w:tcPr>
          <w:p w14:paraId="1B099B0D" w14:textId="77777777" w:rsidR="00E418E3" w:rsidRPr="00732EED" w:rsidRDefault="00E418E3" w:rsidP="007F6616">
            <w:pPr>
              <w:rPr>
                <w:sz w:val="18"/>
                <w:szCs w:val="18"/>
              </w:rPr>
            </w:pPr>
            <w:r w:rsidRPr="00732EED">
              <w:rPr>
                <w:sz w:val="18"/>
                <w:szCs w:val="18"/>
              </w:rPr>
              <w:t>Physical</w:t>
            </w:r>
          </w:p>
        </w:tc>
        <w:tc>
          <w:tcPr>
            <w:tcW w:w="0" w:type="auto"/>
            <w:hideMark/>
          </w:tcPr>
          <w:p w14:paraId="5A8DEFBA"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135 (16.17)</w:t>
            </w:r>
          </w:p>
        </w:tc>
        <w:tc>
          <w:tcPr>
            <w:tcW w:w="0" w:type="auto"/>
            <w:hideMark/>
          </w:tcPr>
          <w:p w14:paraId="1232A0A5"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71 (16.25)</w:t>
            </w:r>
          </w:p>
        </w:tc>
        <w:tc>
          <w:tcPr>
            <w:tcW w:w="0" w:type="auto"/>
            <w:hideMark/>
          </w:tcPr>
          <w:p w14:paraId="3B4986E6"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15 (15.96)</w:t>
            </w:r>
          </w:p>
        </w:tc>
        <w:tc>
          <w:tcPr>
            <w:tcW w:w="0" w:type="auto"/>
            <w:hideMark/>
          </w:tcPr>
          <w:p w14:paraId="0EC8FECC"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94 (16.15)</w:t>
            </w:r>
          </w:p>
        </w:tc>
        <w:tc>
          <w:tcPr>
            <w:tcW w:w="0" w:type="auto"/>
            <w:hideMark/>
          </w:tcPr>
          <w:p w14:paraId="4FE39866"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126 (16.17)</w:t>
            </w:r>
          </w:p>
        </w:tc>
        <w:tc>
          <w:tcPr>
            <w:tcW w:w="0" w:type="auto"/>
            <w:hideMark/>
          </w:tcPr>
          <w:p w14:paraId="695A550C"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255 (30.54)</w:t>
            </w:r>
          </w:p>
        </w:tc>
        <w:tc>
          <w:tcPr>
            <w:tcW w:w="0" w:type="auto"/>
            <w:hideMark/>
          </w:tcPr>
          <w:p w14:paraId="497D9EF3"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Stable</w:t>
            </w:r>
          </w:p>
        </w:tc>
        <w:tc>
          <w:tcPr>
            <w:tcW w:w="1089" w:type="pct"/>
            <w:hideMark/>
          </w:tcPr>
          <w:p w14:paraId="7347B833"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Consistently prominent and became the largest collapsed domain when merged with Chronic Pain</w:t>
            </w:r>
          </w:p>
        </w:tc>
      </w:tr>
      <w:tr w:rsidR="00E418E3" w:rsidRPr="00732EED" w14:paraId="25657E2D" w14:textId="77777777" w:rsidTr="00D03E25">
        <w:tc>
          <w:tcPr>
            <w:cnfStyle w:val="001000000000" w:firstRow="0" w:lastRow="0" w:firstColumn="1" w:lastColumn="0" w:oddVBand="0" w:evenVBand="0" w:oddHBand="0" w:evenHBand="0" w:firstRowFirstColumn="0" w:firstRowLastColumn="0" w:lastRowFirstColumn="0" w:lastRowLastColumn="0"/>
            <w:tcW w:w="613" w:type="pct"/>
            <w:hideMark/>
          </w:tcPr>
          <w:p w14:paraId="3FC90806" w14:textId="77777777" w:rsidR="00E418E3" w:rsidRPr="00732EED" w:rsidRDefault="00E418E3" w:rsidP="007F6616">
            <w:pPr>
              <w:rPr>
                <w:sz w:val="18"/>
                <w:szCs w:val="18"/>
              </w:rPr>
            </w:pPr>
            <w:r w:rsidRPr="00732EED">
              <w:rPr>
                <w:sz w:val="18"/>
                <w:szCs w:val="18"/>
              </w:rPr>
              <w:t>Healthcare/System</w:t>
            </w:r>
          </w:p>
        </w:tc>
        <w:tc>
          <w:tcPr>
            <w:tcW w:w="0" w:type="auto"/>
            <w:hideMark/>
          </w:tcPr>
          <w:p w14:paraId="1E45A40D"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130 (15.57)</w:t>
            </w:r>
          </w:p>
        </w:tc>
        <w:tc>
          <w:tcPr>
            <w:tcW w:w="0" w:type="auto"/>
            <w:hideMark/>
          </w:tcPr>
          <w:p w14:paraId="70B34057"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68 (15.56)</w:t>
            </w:r>
          </w:p>
        </w:tc>
        <w:tc>
          <w:tcPr>
            <w:tcW w:w="0" w:type="auto"/>
            <w:hideMark/>
          </w:tcPr>
          <w:p w14:paraId="27B83D99"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15 (15.96)</w:t>
            </w:r>
          </w:p>
        </w:tc>
        <w:tc>
          <w:tcPr>
            <w:tcW w:w="0" w:type="auto"/>
            <w:hideMark/>
          </w:tcPr>
          <w:p w14:paraId="621FD0F3"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91 (15.64)</w:t>
            </w:r>
          </w:p>
        </w:tc>
        <w:tc>
          <w:tcPr>
            <w:tcW w:w="0" w:type="auto"/>
            <w:hideMark/>
          </w:tcPr>
          <w:p w14:paraId="799FE738"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122 (15.66)</w:t>
            </w:r>
          </w:p>
        </w:tc>
        <w:tc>
          <w:tcPr>
            <w:tcW w:w="0" w:type="auto"/>
            <w:hideMark/>
          </w:tcPr>
          <w:p w14:paraId="06765399"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130 (15.57)</w:t>
            </w:r>
          </w:p>
        </w:tc>
        <w:tc>
          <w:tcPr>
            <w:tcW w:w="0" w:type="auto"/>
            <w:hideMark/>
          </w:tcPr>
          <w:p w14:paraId="0471B8A0"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Stable</w:t>
            </w:r>
          </w:p>
        </w:tc>
        <w:tc>
          <w:tcPr>
            <w:tcW w:w="1089" w:type="pct"/>
            <w:hideMark/>
          </w:tcPr>
          <w:p w14:paraId="19C493C4"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Showed minimal sensitivity to weighting changes and remained a central experiential domain</w:t>
            </w:r>
          </w:p>
        </w:tc>
      </w:tr>
      <w:tr w:rsidR="00E418E3" w:rsidRPr="00732EED" w14:paraId="571B3992" w14:textId="77777777" w:rsidTr="00D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hideMark/>
          </w:tcPr>
          <w:p w14:paraId="41A65220" w14:textId="77777777" w:rsidR="00E418E3" w:rsidRPr="00732EED" w:rsidRDefault="00E418E3" w:rsidP="007F6616">
            <w:pPr>
              <w:rPr>
                <w:sz w:val="18"/>
                <w:szCs w:val="18"/>
              </w:rPr>
            </w:pPr>
            <w:r w:rsidRPr="00732EED">
              <w:rPr>
                <w:sz w:val="18"/>
                <w:szCs w:val="18"/>
              </w:rPr>
              <w:t>Chronic Pain</w:t>
            </w:r>
          </w:p>
        </w:tc>
        <w:tc>
          <w:tcPr>
            <w:tcW w:w="0" w:type="auto"/>
            <w:hideMark/>
          </w:tcPr>
          <w:p w14:paraId="24A95DEF"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120 (14.37)</w:t>
            </w:r>
          </w:p>
        </w:tc>
        <w:tc>
          <w:tcPr>
            <w:tcW w:w="0" w:type="auto"/>
            <w:hideMark/>
          </w:tcPr>
          <w:p w14:paraId="1085582B"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63 (14.42)</w:t>
            </w:r>
          </w:p>
        </w:tc>
        <w:tc>
          <w:tcPr>
            <w:tcW w:w="0" w:type="auto"/>
            <w:hideMark/>
          </w:tcPr>
          <w:p w14:paraId="669421E4"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14 (14.89)</w:t>
            </w:r>
          </w:p>
        </w:tc>
        <w:tc>
          <w:tcPr>
            <w:tcW w:w="0" w:type="auto"/>
            <w:hideMark/>
          </w:tcPr>
          <w:p w14:paraId="5BE5117A"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84 (14.43)</w:t>
            </w:r>
          </w:p>
        </w:tc>
        <w:tc>
          <w:tcPr>
            <w:tcW w:w="0" w:type="auto"/>
            <w:hideMark/>
          </w:tcPr>
          <w:p w14:paraId="7DDC5380"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112 (14.38)</w:t>
            </w:r>
          </w:p>
        </w:tc>
        <w:tc>
          <w:tcPr>
            <w:tcW w:w="0" w:type="auto"/>
            <w:hideMark/>
          </w:tcPr>
          <w:p w14:paraId="087C6212"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t>
            </w:r>
          </w:p>
        </w:tc>
        <w:tc>
          <w:tcPr>
            <w:tcW w:w="0" w:type="auto"/>
            <w:hideMark/>
          </w:tcPr>
          <w:p w14:paraId="26CAF6BA"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Stable in non-collapsed models</w:t>
            </w:r>
          </w:p>
        </w:tc>
        <w:tc>
          <w:tcPr>
            <w:tcW w:w="1089" w:type="pct"/>
            <w:hideMark/>
          </w:tcPr>
          <w:p w14:paraId="5367FB29"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Retained prominence in all non-collapsed models; absorbed into Physical in the collapsed-domain specification</w:t>
            </w:r>
          </w:p>
        </w:tc>
      </w:tr>
      <w:tr w:rsidR="00E418E3" w:rsidRPr="00732EED" w14:paraId="23CFC01F" w14:textId="77777777" w:rsidTr="00D03E25">
        <w:tc>
          <w:tcPr>
            <w:cnfStyle w:val="001000000000" w:firstRow="0" w:lastRow="0" w:firstColumn="1" w:lastColumn="0" w:oddVBand="0" w:evenVBand="0" w:oddHBand="0" w:evenHBand="0" w:firstRowFirstColumn="0" w:firstRowLastColumn="0" w:lastRowFirstColumn="0" w:lastRowLastColumn="0"/>
            <w:tcW w:w="613" w:type="pct"/>
            <w:hideMark/>
          </w:tcPr>
          <w:p w14:paraId="4A7C8289" w14:textId="77777777" w:rsidR="00E418E3" w:rsidRPr="00732EED" w:rsidRDefault="00E418E3" w:rsidP="007F6616">
            <w:pPr>
              <w:rPr>
                <w:sz w:val="18"/>
                <w:szCs w:val="18"/>
              </w:rPr>
            </w:pPr>
            <w:r w:rsidRPr="00732EED">
              <w:rPr>
                <w:sz w:val="18"/>
                <w:szCs w:val="18"/>
              </w:rPr>
              <w:t>Cultural</w:t>
            </w:r>
          </w:p>
        </w:tc>
        <w:tc>
          <w:tcPr>
            <w:tcW w:w="0" w:type="auto"/>
            <w:hideMark/>
          </w:tcPr>
          <w:p w14:paraId="25A89C36"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50 (5.99)</w:t>
            </w:r>
          </w:p>
        </w:tc>
        <w:tc>
          <w:tcPr>
            <w:tcW w:w="0" w:type="auto"/>
            <w:hideMark/>
          </w:tcPr>
          <w:p w14:paraId="507D804F"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26 (5.95)</w:t>
            </w:r>
          </w:p>
        </w:tc>
        <w:tc>
          <w:tcPr>
            <w:tcW w:w="0" w:type="auto"/>
            <w:hideMark/>
          </w:tcPr>
          <w:p w14:paraId="79B0357B"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6 (6.38)</w:t>
            </w:r>
          </w:p>
        </w:tc>
        <w:tc>
          <w:tcPr>
            <w:tcW w:w="0" w:type="auto"/>
            <w:hideMark/>
          </w:tcPr>
          <w:p w14:paraId="7800A744"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35 (6.01)</w:t>
            </w:r>
          </w:p>
        </w:tc>
        <w:tc>
          <w:tcPr>
            <w:tcW w:w="0" w:type="auto"/>
            <w:hideMark/>
          </w:tcPr>
          <w:p w14:paraId="4C1DD802"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47 (6.03)</w:t>
            </w:r>
          </w:p>
        </w:tc>
        <w:tc>
          <w:tcPr>
            <w:tcW w:w="0" w:type="auto"/>
            <w:hideMark/>
          </w:tcPr>
          <w:p w14:paraId="2FF4ABC1"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t>
            </w:r>
          </w:p>
        </w:tc>
        <w:tc>
          <w:tcPr>
            <w:tcW w:w="0" w:type="auto"/>
            <w:hideMark/>
          </w:tcPr>
          <w:p w14:paraId="586DDB96"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Stable in non-collapsed models</w:t>
            </w:r>
          </w:p>
        </w:tc>
        <w:tc>
          <w:tcPr>
            <w:tcW w:w="1089" w:type="pct"/>
            <w:hideMark/>
          </w:tcPr>
          <w:p w14:paraId="098DE67B"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Lower-frequency but consistently represented; absorbed into Social in the collapsed-domain specification</w:t>
            </w:r>
          </w:p>
        </w:tc>
      </w:tr>
      <w:tr w:rsidR="00E418E3" w:rsidRPr="00732EED" w14:paraId="4C39DECF" w14:textId="77777777" w:rsidTr="00D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hideMark/>
          </w:tcPr>
          <w:p w14:paraId="740A2B04" w14:textId="77777777" w:rsidR="00E418E3" w:rsidRPr="00732EED" w:rsidRDefault="00E418E3" w:rsidP="007F6616">
            <w:pPr>
              <w:rPr>
                <w:sz w:val="18"/>
                <w:szCs w:val="18"/>
              </w:rPr>
            </w:pPr>
            <w:r w:rsidRPr="00732EED">
              <w:rPr>
                <w:sz w:val="18"/>
                <w:szCs w:val="18"/>
              </w:rPr>
              <w:t>Cognitive</w:t>
            </w:r>
          </w:p>
        </w:tc>
        <w:tc>
          <w:tcPr>
            <w:tcW w:w="0" w:type="auto"/>
            <w:hideMark/>
          </w:tcPr>
          <w:p w14:paraId="45213CC7"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40 (4.79)</w:t>
            </w:r>
          </w:p>
        </w:tc>
        <w:tc>
          <w:tcPr>
            <w:tcW w:w="0" w:type="auto"/>
            <w:hideMark/>
          </w:tcPr>
          <w:p w14:paraId="27256FBE"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21 (4.81)</w:t>
            </w:r>
          </w:p>
        </w:tc>
        <w:tc>
          <w:tcPr>
            <w:tcW w:w="0" w:type="auto"/>
            <w:hideMark/>
          </w:tcPr>
          <w:p w14:paraId="623C9082"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4 (4.26)</w:t>
            </w:r>
          </w:p>
        </w:tc>
        <w:tc>
          <w:tcPr>
            <w:tcW w:w="0" w:type="auto"/>
            <w:hideMark/>
          </w:tcPr>
          <w:p w14:paraId="4880A5D1"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28 (4.81)</w:t>
            </w:r>
          </w:p>
        </w:tc>
        <w:tc>
          <w:tcPr>
            <w:tcW w:w="0" w:type="auto"/>
            <w:hideMark/>
          </w:tcPr>
          <w:p w14:paraId="0A660D8F"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37 (4.75)</w:t>
            </w:r>
          </w:p>
        </w:tc>
        <w:tc>
          <w:tcPr>
            <w:tcW w:w="0" w:type="auto"/>
            <w:hideMark/>
          </w:tcPr>
          <w:p w14:paraId="0822D722"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w:t>
            </w:r>
          </w:p>
        </w:tc>
        <w:tc>
          <w:tcPr>
            <w:tcW w:w="0" w:type="auto"/>
            <w:hideMark/>
          </w:tcPr>
          <w:p w14:paraId="3BA3DEF6"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Stable in non-collapsed models</w:t>
            </w:r>
          </w:p>
        </w:tc>
        <w:tc>
          <w:tcPr>
            <w:tcW w:w="1089" w:type="pct"/>
            <w:hideMark/>
          </w:tcPr>
          <w:p w14:paraId="18AD5245"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Lower-density but structurally retained; absorbed into Psychological in the collapsed-domain specification</w:t>
            </w:r>
          </w:p>
        </w:tc>
      </w:tr>
      <w:tr w:rsidR="00E418E3" w:rsidRPr="00732EED" w14:paraId="0F1E0AC5" w14:textId="77777777" w:rsidTr="00D03E25">
        <w:tc>
          <w:tcPr>
            <w:cnfStyle w:val="001000000000" w:firstRow="0" w:lastRow="0" w:firstColumn="1" w:lastColumn="0" w:oddVBand="0" w:evenVBand="0" w:oddHBand="0" w:evenHBand="0" w:firstRowFirstColumn="0" w:firstRowLastColumn="0" w:lastRowFirstColumn="0" w:lastRowLastColumn="0"/>
            <w:tcW w:w="613" w:type="pct"/>
            <w:hideMark/>
          </w:tcPr>
          <w:p w14:paraId="63257873" w14:textId="77777777" w:rsidR="00E418E3" w:rsidRPr="00732EED" w:rsidRDefault="00E418E3" w:rsidP="007F6616">
            <w:pPr>
              <w:rPr>
                <w:sz w:val="18"/>
                <w:szCs w:val="18"/>
              </w:rPr>
            </w:pPr>
            <w:r w:rsidRPr="00732EED">
              <w:rPr>
                <w:sz w:val="18"/>
                <w:szCs w:val="18"/>
              </w:rPr>
              <w:t>Environmental</w:t>
            </w:r>
          </w:p>
        </w:tc>
        <w:tc>
          <w:tcPr>
            <w:tcW w:w="0" w:type="auto"/>
            <w:hideMark/>
          </w:tcPr>
          <w:p w14:paraId="2F8AB808"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20 (2.40)</w:t>
            </w:r>
          </w:p>
        </w:tc>
        <w:tc>
          <w:tcPr>
            <w:tcW w:w="0" w:type="auto"/>
            <w:hideMark/>
          </w:tcPr>
          <w:p w14:paraId="77C2E617"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10 (2.29)</w:t>
            </w:r>
          </w:p>
        </w:tc>
        <w:tc>
          <w:tcPr>
            <w:tcW w:w="0" w:type="auto"/>
            <w:hideMark/>
          </w:tcPr>
          <w:p w14:paraId="0B0202BC"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2 (2.13)</w:t>
            </w:r>
          </w:p>
        </w:tc>
        <w:tc>
          <w:tcPr>
            <w:tcW w:w="0" w:type="auto"/>
            <w:hideMark/>
          </w:tcPr>
          <w:p w14:paraId="672F9BDE"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14 (2.41)</w:t>
            </w:r>
          </w:p>
        </w:tc>
        <w:tc>
          <w:tcPr>
            <w:tcW w:w="0" w:type="auto"/>
            <w:hideMark/>
          </w:tcPr>
          <w:p w14:paraId="287B8EFB"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19 (2.44)</w:t>
            </w:r>
          </w:p>
        </w:tc>
        <w:tc>
          <w:tcPr>
            <w:tcW w:w="0" w:type="auto"/>
            <w:hideMark/>
          </w:tcPr>
          <w:p w14:paraId="27290C46"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t>
            </w:r>
          </w:p>
        </w:tc>
        <w:tc>
          <w:tcPr>
            <w:tcW w:w="0" w:type="auto"/>
            <w:hideMark/>
          </w:tcPr>
          <w:p w14:paraId="6CC8B224"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Minor shift</w:t>
            </w:r>
          </w:p>
        </w:tc>
        <w:tc>
          <w:tcPr>
            <w:tcW w:w="1089" w:type="pct"/>
            <w:hideMark/>
          </w:tcPr>
          <w:p w14:paraId="6A6711AD"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Low-frequency contextual domain; merged into Ecological in the collapsed-domain specification</w:t>
            </w:r>
          </w:p>
        </w:tc>
      </w:tr>
      <w:tr w:rsidR="00E418E3" w:rsidRPr="00732EED" w14:paraId="288363EB" w14:textId="77777777" w:rsidTr="00D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hideMark/>
          </w:tcPr>
          <w:p w14:paraId="0E8FD0C8" w14:textId="77777777" w:rsidR="00E418E3" w:rsidRPr="00732EED" w:rsidRDefault="00E418E3" w:rsidP="007F6616">
            <w:pPr>
              <w:rPr>
                <w:sz w:val="18"/>
                <w:szCs w:val="18"/>
              </w:rPr>
            </w:pPr>
            <w:r w:rsidRPr="00732EED">
              <w:rPr>
                <w:sz w:val="18"/>
                <w:szCs w:val="18"/>
              </w:rPr>
              <w:t>Ecological</w:t>
            </w:r>
          </w:p>
        </w:tc>
        <w:tc>
          <w:tcPr>
            <w:tcW w:w="0" w:type="auto"/>
            <w:hideMark/>
          </w:tcPr>
          <w:p w14:paraId="3E493863"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10 (1.20)</w:t>
            </w:r>
          </w:p>
        </w:tc>
        <w:tc>
          <w:tcPr>
            <w:tcW w:w="0" w:type="auto"/>
            <w:hideMark/>
          </w:tcPr>
          <w:p w14:paraId="1A04FC7E"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5 (1.15)</w:t>
            </w:r>
          </w:p>
        </w:tc>
        <w:tc>
          <w:tcPr>
            <w:tcW w:w="0" w:type="auto"/>
            <w:hideMark/>
          </w:tcPr>
          <w:p w14:paraId="4C572F09"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1 (1.06)</w:t>
            </w:r>
          </w:p>
        </w:tc>
        <w:tc>
          <w:tcPr>
            <w:tcW w:w="0" w:type="auto"/>
            <w:hideMark/>
          </w:tcPr>
          <w:p w14:paraId="47B44E20"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6 (1.03)</w:t>
            </w:r>
          </w:p>
        </w:tc>
        <w:tc>
          <w:tcPr>
            <w:tcW w:w="0" w:type="auto"/>
            <w:hideMark/>
          </w:tcPr>
          <w:p w14:paraId="6B260401"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7 (0.90)</w:t>
            </w:r>
          </w:p>
        </w:tc>
        <w:tc>
          <w:tcPr>
            <w:tcW w:w="0" w:type="auto"/>
            <w:hideMark/>
          </w:tcPr>
          <w:p w14:paraId="2C748729"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30 (3.59)</w:t>
            </w:r>
          </w:p>
        </w:tc>
        <w:tc>
          <w:tcPr>
            <w:tcW w:w="0" w:type="auto"/>
            <w:hideMark/>
          </w:tcPr>
          <w:p w14:paraId="0D71FFD9"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Minor shift</w:t>
            </w:r>
          </w:p>
        </w:tc>
        <w:tc>
          <w:tcPr>
            <w:tcW w:w="1089" w:type="pct"/>
            <w:hideMark/>
          </w:tcPr>
          <w:p w14:paraId="6970D40A" w14:textId="77777777" w:rsidR="00E418E3" w:rsidRPr="00732EED" w:rsidRDefault="00E418E3" w:rsidP="007F6616">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Smallest reference domain; increased under collapsed weighting after merger with Environmental</w:t>
            </w:r>
          </w:p>
        </w:tc>
      </w:tr>
      <w:tr w:rsidR="00E418E3" w:rsidRPr="00732EED" w14:paraId="59A2B332" w14:textId="77777777" w:rsidTr="00D03E25">
        <w:tc>
          <w:tcPr>
            <w:cnfStyle w:val="001000000000" w:firstRow="0" w:lastRow="0" w:firstColumn="1" w:lastColumn="0" w:oddVBand="0" w:evenVBand="0" w:oddHBand="0" w:evenHBand="0" w:firstRowFirstColumn="0" w:firstRowLastColumn="0" w:lastRowFirstColumn="0" w:lastRowLastColumn="0"/>
            <w:tcW w:w="613" w:type="pct"/>
            <w:hideMark/>
          </w:tcPr>
          <w:p w14:paraId="539CF182" w14:textId="77777777" w:rsidR="00E418E3" w:rsidRPr="00732EED" w:rsidRDefault="00E418E3" w:rsidP="007F6616">
            <w:pPr>
              <w:rPr>
                <w:sz w:val="18"/>
                <w:szCs w:val="18"/>
              </w:rPr>
            </w:pPr>
            <w:r w:rsidRPr="00732EED">
              <w:rPr>
                <w:sz w:val="18"/>
                <w:szCs w:val="18"/>
              </w:rPr>
              <w:t>Total</w:t>
            </w:r>
          </w:p>
        </w:tc>
        <w:tc>
          <w:tcPr>
            <w:tcW w:w="0" w:type="auto"/>
            <w:hideMark/>
          </w:tcPr>
          <w:p w14:paraId="46E9D87A"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835 (100.00)</w:t>
            </w:r>
          </w:p>
        </w:tc>
        <w:tc>
          <w:tcPr>
            <w:tcW w:w="0" w:type="auto"/>
            <w:hideMark/>
          </w:tcPr>
          <w:p w14:paraId="14228868"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437 (100.00)</w:t>
            </w:r>
          </w:p>
        </w:tc>
        <w:tc>
          <w:tcPr>
            <w:tcW w:w="0" w:type="auto"/>
            <w:hideMark/>
          </w:tcPr>
          <w:p w14:paraId="0BD7A738"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94 (100.00)</w:t>
            </w:r>
          </w:p>
        </w:tc>
        <w:tc>
          <w:tcPr>
            <w:tcW w:w="0" w:type="auto"/>
            <w:hideMark/>
          </w:tcPr>
          <w:p w14:paraId="6B36D3FA"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582 (100.00)</w:t>
            </w:r>
          </w:p>
        </w:tc>
        <w:tc>
          <w:tcPr>
            <w:tcW w:w="0" w:type="auto"/>
            <w:hideMark/>
          </w:tcPr>
          <w:p w14:paraId="316F0659"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779 (100.00)</w:t>
            </w:r>
          </w:p>
        </w:tc>
        <w:tc>
          <w:tcPr>
            <w:tcW w:w="0" w:type="auto"/>
            <w:hideMark/>
          </w:tcPr>
          <w:p w14:paraId="0B5346CC"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835 (100.00)</w:t>
            </w:r>
          </w:p>
        </w:tc>
        <w:tc>
          <w:tcPr>
            <w:tcW w:w="0" w:type="auto"/>
            <w:hideMark/>
          </w:tcPr>
          <w:p w14:paraId="14CFB802"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w:t>
            </w:r>
          </w:p>
        </w:tc>
        <w:tc>
          <w:tcPr>
            <w:tcW w:w="1089" w:type="pct"/>
            <w:hideMark/>
          </w:tcPr>
          <w:p w14:paraId="7FD2EB88" w14:textId="77777777" w:rsidR="00E418E3" w:rsidRPr="00732EED" w:rsidRDefault="00E418E3" w:rsidP="007F6616">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Percentages are column percentages within each weighting model</w:t>
            </w:r>
          </w:p>
        </w:tc>
      </w:tr>
    </w:tbl>
    <w:p w14:paraId="51C1697E" w14:textId="77777777" w:rsidR="00E418E3" w:rsidRPr="00732EED" w:rsidRDefault="00E418E3" w:rsidP="00E418E3">
      <w:pPr>
        <w:rPr>
          <w:sz w:val="18"/>
          <w:szCs w:val="18"/>
        </w:rPr>
      </w:pPr>
      <w:r w:rsidRPr="00732EED">
        <w:rPr>
          <w:sz w:val="18"/>
          <w:szCs w:val="18"/>
        </w:rPr>
        <w:t xml:space="preserve">*Percentages are column percentages within each weighting model. The reference model used </w:t>
      </w:r>
      <w:proofErr w:type="spellStart"/>
      <w:r w:rsidRPr="00732EED">
        <w:rPr>
          <w:sz w:val="18"/>
          <w:szCs w:val="18"/>
        </w:rPr>
        <w:t>multicode</w:t>
      </w:r>
      <w:proofErr w:type="spellEnd"/>
      <w:r w:rsidRPr="00732EED">
        <w:rPr>
          <w:sz w:val="18"/>
          <w:szCs w:val="18"/>
        </w:rPr>
        <w:t xml:space="preserve"> raw occurrence weighting across primary, secondary, and tertiary domain assignments. Equal study weighting rescaled frequencies so that each included study contributed equally irrespective of coding density. Primary-code-only weighting retained one dominant domain assignment per study. Primary + secondary weighting retained up to two domain assignments per study, excluding tertiary assignments. Linked-report-collapsed weighting merged overlapping publications into single analytic units prior to recalculation. Collapsed-domain weighting deterministically merged conceptually adjacent domains as follows: Social + Cultural, Psychological + Cognitive, Physical + Chronic Pain, and Environmental + Ecological; Healthcare/System remained unchanged. Rank stability indicates whether a domain retained a broadly comparable relative position across weighting models. Counts = number of domain assignments included in each analytic specification; percentages = (domain </w:t>
      </w:r>
      <w:r w:rsidRPr="00732EED">
        <w:rPr>
          <w:sz w:val="18"/>
          <w:szCs w:val="18"/>
        </w:rPr>
        <w:lastRenderedPageBreak/>
        <w:t>assignments for a domain ÷ total analytic unit for that column) × 100 (column percentages). Reference model (</w:t>
      </w:r>
      <w:proofErr w:type="spellStart"/>
      <w:r w:rsidRPr="00732EED">
        <w:rPr>
          <w:sz w:val="18"/>
          <w:szCs w:val="18"/>
        </w:rPr>
        <w:t>multicode</w:t>
      </w:r>
      <w:proofErr w:type="spellEnd"/>
      <w:r w:rsidRPr="00732EED">
        <w:rPr>
          <w:sz w:val="18"/>
          <w:szCs w:val="18"/>
        </w:rPr>
        <w:t xml:space="preserve"> raw occurrence weighting): all primary, secondary, and tertiary domain assignments retained; analytic unit = total coded assignments (N = 835). Equal study weighting: each study contributes a single unit after collapsing multi</w:t>
      </w:r>
      <w:r w:rsidRPr="00732EED">
        <w:rPr>
          <w:sz w:val="18"/>
          <w:szCs w:val="18"/>
        </w:rPr>
        <w:noBreakHyphen/>
        <w:t>coded entries per study; analytic unit = study</w:t>
      </w:r>
      <w:r w:rsidRPr="00732EED">
        <w:rPr>
          <w:sz w:val="18"/>
          <w:szCs w:val="18"/>
        </w:rPr>
        <w:noBreakHyphen/>
        <w:t>level contributions (N = 437). Primary</w:t>
      </w:r>
      <w:r w:rsidRPr="00732EED">
        <w:rPr>
          <w:sz w:val="18"/>
          <w:szCs w:val="18"/>
        </w:rPr>
        <w:noBreakHyphen/>
        <w:t>code</w:t>
      </w:r>
      <w:r w:rsidRPr="00732EED">
        <w:rPr>
          <w:sz w:val="18"/>
          <w:szCs w:val="18"/>
        </w:rPr>
        <w:noBreakHyphen/>
        <w:t>only weighting: only the single highest</w:t>
      </w:r>
      <w:r w:rsidRPr="00732EED">
        <w:rPr>
          <w:sz w:val="18"/>
          <w:szCs w:val="18"/>
        </w:rPr>
        <w:noBreakHyphen/>
        <w:t>priority (primary) domain per study retained; analytic unit = number of studies (N = 94). Primary + secondary weighting: retains up to two domain assignments per study (primary + secondary); tertiary assignments excluded (analytic unit = 582).  Linked</w:t>
      </w:r>
      <w:r w:rsidRPr="00732EED">
        <w:rPr>
          <w:sz w:val="18"/>
          <w:szCs w:val="18"/>
        </w:rPr>
        <w:noBreakHyphen/>
        <w:t>report</w:t>
      </w:r>
      <w:r w:rsidRPr="00732EED">
        <w:rPr>
          <w:sz w:val="18"/>
          <w:szCs w:val="18"/>
        </w:rPr>
        <w:noBreakHyphen/>
        <w:t>collapsed weighting: overlapping reports judged to represent the same sample were merged before recalculation to avoid double</w:t>
      </w:r>
      <w:r w:rsidRPr="00732EED">
        <w:rPr>
          <w:sz w:val="18"/>
          <w:szCs w:val="18"/>
        </w:rPr>
        <w:noBreakHyphen/>
        <w:t>counting (analytic unit = 779); linkage rules in Supplementary Methods S1. Collapsed</w:t>
      </w:r>
      <w:r w:rsidRPr="00732EED">
        <w:rPr>
          <w:sz w:val="18"/>
          <w:szCs w:val="18"/>
        </w:rPr>
        <w:noBreakHyphen/>
        <w:t>domain weighting: conceptually adjacent domains merged as specified in Methods (</w:t>
      </w:r>
      <w:proofErr w:type="spellStart"/>
      <w:r w:rsidRPr="00732EED">
        <w:rPr>
          <w:sz w:val="18"/>
          <w:szCs w:val="18"/>
        </w:rPr>
        <w:t>Social+Cultural</w:t>
      </w:r>
      <w:proofErr w:type="spellEnd"/>
      <w:r w:rsidRPr="00732EED">
        <w:rPr>
          <w:sz w:val="18"/>
          <w:szCs w:val="18"/>
        </w:rPr>
        <w:t xml:space="preserve">; </w:t>
      </w:r>
      <w:proofErr w:type="spellStart"/>
      <w:r w:rsidRPr="00732EED">
        <w:rPr>
          <w:sz w:val="18"/>
          <w:szCs w:val="18"/>
        </w:rPr>
        <w:t>Psychological+Cognitive</w:t>
      </w:r>
      <w:proofErr w:type="spellEnd"/>
      <w:r w:rsidRPr="00732EED">
        <w:rPr>
          <w:sz w:val="18"/>
          <w:szCs w:val="18"/>
        </w:rPr>
        <w:t xml:space="preserve">; </w:t>
      </w:r>
      <w:proofErr w:type="spellStart"/>
      <w:r w:rsidRPr="00732EED">
        <w:rPr>
          <w:sz w:val="18"/>
          <w:szCs w:val="18"/>
        </w:rPr>
        <w:t>Physical+Chronic</w:t>
      </w:r>
      <w:proofErr w:type="spellEnd"/>
      <w:r w:rsidRPr="00732EED">
        <w:rPr>
          <w:sz w:val="18"/>
          <w:szCs w:val="18"/>
        </w:rPr>
        <w:t xml:space="preserve"> Pain; </w:t>
      </w:r>
      <w:proofErr w:type="spellStart"/>
      <w:r w:rsidRPr="00732EED">
        <w:rPr>
          <w:sz w:val="18"/>
          <w:szCs w:val="18"/>
        </w:rPr>
        <w:t>Environmental+Ecological</w:t>
      </w:r>
      <w:proofErr w:type="spellEnd"/>
      <w:r w:rsidRPr="00732EED">
        <w:rPr>
          <w:sz w:val="18"/>
          <w:szCs w:val="18"/>
        </w:rPr>
        <w:t>); merged counts reported under collapsed columns (analytic unit = 835). Dashes (—) indicate domains merged or excluded under that specification. Rank stability: “Stable” denotes preservation of top</w:t>
      </w:r>
      <w:r w:rsidRPr="00732EED">
        <w:rPr>
          <w:sz w:val="18"/>
          <w:szCs w:val="18"/>
        </w:rPr>
        <w:noBreakHyphen/>
        <w:t>rank ordering across models; “Minor shift” indicates modest rank movement without altering core interpretive pattern. Interpretation column provides qualitative judgement of pattern consistency across sensitivity scenarios; detailed numeric comparisons and statistical checks are provided in Supplementary Results. Rounding: small discrepancies may occur due to rounding; totals reflect column sums. Across alternate weighting structures, the Phase 1 domain architecture remained stable. Social, Psychological, Physical, Healthcare/System, and Chronic Pain remained the dominant domains in all non-collapsed models, while lower-frequency domains varied modestly in density but did not alter the overall interpretive pattern. The collapsed-domain analysis reproduced the same higher-order organization, indicating robustness to alternate assumptions about coding density and thematic granularity.</w:t>
      </w:r>
      <w:r w:rsidRPr="00732EED">
        <w:rPr>
          <w:sz w:val="18"/>
          <w:szCs w:val="18"/>
        </w:rPr>
        <w:br/>
      </w:r>
    </w:p>
    <w:p w14:paraId="3A2F166B" w14:textId="77777777" w:rsidR="00E418E3" w:rsidRPr="00732EED" w:rsidRDefault="00E418E3" w:rsidP="00D30385">
      <w:pPr>
        <w:rPr>
          <w:b/>
          <w:color w:val="000000"/>
          <w:sz w:val="18"/>
          <w:szCs w:val="18"/>
        </w:rPr>
      </w:pPr>
    </w:p>
    <w:p w14:paraId="10A0B1CD" w14:textId="77777777" w:rsidR="00F0458C" w:rsidRPr="00732EED" w:rsidRDefault="00F0458C" w:rsidP="00D30385">
      <w:pPr>
        <w:rPr>
          <w:b/>
          <w:color w:val="000000"/>
          <w:sz w:val="18"/>
          <w:szCs w:val="18"/>
        </w:rPr>
      </w:pPr>
    </w:p>
    <w:p w14:paraId="46379EDF" w14:textId="77777777" w:rsidR="001F2CA8" w:rsidRPr="00732EED" w:rsidRDefault="001F2CA8" w:rsidP="00D30385">
      <w:pPr>
        <w:rPr>
          <w:b/>
          <w:color w:val="000000"/>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6A5B97D5" w14:textId="6BEC751B" w:rsidR="00C964C9" w:rsidRPr="00732EED" w:rsidRDefault="00C964C9" w:rsidP="00D30385">
      <w:pPr>
        <w:rPr>
          <w:b/>
          <w:color w:val="000000"/>
          <w:sz w:val="18"/>
          <w:szCs w:val="18"/>
        </w:rPr>
      </w:pPr>
      <w:r w:rsidRPr="00732EED">
        <w:rPr>
          <w:b/>
          <w:color w:val="000000"/>
          <w:sz w:val="18"/>
          <w:szCs w:val="18"/>
        </w:rPr>
        <w:lastRenderedPageBreak/>
        <w:t>Table S</w:t>
      </w:r>
      <w:r w:rsidR="00E9589B" w:rsidRPr="00732EED">
        <w:rPr>
          <w:b/>
          <w:color w:val="000000"/>
          <w:sz w:val="18"/>
          <w:szCs w:val="18"/>
        </w:rPr>
        <w:t>1</w:t>
      </w:r>
      <w:r w:rsidR="00E418E3" w:rsidRPr="00732EED">
        <w:rPr>
          <w:b/>
          <w:color w:val="000000"/>
          <w:sz w:val="18"/>
          <w:szCs w:val="18"/>
        </w:rPr>
        <w:t>5</w:t>
      </w:r>
      <w:r w:rsidRPr="00732EED">
        <w:rPr>
          <w:b/>
          <w:color w:val="000000"/>
          <w:sz w:val="18"/>
          <w:szCs w:val="18"/>
        </w:rPr>
        <w:t xml:space="preserve">. Summary and initial </w:t>
      </w:r>
      <w:r w:rsidR="000C67B3" w:rsidRPr="00732EED">
        <w:rPr>
          <w:b/>
          <w:color w:val="000000"/>
          <w:sz w:val="18"/>
          <w:szCs w:val="18"/>
        </w:rPr>
        <w:t>c</w:t>
      </w:r>
      <w:r w:rsidRPr="00732EED">
        <w:rPr>
          <w:b/>
          <w:color w:val="000000"/>
          <w:sz w:val="18"/>
          <w:szCs w:val="18"/>
        </w:rPr>
        <w:t xml:space="preserve">oding </w:t>
      </w:r>
      <w:r w:rsidR="000C67B3" w:rsidRPr="00732EED">
        <w:rPr>
          <w:b/>
          <w:color w:val="000000"/>
          <w:sz w:val="18"/>
          <w:szCs w:val="18"/>
        </w:rPr>
        <w:t>t</w:t>
      </w:r>
      <w:r w:rsidRPr="00732EED">
        <w:rPr>
          <w:b/>
          <w:color w:val="000000"/>
          <w:sz w:val="18"/>
          <w:szCs w:val="18"/>
        </w:rPr>
        <w:t xml:space="preserve">hemes of the </w:t>
      </w:r>
      <w:r w:rsidR="000C67B3" w:rsidRPr="00732EED">
        <w:rPr>
          <w:b/>
          <w:color w:val="000000"/>
          <w:sz w:val="18"/>
          <w:szCs w:val="18"/>
        </w:rPr>
        <w:t>t</w:t>
      </w:r>
      <w:r w:rsidRPr="00732EED">
        <w:rPr>
          <w:b/>
          <w:color w:val="000000"/>
          <w:sz w:val="18"/>
          <w:szCs w:val="18"/>
        </w:rPr>
        <w:t xml:space="preserve">ransdisciplinary </w:t>
      </w:r>
      <w:r w:rsidR="000C67B3" w:rsidRPr="00732EED">
        <w:rPr>
          <w:b/>
          <w:color w:val="000000"/>
          <w:sz w:val="18"/>
          <w:szCs w:val="18"/>
        </w:rPr>
        <w:t>l</w:t>
      </w:r>
      <w:r w:rsidRPr="00732EED">
        <w:rPr>
          <w:b/>
          <w:color w:val="000000"/>
          <w:sz w:val="18"/>
          <w:szCs w:val="18"/>
        </w:rPr>
        <w:t xml:space="preserve">iterature used in </w:t>
      </w:r>
      <w:r w:rsidR="00F54FD5" w:rsidRPr="00732EED">
        <w:rPr>
          <w:b/>
          <w:color w:val="000000"/>
          <w:sz w:val="18"/>
          <w:szCs w:val="18"/>
        </w:rPr>
        <w:t>Phase 2*</w:t>
      </w:r>
    </w:p>
    <w:tbl>
      <w:tblPr>
        <w:tblStyle w:val="PlainTable1"/>
        <w:tblW w:w="4967" w:type="pct"/>
        <w:tblLayout w:type="fixed"/>
        <w:tblLook w:val="04A0" w:firstRow="1" w:lastRow="0" w:firstColumn="1" w:lastColumn="0" w:noHBand="0" w:noVBand="1"/>
      </w:tblPr>
      <w:tblGrid>
        <w:gridCol w:w="397"/>
        <w:gridCol w:w="3711"/>
        <w:gridCol w:w="1701"/>
        <w:gridCol w:w="1673"/>
        <w:gridCol w:w="2056"/>
        <w:gridCol w:w="3934"/>
      </w:tblGrid>
      <w:tr w:rsidR="00EB4ED6" w:rsidRPr="00732EED" w14:paraId="765CDEBF" w14:textId="77777777" w:rsidTr="00EB4E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4D1DACCC" w14:textId="77777777" w:rsidR="00C964C9" w:rsidRPr="00732EED" w:rsidRDefault="00C964C9" w:rsidP="009746D6">
            <w:pPr>
              <w:rPr>
                <w:sz w:val="18"/>
                <w:szCs w:val="18"/>
              </w:rPr>
            </w:pPr>
          </w:p>
        </w:tc>
        <w:tc>
          <w:tcPr>
            <w:tcW w:w="1377" w:type="pct"/>
            <w:hideMark/>
          </w:tcPr>
          <w:p w14:paraId="067AF357" w14:textId="77777777" w:rsidR="00C964C9" w:rsidRPr="00732EED" w:rsidRDefault="00C964C9" w:rsidP="00EB4ED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732EED">
              <w:rPr>
                <w:color w:val="000000"/>
                <w:sz w:val="18"/>
                <w:szCs w:val="18"/>
              </w:rPr>
              <w:t>Reference</w:t>
            </w:r>
          </w:p>
        </w:tc>
        <w:tc>
          <w:tcPr>
            <w:tcW w:w="631" w:type="pct"/>
            <w:hideMark/>
          </w:tcPr>
          <w:p w14:paraId="35D6134B" w14:textId="77777777" w:rsidR="00C964C9" w:rsidRPr="00732EED" w:rsidRDefault="00C964C9" w:rsidP="009746D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732EED">
              <w:rPr>
                <w:color w:val="000000"/>
                <w:sz w:val="18"/>
                <w:szCs w:val="18"/>
              </w:rPr>
              <w:t>Methodology</w:t>
            </w:r>
          </w:p>
        </w:tc>
        <w:tc>
          <w:tcPr>
            <w:tcW w:w="621" w:type="pct"/>
            <w:hideMark/>
          </w:tcPr>
          <w:p w14:paraId="70AEF10C" w14:textId="77777777" w:rsidR="00C964C9" w:rsidRPr="00732EED" w:rsidRDefault="00C964C9" w:rsidP="009746D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732EED">
              <w:rPr>
                <w:color w:val="000000"/>
                <w:sz w:val="18"/>
                <w:szCs w:val="18"/>
              </w:rPr>
              <w:t>Theoretical Framework</w:t>
            </w:r>
          </w:p>
        </w:tc>
        <w:tc>
          <w:tcPr>
            <w:tcW w:w="763" w:type="pct"/>
            <w:hideMark/>
          </w:tcPr>
          <w:p w14:paraId="02623A2C" w14:textId="77777777" w:rsidR="00C964C9" w:rsidRPr="00732EED" w:rsidRDefault="00C964C9" w:rsidP="009746D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732EED">
              <w:rPr>
                <w:color w:val="000000"/>
                <w:sz w:val="18"/>
                <w:szCs w:val="18"/>
              </w:rPr>
              <w:t>Study Design</w:t>
            </w:r>
          </w:p>
        </w:tc>
        <w:tc>
          <w:tcPr>
            <w:tcW w:w="1460" w:type="pct"/>
            <w:hideMark/>
          </w:tcPr>
          <w:p w14:paraId="0D5E512D" w14:textId="1DDF85DA" w:rsidR="00C964C9" w:rsidRPr="00732EED" w:rsidRDefault="00C964C9" w:rsidP="009746D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732EED">
              <w:rPr>
                <w:color w:val="000000"/>
                <w:sz w:val="18"/>
                <w:szCs w:val="18"/>
              </w:rPr>
              <w:t>Summary &amp; Coding Themes</w:t>
            </w:r>
          </w:p>
        </w:tc>
      </w:tr>
      <w:tr w:rsidR="00EB4ED6" w:rsidRPr="00732EED" w14:paraId="29EABE1A"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3DA4D74" w14:textId="77777777" w:rsidR="00C964C9" w:rsidRPr="00732EED" w:rsidRDefault="00C964C9" w:rsidP="009746D6">
            <w:pPr>
              <w:jc w:val="right"/>
              <w:rPr>
                <w:color w:val="000000"/>
                <w:sz w:val="18"/>
                <w:szCs w:val="18"/>
              </w:rPr>
            </w:pPr>
            <w:r w:rsidRPr="00732EED">
              <w:rPr>
                <w:color w:val="000000"/>
                <w:sz w:val="18"/>
                <w:szCs w:val="18"/>
              </w:rPr>
              <w:t>1</w:t>
            </w:r>
          </w:p>
        </w:tc>
        <w:tc>
          <w:tcPr>
            <w:tcW w:w="1377" w:type="pct"/>
            <w:hideMark/>
          </w:tcPr>
          <w:p w14:paraId="48DA55F3"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8" w:tgtFrame="_new" w:history="1">
              <w:r w:rsidR="00C964C9" w:rsidRPr="00732EED">
                <w:rPr>
                  <w:color w:val="467886"/>
                  <w:sz w:val="18"/>
                  <w:szCs w:val="18"/>
                </w:rPr>
                <w:t>Allen-Scott LK, Buntain B, Hatfield JM et al (2015) Academic institutions and one health: building capacity for transdisciplinary research approaches to address complex health issues at the animal-human-ecosystem interface. Acad Med 90:866–871. https://doi.org/10.1097/ACM.0000000000000639</w:t>
              </w:r>
            </w:hyperlink>
          </w:p>
        </w:tc>
        <w:tc>
          <w:tcPr>
            <w:tcW w:w="631" w:type="pct"/>
            <w:hideMark/>
          </w:tcPr>
          <w:p w14:paraId="7B2019F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Conceptual analysis supported by case examples of academic initiatives.</w:t>
            </w:r>
          </w:p>
        </w:tc>
        <w:tc>
          <w:tcPr>
            <w:tcW w:w="621" w:type="pct"/>
            <w:hideMark/>
          </w:tcPr>
          <w:p w14:paraId="199074D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One Health framework; transdisciplinary research theory integrating human, animal, and ecosystem health.</w:t>
            </w:r>
          </w:p>
        </w:tc>
        <w:tc>
          <w:tcPr>
            <w:tcW w:w="763" w:type="pct"/>
            <w:hideMark/>
          </w:tcPr>
          <w:p w14:paraId="55DF35C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Conceptual/perspective paper.</w:t>
            </w:r>
          </w:p>
        </w:tc>
        <w:tc>
          <w:tcPr>
            <w:tcW w:w="1460" w:type="pct"/>
            <w:hideMark/>
          </w:tcPr>
          <w:p w14:paraId="6F1F96D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paper explores the role of academic institutions in advancing One Health through transdisciplinary research. The authors argue that complex health challenges at the human-animal-environment interface require integrated approaches that transcend disciplinary boundaries. They identify institutional barriers such as siloed structures, limited funding models, and insufficient training in collaboration. The paper highlights strategies to build capacity, including curriculum reform, cross-sector partnerships, and supportive leadership. Case examples illustrate how universities can foster transdisciplinary collaboration. The authors conclude that academic institutions play a critical role in enabling One Health approaches and must evolve structurally and culturally to address global health challenges effectively through integrated, systems-oriented research and education.</w:t>
            </w:r>
          </w:p>
        </w:tc>
      </w:tr>
      <w:tr w:rsidR="00EB4ED6" w:rsidRPr="00732EED" w14:paraId="00668333"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2D8BB8FF" w14:textId="77777777" w:rsidR="00C964C9" w:rsidRPr="00732EED" w:rsidRDefault="00C964C9" w:rsidP="009746D6">
            <w:pPr>
              <w:jc w:val="right"/>
              <w:rPr>
                <w:color w:val="000000"/>
                <w:sz w:val="18"/>
                <w:szCs w:val="18"/>
              </w:rPr>
            </w:pPr>
            <w:r w:rsidRPr="00732EED">
              <w:rPr>
                <w:color w:val="000000"/>
                <w:sz w:val="18"/>
                <w:szCs w:val="18"/>
              </w:rPr>
              <w:t>2</w:t>
            </w:r>
          </w:p>
        </w:tc>
        <w:tc>
          <w:tcPr>
            <w:tcW w:w="1377" w:type="pct"/>
            <w:hideMark/>
          </w:tcPr>
          <w:p w14:paraId="6444E866"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9" w:tgtFrame="_new" w:history="1">
              <w:r w:rsidR="00C964C9" w:rsidRPr="00732EED">
                <w:rPr>
                  <w:color w:val="467886"/>
                  <w:sz w:val="18"/>
                  <w:szCs w:val="18"/>
                </w:rPr>
                <w:t>Andersen AH, Assing Hvidt E, Huniche L et al (2021) Why we suffer? Existential challenges of patients with chronic illness: a Kierkegaardian inspired interpretative phenomenological analysis. J Humanist Psychol. https://doi.org/10.1177/00221678211002439</w:t>
              </w:r>
            </w:hyperlink>
          </w:p>
        </w:tc>
        <w:tc>
          <w:tcPr>
            <w:tcW w:w="631" w:type="pct"/>
            <w:hideMark/>
          </w:tcPr>
          <w:p w14:paraId="4294821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Interpretative phenomenological analysis (IPA) using qualitative interviews with chronic illness patients.</w:t>
            </w:r>
          </w:p>
        </w:tc>
        <w:tc>
          <w:tcPr>
            <w:tcW w:w="621" w:type="pct"/>
            <w:hideMark/>
          </w:tcPr>
          <w:p w14:paraId="5650BCC5"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Existential philosophy (Kierkegaard) combined with phenomenology.</w:t>
            </w:r>
          </w:p>
        </w:tc>
        <w:tc>
          <w:tcPr>
            <w:tcW w:w="763" w:type="pct"/>
            <w:hideMark/>
          </w:tcPr>
          <w:p w14:paraId="7266C5C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Qualitative study using IPA.</w:t>
            </w:r>
          </w:p>
        </w:tc>
        <w:tc>
          <w:tcPr>
            <w:tcW w:w="1460" w:type="pct"/>
            <w:hideMark/>
          </w:tcPr>
          <w:p w14:paraId="6BBE58E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investigates existential suffering among individuals with chronic illness using a Kierkegaardian interpretative phenomenological approach. Through in-depth interviews, the authors explore how patients experience meaning, despair, and identity disruption. Findings reveal that suffering extends beyond physical symptoms to include existential concerns such as loss of self, uncertainty, and isolation. Patients grapple with questions of meaning and purpose, often experiencing tension between acceptance and resistance. The Kierkegaardian lens helps interpret these experiences as fundamental aspects of human existence rather than merely pathological responses. The study emphasizes the importance of addressing existential dimensions in healthcare, suggesting that holistic care should incorporate meaning-making and psychological support alongside medical treatment for chronic illness.</w:t>
            </w:r>
          </w:p>
        </w:tc>
      </w:tr>
      <w:tr w:rsidR="00EB4ED6" w:rsidRPr="00732EED" w14:paraId="6B8F6E85"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77C3DBD2" w14:textId="77777777" w:rsidR="00C964C9" w:rsidRPr="00732EED" w:rsidRDefault="00C964C9" w:rsidP="009746D6">
            <w:pPr>
              <w:jc w:val="right"/>
              <w:rPr>
                <w:color w:val="000000"/>
                <w:sz w:val="18"/>
                <w:szCs w:val="18"/>
              </w:rPr>
            </w:pPr>
            <w:r w:rsidRPr="00732EED">
              <w:rPr>
                <w:color w:val="000000"/>
                <w:sz w:val="18"/>
                <w:szCs w:val="18"/>
              </w:rPr>
              <w:t>3</w:t>
            </w:r>
          </w:p>
        </w:tc>
        <w:tc>
          <w:tcPr>
            <w:tcW w:w="1377" w:type="pct"/>
            <w:hideMark/>
          </w:tcPr>
          <w:p w14:paraId="2FD4EC25"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0" w:tgtFrame="_new" w:history="1">
              <w:r w:rsidR="00C964C9" w:rsidRPr="00732EED">
                <w:rPr>
                  <w:color w:val="467886"/>
                  <w:sz w:val="18"/>
                  <w:szCs w:val="18"/>
                </w:rPr>
                <w:t>Austin CJ (2016) The ontology of organisms: mechanistic modules or patterned processes? Biol Philos 31:639–662. https://doi.org/10.1007/s10539-016-9533-3</w:t>
              </w:r>
            </w:hyperlink>
          </w:p>
        </w:tc>
        <w:tc>
          <w:tcPr>
            <w:tcW w:w="631" w:type="pct"/>
            <w:hideMark/>
          </w:tcPr>
          <w:p w14:paraId="16741C0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Philosophical analysis comparing mechanistic and process-based accounts of organisms.</w:t>
            </w:r>
          </w:p>
        </w:tc>
        <w:tc>
          <w:tcPr>
            <w:tcW w:w="621" w:type="pct"/>
            <w:hideMark/>
          </w:tcPr>
          <w:p w14:paraId="7F6461E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Philosophy of biology; process ontology vs mechanistic ontology.</w:t>
            </w:r>
          </w:p>
        </w:tc>
        <w:tc>
          <w:tcPr>
            <w:tcW w:w="763" w:type="pct"/>
            <w:hideMark/>
          </w:tcPr>
          <w:p w14:paraId="490BE20F"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Theoretical paper.</w:t>
            </w:r>
          </w:p>
        </w:tc>
        <w:tc>
          <w:tcPr>
            <w:tcW w:w="1460" w:type="pct"/>
            <w:hideMark/>
          </w:tcPr>
          <w:p w14:paraId="67EC33E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Austin examines competing ontological perspectives on organisms, contrasting mechanistic modular views with process-based approaches. The paper critiques the idea that organisms can be fully understood as assemblies of discrete parts, arguing instead that they are dynamic, temporally extended </w:t>
            </w:r>
            <w:r w:rsidRPr="00732EED">
              <w:rPr>
                <w:color w:val="000000"/>
                <w:sz w:val="18"/>
                <w:szCs w:val="18"/>
              </w:rPr>
              <w:lastRenderedPageBreak/>
              <w:t>processes. By analyzing biological organization, development, and function, the author shows that process ontology better captures the fluid and integrated nature of living systems. This perspective emphasizes change, interaction, and continuity over static structure. The paper contributes to ongoing debates in philosophy of biology by clarifying conceptual foundations and suggesting that process-oriented frameworks offer a more accurate and coherent account of organismal identity and persistence across time.</w:t>
            </w:r>
          </w:p>
        </w:tc>
      </w:tr>
      <w:tr w:rsidR="00EB4ED6" w:rsidRPr="00732EED" w14:paraId="7185BE9E"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88FC319" w14:textId="77777777" w:rsidR="00C964C9" w:rsidRPr="00732EED" w:rsidRDefault="00C964C9" w:rsidP="009746D6">
            <w:pPr>
              <w:jc w:val="right"/>
              <w:rPr>
                <w:color w:val="000000"/>
                <w:sz w:val="18"/>
                <w:szCs w:val="18"/>
              </w:rPr>
            </w:pPr>
            <w:r w:rsidRPr="00732EED">
              <w:rPr>
                <w:color w:val="000000"/>
                <w:sz w:val="18"/>
                <w:szCs w:val="18"/>
              </w:rPr>
              <w:lastRenderedPageBreak/>
              <w:t>4</w:t>
            </w:r>
          </w:p>
        </w:tc>
        <w:tc>
          <w:tcPr>
            <w:tcW w:w="1377" w:type="pct"/>
            <w:hideMark/>
          </w:tcPr>
          <w:p w14:paraId="3E3C8DBE" w14:textId="77777777" w:rsidR="00C964C9" w:rsidRPr="00732EED" w:rsidRDefault="00C964C9" w:rsidP="00EB4E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Balogun-Mwangi O, Matsumoto A, Ballou M et al (2016) </w:t>
            </w:r>
            <w:r w:rsidRPr="00732EED">
              <w:rPr>
                <w:i/>
                <w:iCs/>
                <w:color w:val="000000"/>
                <w:sz w:val="18"/>
                <w:szCs w:val="18"/>
              </w:rPr>
              <w:t>Women’s pain, women’s voices: using the feminist ecological model and a participatory action research approach in developing a group curriculum for chronic pain</w:t>
            </w:r>
            <w:r w:rsidRPr="00732EED">
              <w:rPr>
                <w:color w:val="000000"/>
                <w:sz w:val="18"/>
                <w:szCs w:val="18"/>
              </w:rPr>
              <w:t xml:space="preserve">. J </w:t>
            </w:r>
            <w:proofErr w:type="spellStart"/>
            <w:r w:rsidRPr="00732EED">
              <w:rPr>
                <w:color w:val="000000"/>
                <w:sz w:val="18"/>
                <w:szCs w:val="18"/>
              </w:rPr>
              <w:t>Ethnogr</w:t>
            </w:r>
            <w:proofErr w:type="spellEnd"/>
            <w:r w:rsidRPr="00732EED">
              <w:rPr>
                <w:color w:val="000000"/>
                <w:sz w:val="18"/>
                <w:szCs w:val="18"/>
              </w:rPr>
              <w:t xml:space="preserve"> Qual Res 11:1–16.</w:t>
            </w:r>
          </w:p>
        </w:tc>
        <w:tc>
          <w:tcPr>
            <w:tcW w:w="631" w:type="pct"/>
            <w:hideMark/>
          </w:tcPr>
          <w:p w14:paraId="34168F03"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Participatory action research (PAR) with qualitative methods (group discussions, co-design of curriculum).</w:t>
            </w:r>
          </w:p>
        </w:tc>
        <w:tc>
          <w:tcPr>
            <w:tcW w:w="621" w:type="pct"/>
            <w:hideMark/>
          </w:tcPr>
          <w:p w14:paraId="60792986"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Feminist ecological model; participatory research; empowerment theory.</w:t>
            </w:r>
          </w:p>
        </w:tc>
        <w:tc>
          <w:tcPr>
            <w:tcW w:w="763" w:type="pct"/>
            <w:hideMark/>
          </w:tcPr>
          <w:p w14:paraId="233AE5C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PAR-based intervention development study.</w:t>
            </w:r>
          </w:p>
        </w:tc>
        <w:tc>
          <w:tcPr>
            <w:tcW w:w="1460" w:type="pct"/>
            <w:hideMark/>
          </w:tcPr>
          <w:p w14:paraId="258EC76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uses participatory action research to develop a group curriculum for women with chronic pain, guided by a feminist ecological framework. Participants actively contributed their experiences and insights, shaping the intervention content. The findings highlight how social, cultural, and gendered factors influence pain experiences and access to care. The curriculum emphasizes empowerment, peer support, and addressing systemic inequities. The participatory approach enabled participants to voice their needs and co-create meaningful solutions. The study demonstrates that integrating feminist theory with PAR can produce more inclusive and context-sensitive interventions, ultimately improving engagement and relevance for marginalized populations experiencing chronic pain.</w:t>
            </w:r>
          </w:p>
        </w:tc>
      </w:tr>
      <w:tr w:rsidR="00EB4ED6" w:rsidRPr="00732EED" w14:paraId="546478B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2EEB6AD" w14:textId="77777777" w:rsidR="00C964C9" w:rsidRPr="00732EED" w:rsidRDefault="00C964C9" w:rsidP="009746D6">
            <w:pPr>
              <w:jc w:val="right"/>
              <w:rPr>
                <w:color w:val="000000"/>
                <w:sz w:val="18"/>
                <w:szCs w:val="18"/>
              </w:rPr>
            </w:pPr>
            <w:r w:rsidRPr="00732EED">
              <w:rPr>
                <w:color w:val="000000"/>
                <w:sz w:val="18"/>
                <w:szCs w:val="18"/>
              </w:rPr>
              <w:t>5</w:t>
            </w:r>
          </w:p>
        </w:tc>
        <w:tc>
          <w:tcPr>
            <w:tcW w:w="1377" w:type="pct"/>
            <w:hideMark/>
          </w:tcPr>
          <w:p w14:paraId="0AE2C751"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1" w:tgtFrame="_new" w:history="1">
              <w:r w:rsidR="00C964C9" w:rsidRPr="00732EED">
                <w:rPr>
                  <w:color w:val="467886"/>
                  <w:sz w:val="18"/>
                  <w:szCs w:val="18"/>
                </w:rPr>
                <w:t>Canella C, Braun C, Witt CM (2024) Developing a digital mind body medicine supportive care intervention for people with amyotrophic lateral sclerosis using stakeholder engagement and design thinking. Digit Health 10. https://doi.org/10.1177/20552076241255928</w:t>
              </w:r>
            </w:hyperlink>
          </w:p>
        </w:tc>
        <w:tc>
          <w:tcPr>
            <w:tcW w:w="631" w:type="pct"/>
            <w:hideMark/>
          </w:tcPr>
          <w:p w14:paraId="3905384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Design thinking and stakeholder engagement methods; iterative co-design process.</w:t>
            </w:r>
          </w:p>
        </w:tc>
        <w:tc>
          <w:tcPr>
            <w:tcW w:w="621" w:type="pct"/>
            <w:hideMark/>
          </w:tcPr>
          <w:p w14:paraId="184DE5ED"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Mind-body medicine; user-centered design; digital health innovation.</w:t>
            </w:r>
          </w:p>
        </w:tc>
        <w:tc>
          <w:tcPr>
            <w:tcW w:w="763" w:type="pct"/>
            <w:hideMark/>
          </w:tcPr>
          <w:p w14:paraId="7F7A638D"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Applied development study using co-design.</w:t>
            </w:r>
          </w:p>
        </w:tc>
        <w:tc>
          <w:tcPr>
            <w:tcW w:w="1460" w:type="pct"/>
            <w:hideMark/>
          </w:tcPr>
          <w:p w14:paraId="154A09B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describes the development of a digital mind-body medicine intervention for individuals with amyotrophic lateral sclerosis (ALS). Using design thinking and stakeholder engagement, patients, caregivers, and clinicians collaborated to shape the intervention. The process emphasized usability, accessibility, and relevance to the unique challenges of ALS. The resulting program integrates mindfulness, relaxation, and supportive care elements delivered through digital platforms. Findings highlight the importance of co-design in creating patient-centered interventions and addressing barriers such as physical limitations and disease progression. The study demonstrates how combining mind-body medicine with digital innovation can enhance supportive care for individuals with complex, progressive conditions like ALS.</w:t>
            </w:r>
          </w:p>
        </w:tc>
      </w:tr>
      <w:tr w:rsidR="00EB4ED6" w:rsidRPr="00732EED" w14:paraId="2B14D586"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2D7700C2" w14:textId="77777777" w:rsidR="00C964C9" w:rsidRPr="00732EED" w:rsidRDefault="00C964C9" w:rsidP="009746D6">
            <w:pPr>
              <w:jc w:val="right"/>
              <w:rPr>
                <w:color w:val="000000"/>
                <w:sz w:val="18"/>
                <w:szCs w:val="18"/>
              </w:rPr>
            </w:pPr>
            <w:r w:rsidRPr="00732EED">
              <w:rPr>
                <w:color w:val="000000"/>
                <w:sz w:val="18"/>
                <w:szCs w:val="18"/>
              </w:rPr>
              <w:lastRenderedPageBreak/>
              <w:t>6</w:t>
            </w:r>
          </w:p>
        </w:tc>
        <w:tc>
          <w:tcPr>
            <w:tcW w:w="1377" w:type="pct"/>
            <w:hideMark/>
          </w:tcPr>
          <w:p w14:paraId="4964DFE1"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2" w:tgtFrame="_new" w:history="1">
              <w:r w:rsidR="00C964C9" w:rsidRPr="00732EED">
                <w:rPr>
                  <w:color w:val="467886"/>
                  <w:sz w:val="18"/>
                  <w:szCs w:val="18"/>
                </w:rPr>
                <w:t>Ciesielski TH, Aldrich MC, Marsit CJ et al (2017) Transdisciplinary approaches enhance the production of translational knowledge. Transl Res 182:123–134. https://doi.org/10.1016/j.trsl.2016.11.002</w:t>
              </w:r>
            </w:hyperlink>
          </w:p>
        </w:tc>
        <w:tc>
          <w:tcPr>
            <w:tcW w:w="631" w:type="pct"/>
            <w:hideMark/>
          </w:tcPr>
          <w:p w14:paraId="3DED8691"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Literature-based analysis with illustrative examples from translational research.</w:t>
            </w:r>
          </w:p>
        </w:tc>
        <w:tc>
          <w:tcPr>
            <w:tcW w:w="621" w:type="pct"/>
            <w:hideMark/>
          </w:tcPr>
          <w:p w14:paraId="5C503B9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Translational science and transdisciplinary research theory.</w:t>
            </w:r>
          </w:p>
        </w:tc>
        <w:tc>
          <w:tcPr>
            <w:tcW w:w="763" w:type="pct"/>
            <w:hideMark/>
          </w:tcPr>
          <w:p w14:paraId="0D0C1F8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Narrative review/perspective paper.</w:t>
            </w:r>
          </w:p>
        </w:tc>
        <w:tc>
          <w:tcPr>
            <w:tcW w:w="1460" w:type="pct"/>
            <w:hideMark/>
          </w:tcPr>
          <w:p w14:paraId="25222C93"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paper argues that transdisciplinary approaches enhance the generation of translational knowledge by integrating perspectives across disciplines. The authors highlight how complex health problems require collaborative frameworks that move beyond traditional disciplinary boundaries. They identify core elements of successful transdisciplinary work, including shared conceptual models, effective communication, and institutional support. Case examples demonstrate how such approaches accelerate the application of scientific discoveries into clinical and public health practice. The paper also discusses barriers such as funding limitations and disciplinary silos. It concludes that fostering transdisciplinary collaboration is essential for improving the efficiency and impact of translational research and ultimately advancing health outcomes.</w:t>
            </w:r>
          </w:p>
        </w:tc>
      </w:tr>
      <w:tr w:rsidR="00EB4ED6" w:rsidRPr="00732EED" w14:paraId="2FEA329E"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9505284" w14:textId="77777777" w:rsidR="00C964C9" w:rsidRPr="00732EED" w:rsidRDefault="00C964C9" w:rsidP="009746D6">
            <w:pPr>
              <w:jc w:val="right"/>
              <w:rPr>
                <w:color w:val="000000"/>
                <w:sz w:val="18"/>
                <w:szCs w:val="18"/>
              </w:rPr>
            </w:pPr>
            <w:r w:rsidRPr="00732EED">
              <w:rPr>
                <w:color w:val="000000"/>
                <w:sz w:val="18"/>
                <w:szCs w:val="18"/>
              </w:rPr>
              <w:t>7</w:t>
            </w:r>
          </w:p>
        </w:tc>
        <w:tc>
          <w:tcPr>
            <w:tcW w:w="1377" w:type="pct"/>
            <w:hideMark/>
          </w:tcPr>
          <w:p w14:paraId="797A6DD0"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3" w:tgtFrame="_new" w:history="1">
              <w:r w:rsidR="00C964C9" w:rsidRPr="00732EED">
                <w:rPr>
                  <w:color w:val="467886"/>
                  <w:sz w:val="18"/>
                  <w:szCs w:val="18"/>
                </w:rPr>
                <w:t>Collins SE, Clifasefi SL, Stanton J S et al (2018) Community-based participatory research (CBPR): towards equitable involvement of community in psychology research. Am Psychol 73:884–898. https://doi.org/10.1037/amp0000167</w:t>
              </w:r>
            </w:hyperlink>
          </w:p>
        </w:tc>
        <w:tc>
          <w:tcPr>
            <w:tcW w:w="631" w:type="pct"/>
            <w:hideMark/>
          </w:tcPr>
          <w:p w14:paraId="68D3B8ED"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Review and synthesis of CBPR principles and applications.</w:t>
            </w:r>
          </w:p>
        </w:tc>
        <w:tc>
          <w:tcPr>
            <w:tcW w:w="621" w:type="pct"/>
            <w:hideMark/>
          </w:tcPr>
          <w:p w14:paraId="1D6A396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Community-based participatory research; equity and social justice frameworks.</w:t>
            </w:r>
          </w:p>
        </w:tc>
        <w:tc>
          <w:tcPr>
            <w:tcW w:w="763" w:type="pct"/>
            <w:hideMark/>
          </w:tcPr>
          <w:p w14:paraId="0F2843E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w:t>
            </w:r>
          </w:p>
        </w:tc>
        <w:tc>
          <w:tcPr>
            <w:tcW w:w="1460" w:type="pct"/>
            <w:hideMark/>
          </w:tcPr>
          <w:p w14:paraId="16C21D49"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article examines community-based participatory research (CBPR) as an approach to ensuring equitable community involvement in psychological research. The authors outline principles such as shared decision-making, co-learning, and mutual benefit. CBPR is presented as a means to address power imbalances between researchers and communities, leading to more relevant and impactful outcomes. The paper provides examples demonstrating how CBPR improves intervention design and implementation. Challenges include resource demands and sustaining partnerships. The authors conclude that CBPR is essential for advancing socially just research practices and recommend its broader integration into psychology to enhance the relevance, inclusivity, and effectiveness of research addressing community needs.</w:t>
            </w:r>
          </w:p>
        </w:tc>
      </w:tr>
      <w:tr w:rsidR="00EB4ED6" w:rsidRPr="00732EED" w14:paraId="6023186D"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6A49A9C" w14:textId="77777777" w:rsidR="00C964C9" w:rsidRPr="00732EED" w:rsidRDefault="00C964C9" w:rsidP="009746D6">
            <w:pPr>
              <w:jc w:val="right"/>
              <w:rPr>
                <w:color w:val="000000"/>
                <w:sz w:val="18"/>
                <w:szCs w:val="18"/>
              </w:rPr>
            </w:pPr>
            <w:r w:rsidRPr="00732EED">
              <w:rPr>
                <w:color w:val="000000"/>
                <w:sz w:val="18"/>
                <w:szCs w:val="18"/>
              </w:rPr>
              <w:t>8</w:t>
            </w:r>
          </w:p>
        </w:tc>
        <w:tc>
          <w:tcPr>
            <w:tcW w:w="1377" w:type="pct"/>
            <w:hideMark/>
          </w:tcPr>
          <w:p w14:paraId="33CC29E4"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4" w:tgtFrame="_new" w:history="1">
              <w:r w:rsidR="00C964C9" w:rsidRPr="00732EED">
                <w:rPr>
                  <w:color w:val="467886"/>
                  <w:sz w:val="18"/>
                  <w:szCs w:val="18"/>
                </w:rPr>
                <w:t>Dupré J (2017) The metaphysics of evolution. Interface Focus 7:20160148. https://doi.org/10.1098/rsfs.2016.0148</w:t>
              </w:r>
            </w:hyperlink>
          </w:p>
        </w:tc>
        <w:tc>
          <w:tcPr>
            <w:tcW w:w="631" w:type="pct"/>
            <w:hideMark/>
          </w:tcPr>
          <w:p w14:paraId="3A6FD3C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Philosophical analysis drawing on evolutionary biology literature.</w:t>
            </w:r>
          </w:p>
        </w:tc>
        <w:tc>
          <w:tcPr>
            <w:tcW w:w="621" w:type="pct"/>
            <w:hideMark/>
          </w:tcPr>
          <w:p w14:paraId="6F1CBC8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Process philosophy; metaphysics of biology.</w:t>
            </w:r>
          </w:p>
        </w:tc>
        <w:tc>
          <w:tcPr>
            <w:tcW w:w="763" w:type="pct"/>
            <w:hideMark/>
          </w:tcPr>
          <w:p w14:paraId="3C7A7B1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Theoretical/conceptual paper.</w:t>
            </w:r>
          </w:p>
        </w:tc>
        <w:tc>
          <w:tcPr>
            <w:tcW w:w="1460" w:type="pct"/>
            <w:hideMark/>
          </w:tcPr>
          <w:p w14:paraId="41CFE8C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Dupré explores the metaphysical implications of evolutionary theory, arguing for a process-based understanding of life. He critiques static, substance-based ontologies and proposes that organisms are better understood as dynamic, evolving processes. The paper examines how evolutionary change challenges traditional notions of identity and individuality. By integrating philosophical and biological perspectives, Dupré highlights the importance of temporality, interaction, and transformation in defining living </w:t>
            </w:r>
            <w:r w:rsidRPr="00732EED">
              <w:rPr>
                <w:color w:val="000000"/>
                <w:sz w:val="18"/>
                <w:szCs w:val="18"/>
              </w:rPr>
              <w:lastRenderedPageBreak/>
              <w:t>systems. This process-oriented view aligns with contemporary developments in biology and provides a more coherent framework for understanding evolution. The work contributes to ongoing debates in philosophy of biology, offering a perspective that emphasizes fluidity and interconnectedness over fixed structures.</w:t>
            </w:r>
          </w:p>
        </w:tc>
      </w:tr>
      <w:tr w:rsidR="00EB4ED6" w:rsidRPr="00732EED" w14:paraId="07EDBF3A"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D6CF586" w14:textId="77777777" w:rsidR="00C964C9" w:rsidRPr="00732EED" w:rsidRDefault="00C964C9" w:rsidP="009746D6">
            <w:pPr>
              <w:jc w:val="right"/>
              <w:rPr>
                <w:color w:val="000000"/>
                <w:sz w:val="18"/>
                <w:szCs w:val="18"/>
              </w:rPr>
            </w:pPr>
            <w:r w:rsidRPr="00732EED">
              <w:rPr>
                <w:color w:val="000000"/>
                <w:sz w:val="18"/>
                <w:szCs w:val="18"/>
              </w:rPr>
              <w:lastRenderedPageBreak/>
              <w:t>9</w:t>
            </w:r>
          </w:p>
        </w:tc>
        <w:tc>
          <w:tcPr>
            <w:tcW w:w="1377" w:type="pct"/>
            <w:hideMark/>
          </w:tcPr>
          <w:p w14:paraId="1813ED0D"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5" w:tgtFrame="_new" w:history="1">
              <w:r w:rsidR="00C964C9" w:rsidRPr="00732EED">
                <w:rPr>
                  <w:color w:val="467886"/>
                  <w:sz w:val="18"/>
                  <w:szCs w:val="18"/>
                </w:rPr>
                <w:t>Dupuis S, McAiney C, Loiselle L et al (2021) Use of participatory action research approach to develop a self-management resource for persons living with dementia. Dementia 20:2393–2411. https://doi.org/10.1177/1471301221997281</w:t>
              </w:r>
            </w:hyperlink>
          </w:p>
        </w:tc>
        <w:tc>
          <w:tcPr>
            <w:tcW w:w="631" w:type="pct"/>
            <w:hideMark/>
          </w:tcPr>
          <w:p w14:paraId="4F79B74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Participatory action research involving people with dementia, caregivers, and professionals; qualitative methods.</w:t>
            </w:r>
          </w:p>
        </w:tc>
        <w:tc>
          <w:tcPr>
            <w:tcW w:w="621" w:type="pct"/>
            <w:hideMark/>
          </w:tcPr>
          <w:p w14:paraId="0B7826E9"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PAR and person-centered care frameworks.</w:t>
            </w:r>
          </w:p>
        </w:tc>
        <w:tc>
          <w:tcPr>
            <w:tcW w:w="763" w:type="pct"/>
            <w:hideMark/>
          </w:tcPr>
          <w:p w14:paraId="1B797A82"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Empirical PAR study.</w:t>
            </w:r>
          </w:p>
        </w:tc>
        <w:tc>
          <w:tcPr>
            <w:tcW w:w="1460" w:type="pct"/>
            <w:hideMark/>
          </w:tcPr>
          <w:p w14:paraId="1E5D9A1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uses participatory action research to develop a self-management resource for individuals living with dementia. Participants, including patients and caregivers, were actively involved in all phases of the research process. The findings show that co-creation enhances the relevance, usability, and acceptance of interventions. The resulting resource supports autonomy and daily functioning while addressing cognitive limitations. The study highlights the importance of adapting participatory methods to ensure meaningful inclusion of people with dementia. It concludes that PAR is a valuable approach for creating person-centered resources, fostering empowerment, and improving the quality of care for individuals with dementia.</w:t>
            </w:r>
          </w:p>
        </w:tc>
      </w:tr>
      <w:tr w:rsidR="00EB4ED6" w:rsidRPr="00732EED" w14:paraId="3908E318"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6CDB723" w14:textId="77777777" w:rsidR="00C964C9" w:rsidRPr="00732EED" w:rsidRDefault="00C964C9" w:rsidP="009746D6">
            <w:pPr>
              <w:jc w:val="right"/>
              <w:rPr>
                <w:color w:val="000000"/>
                <w:sz w:val="18"/>
                <w:szCs w:val="18"/>
              </w:rPr>
            </w:pPr>
            <w:r w:rsidRPr="00732EED">
              <w:rPr>
                <w:color w:val="000000"/>
                <w:sz w:val="18"/>
                <w:szCs w:val="18"/>
              </w:rPr>
              <w:t>10</w:t>
            </w:r>
          </w:p>
        </w:tc>
        <w:tc>
          <w:tcPr>
            <w:tcW w:w="1377" w:type="pct"/>
            <w:hideMark/>
          </w:tcPr>
          <w:p w14:paraId="5CF793DA"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6" w:tgtFrame="_new" w:history="1">
              <w:r w:rsidR="00C964C9" w:rsidRPr="00732EED">
                <w:rPr>
                  <w:color w:val="467886"/>
                  <w:sz w:val="18"/>
                  <w:szCs w:val="18"/>
                </w:rPr>
                <w:t>Dwarswaard J, Bakker EJM, van Staa A et al (2016) Self-management support from the perspective of patients with a chronic condition: a thematic synthesis of qualitative studies. Health Expect 21:194–208. https://doi.org/10.1111/hex.12346</w:t>
              </w:r>
            </w:hyperlink>
          </w:p>
        </w:tc>
        <w:tc>
          <w:tcPr>
            <w:tcW w:w="631" w:type="pct"/>
            <w:hideMark/>
          </w:tcPr>
          <w:p w14:paraId="20EFFFB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Thematic synthesis of qualitative studies.</w:t>
            </w:r>
          </w:p>
        </w:tc>
        <w:tc>
          <w:tcPr>
            <w:tcW w:w="621" w:type="pct"/>
            <w:hideMark/>
          </w:tcPr>
          <w:p w14:paraId="3232E4E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Patient-centered care and self-management theory.</w:t>
            </w:r>
          </w:p>
        </w:tc>
        <w:tc>
          <w:tcPr>
            <w:tcW w:w="763" w:type="pct"/>
            <w:hideMark/>
          </w:tcPr>
          <w:p w14:paraId="65854E2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Qualitative systematic review (thematic synthesis).</w:t>
            </w:r>
          </w:p>
        </w:tc>
        <w:tc>
          <w:tcPr>
            <w:tcW w:w="1460" w:type="pct"/>
            <w:hideMark/>
          </w:tcPr>
          <w:p w14:paraId="4615451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synthesizes qualitative research on self-management support from the perspectives of patients with chronic conditions. Key themes include the need for individualized support, shared decision-making, and recognition of patients’ lived experiences. Patients value collaborative relationships with healthcare providers and support that integrates into their daily lives. Barriers such as fragmented care and poor communication are also identified. The findings emphasize that effective self-management support extends beyond providing information to include emotional and social support. The study concludes that healthcare systems should adopt more patient-centered approaches to better meet the complex needs of individuals managing chronic illnesses.</w:t>
            </w:r>
          </w:p>
        </w:tc>
      </w:tr>
      <w:tr w:rsidR="00EB4ED6" w:rsidRPr="00732EED" w14:paraId="2DCE5618"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24FCD1BC" w14:textId="77777777" w:rsidR="00C964C9" w:rsidRPr="00732EED" w:rsidRDefault="00C964C9" w:rsidP="009746D6">
            <w:pPr>
              <w:jc w:val="right"/>
              <w:rPr>
                <w:color w:val="000000"/>
                <w:sz w:val="18"/>
                <w:szCs w:val="18"/>
              </w:rPr>
            </w:pPr>
            <w:r w:rsidRPr="00732EED">
              <w:rPr>
                <w:color w:val="000000"/>
                <w:sz w:val="18"/>
                <w:szCs w:val="18"/>
              </w:rPr>
              <w:t>11</w:t>
            </w:r>
          </w:p>
        </w:tc>
        <w:tc>
          <w:tcPr>
            <w:tcW w:w="1377" w:type="pct"/>
            <w:hideMark/>
          </w:tcPr>
          <w:p w14:paraId="1206CDC0"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7" w:tgtFrame="_new" w:history="1">
              <w:r w:rsidR="00C964C9" w:rsidRPr="00732EED">
                <w:rPr>
                  <w:color w:val="467886"/>
                  <w:sz w:val="18"/>
                  <w:szCs w:val="18"/>
                </w:rPr>
                <w:t>Fontana L, Fasano A, Chong YS et al (2021) Transdisciplinary research and clinical priorities for better health. PLoS Med 18:e1003699. https://doi.org/10.1371/journal.pmed.1003699</w:t>
              </w:r>
            </w:hyperlink>
          </w:p>
        </w:tc>
        <w:tc>
          <w:tcPr>
            <w:tcW w:w="631" w:type="pct"/>
            <w:hideMark/>
          </w:tcPr>
          <w:p w14:paraId="2A0FF7EC"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Perspective drawing on examples from clinical and public health research.</w:t>
            </w:r>
          </w:p>
        </w:tc>
        <w:tc>
          <w:tcPr>
            <w:tcW w:w="621" w:type="pct"/>
            <w:hideMark/>
          </w:tcPr>
          <w:p w14:paraId="41A6E2E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Transdisciplinary research; systems thinking in health.</w:t>
            </w:r>
          </w:p>
        </w:tc>
        <w:tc>
          <w:tcPr>
            <w:tcW w:w="763" w:type="pct"/>
            <w:hideMark/>
          </w:tcPr>
          <w:p w14:paraId="3A5BFE1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Perspective/commentary paper.</w:t>
            </w:r>
          </w:p>
        </w:tc>
        <w:tc>
          <w:tcPr>
            <w:tcW w:w="1460" w:type="pct"/>
            <w:hideMark/>
          </w:tcPr>
          <w:p w14:paraId="7630162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paper discusses the importance of transdisciplinary research in addressing complex health challenges. The authors argue that integrating knowledge across disciplines and sectors is essential for developing effective clinical and public health solutions. They highlight how current research structures often hinder collaboration and limit impact. The paper proposes </w:t>
            </w:r>
            <w:r w:rsidRPr="00732EED">
              <w:rPr>
                <w:color w:val="000000"/>
                <w:sz w:val="18"/>
                <w:szCs w:val="18"/>
              </w:rPr>
              <w:lastRenderedPageBreak/>
              <w:t>strategies to align research priorities with real-world health needs, including fostering partnerships between academia, healthcare, and communities. It emphasizes the role of systems thinking in understanding health as a multifaceted phenomenon. The authors conclude that transdisciplinary approaches are critical for improving health outcomes and call for structural changes in research funding and organization to support collaborative, impact-driven science.</w:t>
            </w:r>
          </w:p>
        </w:tc>
      </w:tr>
      <w:tr w:rsidR="00EB4ED6" w:rsidRPr="00732EED" w14:paraId="58CF6800"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5FC9A9AA" w14:textId="77777777" w:rsidR="00C964C9" w:rsidRPr="00732EED" w:rsidRDefault="00C964C9" w:rsidP="009746D6">
            <w:pPr>
              <w:jc w:val="right"/>
              <w:rPr>
                <w:color w:val="000000"/>
                <w:sz w:val="18"/>
                <w:szCs w:val="18"/>
              </w:rPr>
            </w:pPr>
            <w:r w:rsidRPr="00732EED">
              <w:rPr>
                <w:color w:val="000000"/>
                <w:sz w:val="18"/>
                <w:szCs w:val="18"/>
              </w:rPr>
              <w:lastRenderedPageBreak/>
              <w:t>12</w:t>
            </w:r>
          </w:p>
        </w:tc>
        <w:tc>
          <w:tcPr>
            <w:tcW w:w="1377" w:type="pct"/>
            <w:hideMark/>
          </w:tcPr>
          <w:p w14:paraId="567EBB85"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8" w:tgtFrame="_new" w:history="1">
              <w:r w:rsidR="00C964C9" w:rsidRPr="00732EED">
                <w:rPr>
                  <w:color w:val="467886"/>
                  <w:sz w:val="18"/>
                  <w:szCs w:val="18"/>
                </w:rPr>
                <w:t>Guttinger S (2018) A process ontology for macromolecular biology. In: Nicholson DJ, Dupré J (eds) Everything flows: towards a processual philosophy of biology. Oxford University Press. https://doi.org/10.1093/oso/9780198779636.003.0015</w:t>
              </w:r>
            </w:hyperlink>
          </w:p>
        </w:tc>
        <w:tc>
          <w:tcPr>
            <w:tcW w:w="631" w:type="pct"/>
            <w:hideMark/>
          </w:tcPr>
          <w:p w14:paraId="56ECB236"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Philosophical analysis informed by molecular biology.</w:t>
            </w:r>
          </w:p>
        </w:tc>
        <w:tc>
          <w:tcPr>
            <w:tcW w:w="621" w:type="pct"/>
            <w:hideMark/>
          </w:tcPr>
          <w:p w14:paraId="517D93B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Process ontology in philosophy of biology.</w:t>
            </w:r>
          </w:p>
        </w:tc>
        <w:tc>
          <w:tcPr>
            <w:tcW w:w="763" w:type="pct"/>
            <w:hideMark/>
          </w:tcPr>
          <w:p w14:paraId="5999967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Theoretical book chapter.</w:t>
            </w:r>
          </w:p>
        </w:tc>
        <w:tc>
          <w:tcPr>
            <w:tcW w:w="1460" w:type="pct"/>
            <w:hideMark/>
          </w:tcPr>
          <w:p w14:paraId="742F61F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sidRPr="00732EED">
              <w:rPr>
                <w:color w:val="000000"/>
                <w:sz w:val="18"/>
                <w:szCs w:val="18"/>
              </w:rPr>
              <w:t>Guttinger</w:t>
            </w:r>
            <w:proofErr w:type="spellEnd"/>
            <w:r w:rsidRPr="00732EED">
              <w:rPr>
                <w:color w:val="000000"/>
                <w:sz w:val="18"/>
                <w:szCs w:val="18"/>
              </w:rPr>
              <w:t xml:space="preserve"> develops a process ontology framework for understanding macromolecular biology, arguing that biological entities such as proteins should be conceptualized as dynamic processes rather than static structures. The chapter critiques traditional substance-based ontologies and highlights the importance of temporal and functional dynamics in biological systems. By examining molecular interactions and regulatory mechanisms, the author demonstrates how a process perspective better captures the complexity of biological organization. This approach aligns with contemporary developments in systems biology and emphasizes the fluid, context-dependent nature of biological phenomena. The chapter contributes to philosophical debates by offering a refined conceptual framework that bridges molecular biology and process philosophy.</w:t>
            </w:r>
          </w:p>
        </w:tc>
      </w:tr>
      <w:tr w:rsidR="00EB4ED6" w:rsidRPr="00732EED" w14:paraId="299C0D59"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27D5A54A" w14:textId="77777777" w:rsidR="00C964C9" w:rsidRPr="00732EED" w:rsidRDefault="00C964C9" w:rsidP="009746D6">
            <w:pPr>
              <w:jc w:val="right"/>
              <w:rPr>
                <w:color w:val="000000"/>
                <w:sz w:val="18"/>
                <w:szCs w:val="18"/>
              </w:rPr>
            </w:pPr>
            <w:r w:rsidRPr="00732EED">
              <w:rPr>
                <w:color w:val="000000"/>
                <w:sz w:val="18"/>
                <w:szCs w:val="18"/>
              </w:rPr>
              <w:t>13</w:t>
            </w:r>
          </w:p>
        </w:tc>
        <w:tc>
          <w:tcPr>
            <w:tcW w:w="1377" w:type="pct"/>
            <w:hideMark/>
          </w:tcPr>
          <w:p w14:paraId="4A32C0D4"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9" w:tgtFrame="_new" w:history="1">
              <w:r w:rsidR="00C964C9" w:rsidRPr="00732EED">
                <w:rPr>
                  <w:color w:val="467886"/>
                  <w:sz w:val="18"/>
                  <w:szCs w:val="18"/>
                </w:rPr>
                <w:t>Harkin D, Coates V, Brown D (2022) Exploring ways to enhance pain management for older people with dementia in acute care settings using a participatory action research approach. Int J Older People Nurs 17:e12487. https://doi.org/10.1111/opn.12487</w:t>
              </w:r>
            </w:hyperlink>
          </w:p>
        </w:tc>
        <w:tc>
          <w:tcPr>
            <w:tcW w:w="631" w:type="pct"/>
            <w:hideMark/>
          </w:tcPr>
          <w:p w14:paraId="181C60A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Participatory action research with healthcare staff; qualitative data collection (interviews, workshops).</w:t>
            </w:r>
          </w:p>
        </w:tc>
        <w:tc>
          <w:tcPr>
            <w:tcW w:w="621" w:type="pct"/>
            <w:hideMark/>
          </w:tcPr>
          <w:p w14:paraId="13B4C62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PAR and person-centered care; geriatric pain management.</w:t>
            </w:r>
          </w:p>
        </w:tc>
        <w:tc>
          <w:tcPr>
            <w:tcW w:w="763" w:type="pct"/>
            <w:hideMark/>
          </w:tcPr>
          <w:p w14:paraId="1921A33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Empirical PAR study.</w:t>
            </w:r>
          </w:p>
        </w:tc>
        <w:tc>
          <w:tcPr>
            <w:tcW w:w="1460" w:type="pct"/>
            <w:hideMark/>
          </w:tcPr>
          <w:p w14:paraId="3A7EB2BF"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uses participatory action research to improve pain management for older adults with dementia in acute care settings. Healthcare professionals collaborated to identify challenges and co-develop solutions. Findings highlight barriers such as communication difficulties, limited training, and organizational constraints. The participatory process enabled staff to reflect on practice and implement changes tailored to their context. Improvements included enhanced assessment strategies and increased awareness of non-verbal pain indicators. The study demonstrates that PAR can facilitate practice change and improve care quality by engaging practitioners directly. It concludes that collaborative, context-sensitive approaches are essential for addressing complex care needs in vulnerable populations.</w:t>
            </w:r>
          </w:p>
        </w:tc>
      </w:tr>
      <w:tr w:rsidR="00EB4ED6" w:rsidRPr="00732EED" w14:paraId="3BBCB99E"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2B8DF81" w14:textId="77777777" w:rsidR="00C964C9" w:rsidRPr="00732EED" w:rsidRDefault="00C964C9" w:rsidP="009746D6">
            <w:pPr>
              <w:jc w:val="right"/>
              <w:rPr>
                <w:color w:val="000000"/>
                <w:sz w:val="18"/>
                <w:szCs w:val="18"/>
              </w:rPr>
            </w:pPr>
            <w:r w:rsidRPr="00732EED">
              <w:rPr>
                <w:color w:val="000000"/>
                <w:sz w:val="18"/>
                <w:szCs w:val="18"/>
              </w:rPr>
              <w:lastRenderedPageBreak/>
              <w:t>14</w:t>
            </w:r>
          </w:p>
        </w:tc>
        <w:tc>
          <w:tcPr>
            <w:tcW w:w="1377" w:type="pct"/>
            <w:hideMark/>
          </w:tcPr>
          <w:p w14:paraId="69633F56"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20" w:tgtFrame="_new" w:history="1">
              <w:r w:rsidR="00C964C9" w:rsidRPr="00732EED">
                <w:rPr>
                  <w:color w:val="467886"/>
                  <w:sz w:val="18"/>
                  <w:szCs w:val="18"/>
                </w:rPr>
                <w:t>Hilton L, Hempel S, Ewing BA et al (2017) Mindfulness meditation for chronic pain: systematic review and meta-analysis. Ann Behav Med 51:199–213. https://doi.org/10.1007/s12160-016-9844-2</w:t>
              </w:r>
            </w:hyperlink>
          </w:p>
        </w:tc>
        <w:tc>
          <w:tcPr>
            <w:tcW w:w="631" w:type="pct"/>
            <w:hideMark/>
          </w:tcPr>
          <w:p w14:paraId="1F81C08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Systematic review and meta-analysis of randomized controlled trials.</w:t>
            </w:r>
          </w:p>
        </w:tc>
        <w:tc>
          <w:tcPr>
            <w:tcW w:w="621" w:type="pct"/>
            <w:hideMark/>
          </w:tcPr>
          <w:p w14:paraId="4FC3BF4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Mindfulness-based intervention theory; pain management frameworks.</w:t>
            </w:r>
          </w:p>
        </w:tc>
        <w:tc>
          <w:tcPr>
            <w:tcW w:w="763" w:type="pct"/>
            <w:hideMark/>
          </w:tcPr>
          <w:p w14:paraId="238ED905"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Quantitative systematic review and meta-analysis.</w:t>
            </w:r>
          </w:p>
        </w:tc>
        <w:tc>
          <w:tcPr>
            <w:tcW w:w="1460" w:type="pct"/>
            <w:hideMark/>
          </w:tcPr>
          <w:p w14:paraId="3A286BC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evaluates the effectiveness of mindfulness meditation for chronic pain through a systematic review and meta-analysis of randomized controlled trials. The findings indicate that mindfulness interventions are associated with small to moderate improvements in pain, depression, and quality of life. However, the authors note variability in study quality and intervention design. The review highlights methodological limitations, including heterogeneity and risk of bias, which affect the strength of conclusions. Despite these limitations, the evidence supports mindfulness as a promising non-pharmacological approach to chronic pain management. The authors recommend further high-quality trials to better understand mechanisms, optimize interventions, and strengthen the evidence base for clinical application.</w:t>
            </w:r>
          </w:p>
        </w:tc>
      </w:tr>
      <w:tr w:rsidR="00EB4ED6" w:rsidRPr="00732EED" w14:paraId="5173FFC3"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229BEEF" w14:textId="77777777" w:rsidR="00C964C9" w:rsidRPr="00732EED" w:rsidRDefault="00C964C9" w:rsidP="009746D6">
            <w:pPr>
              <w:jc w:val="right"/>
              <w:rPr>
                <w:color w:val="000000"/>
                <w:sz w:val="18"/>
                <w:szCs w:val="18"/>
              </w:rPr>
            </w:pPr>
            <w:r w:rsidRPr="00732EED">
              <w:rPr>
                <w:color w:val="000000"/>
                <w:sz w:val="18"/>
                <w:szCs w:val="18"/>
              </w:rPr>
              <w:t>15</w:t>
            </w:r>
          </w:p>
        </w:tc>
        <w:tc>
          <w:tcPr>
            <w:tcW w:w="1377" w:type="pct"/>
            <w:hideMark/>
          </w:tcPr>
          <w:p w14:paraId="268EBD2E"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21" w:tgtFrame="_new" w:history="1">
              <w:r w:rsidR="00C964C9" w:rsidRPr="00732EED">
                <w:rPr>
                  <w:color w:val="467886"/>
                  <w:sz w:val="18"/>
                  <w:szCs w:val="18"/>
                </w:rPr>
                <w:t>Hoehndorf R, Schofield PN, Gkoutos GV (2015) The role of ontologies in biological and biomedical research: a functional perspective. Brief Bioinform 16:1069–1080. https://doi.org/10.1093/bib/bbv011</w:t>
              </w:r>
            </w:hyperlink>
          </w:p>
        </w:tc>
        <w:tc>
          <w:tcPr>
            <w:tcW w:w="631" w:type="pct"/>
            <w:hideMark/>
          </w:tcPr>
          <w:p w14:paraId="4CFC45D5"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Literature review of ontology use in biomedical research.</w:t>
            </w:r>
          </w:p>
        </w:tc>
        <w:tc>
          <w:tcPr>
            <w:tcW w:w="621" w:type="pct"/>
            <w:hideMark/>
          </w:tcPr>
          <w:p w14:paraId="050FD81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Ontology theory in bioinformatics; knowledge representation.</w:t>
            </w:r>
          </w:p>
        </w:tc>
        <w:tc>
          <w:tcPr>
            <w:tcW w:w="763" w:type="pct"/>
            <w:hideMark/>
          </w:tcPr>
          <w:p w14:paraId="4BE1D0C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w:t>
            </w:r>
          </w:p>
        </w:tc>
        <w:tc>
          <w:tcPr>
            <w:tcW w:w="1460" w:type="pct"/>
            <w:hideMark/>
          </w:tcPr>
          <w:p w14:paraId="31136E1C"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paper reviews the role of ontologies in biological and biomedical research from a functional perspective. The authors examine how ontologies support data integration, interoperability, and knowledge discovery. They discuss applications in areas such as genomics, disease classification, and clinical decision support. The paper highlights the importance of formalized vocabularies for managing complex and heterogeneous data. Challenges include ontology alignment, scalability, and maintenance. The authors argue that ontologies are essential tools for advancing biomedical research by enabling more efficient data sharing and analysis. The study concludes that continued development and standardization of ontologies will be critical for supporting future scientific and clinical innovations.</w:t>
            </w:r>
          </w:p>
        </w:tc>
      </w:tr>
      <w:tr w:rsidR="00EB4ED6" w:rsidRPr="00732EED" w14:paraId="74036AD9"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A27C2A4" w14:textId="77777777" w:rsidR="00C964C9" w:rsidRPr="00732EED" w:rsidRDefault="00C964C9" w:rsidP="009746D6">
            <w:pPr>
              <w:jc w:val="right"/>
              <w:rPr>
                <w:color w:val="000000"/>
                <w:sz w:val="18"/>
                <w:szCs w:val="18"/>
              </w:rPr>
            </w:pPr>
            <w:r w:rsidRPr="00732EED">
              <w:rPr>
                <w:color w:val="000000"/>
                <w:sz w:val="18"/>
                <w:szCs w:val="18"/>
              </w:rPr>
              <w:t>16</w:t>
            </w:r>
          </w:p>
        </w:tc>
        <w:tc>
          <w:tcPr>
            <w:tcW w:w="1377" w:type="pct"/>
            <w:hideMark/>
          </w:tcPr>
          <w:p w14:paraId="1262EF83"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22" w:tgtFrame="_new" w:history="1">
              <w:r w:rsidR="00C964C9" w:rsidRPr="00732EED">
                <w:rPr>
                  <w:color w:val="467886"/>
                  <w:sz w:val="18"/>
                  <w:szCs w:val="18"/>
                </w:rPr>
                <w:t>Holkup PA, Tripp-Reimer T, Salois EM (2004) Community-based participatory research: an approach to intervention research with a Native American community. ANS Adv Nurs Sci 27:162–175. https://doi.org/10.1097/00012272-200407000-00002</w:t>
              </w:r>
            </w:hyperlink>
          </w:p>
        </w:tc>
        <w:tc>
          <w:tcPr>
            <w:tcW w:w="631" w:type="pct"/>
            <w:hideMark/>
          </w:tcPr>
          <w:p w14:paraId="788B3793"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Participatory action research with a Native American community; qualitative and collaborative methods.</w:t>
            </w:r>
          </w:p>
        </w:tc>
        <w:tc>
          <w:tcPr>
            <w:tcW w:w="621" w:type="pct"/>
            <w:hideMark/>
          </w:tcPr>
          <w:p w14:paraId="0FDFEB15"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Community-based participatory research (CBPR); cultural competence; empowerment.</w:t>
            </w:r>
          </w:p>
        </w:tc>
        <w:tc>
          <w:tcPr>
            <w:tcW w:w="763" w:type="pct"/>
            <w:hideMark/>
          </w:tcPr>
          <w:p w14:paraId="1C4A2EAB"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Empirical PAR study.</w:t>
            </w:r>
          </w:p>
        </w:tc>
        <w:tc>
          <w:tcPr>
            <w:tcW w:w="1460" w:type="pct"/>
            <w:hideMark/>
          </w:tcPr>
          <w:p w14:paraId="64ED05C6"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study describes the use of community-based participatory research (CBPR) in developing interventions with a Native American community. The authors emphasize the importance of culturally appropriate methods and equitable partnerships between researchers and community members. The CBPR approach facilitated trust, mutual learning, and community engagement throughout the research process. Findings highlight how incorporating local knowledge and cultural values </w:t>
            </w:r>
            <w:r w:rsidRPr="00732EED">
              <w:rPr>
                <w:color w:val="000000"/>
                <w:sz w:val="18"/>
                <w:szCs w:val="18"/>
              </w:rPr>
              <w:lastRenderedPageBreak/>
              <w:t>improves the relevance and effectiveness of interventions. The study also discusses challenges such as balancing scientific rigor with community priorities. It concludes that CBPR is a valuable approach for addressing health disparities and promoting culturally responsive research and interventions in marginalized communities.</w:t>
            </w:r>
          </w:p>
        </w:tc>
      </w:tr>
      <w:tr w:rsidR="00EB4ED6" w:rsidRPr="00732EED" w14:paraId="014B442E"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4226F294" w14:textId="77777777" w:rsidR="00C964C9" w:rsidRPr="00732EED" w:rsidRDefault="00C964C9" w:rsidP="009746D6">
            <w:pPr>
              <w:jc w:val="right"/>
              <w:rPr>
                <w:color w:val="000000"/>
                <w:sz w:val="18"/>
                <w:szCs w:val="18"/>
              </w:rPr>
            </w:pPr>
            <w:r w:rsidRPr="00732EED">
              <w:rPr>
                <w:color w:val="000000"/>
                <w:sz w:val="18"/>
                <w:szCs w:val="18"/>
              </w:rPr>
              <w:lastRenderedPageBreak/>
              <w:t>17</w:t>
            </w:r>
          </w:p>
        </w:tc>
        <w:tc>
          <w:tcPr>
            <w:tcW w:w="1377" w:type="pct"/>
            <w:hideMark/>
          </w:tcPr>
          <w:p w14:paraId="6B34F965"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23" w:tgtFrame="_new" w:history="1">
              <w:r w:rsidR="00C964C9" w:rsidRPr="00732EED">
                <w:rPr>
                  <w:color w:val="467886"/>
                  <w:sz w:val="18"/>
                  <w:szCs w:val="18"/>
                </w:rPr>
                <w:t>Hudon C, Fortin M, Haggerty J (2012) Patient-centered care in chronic disease management: a thematic analysis of the literature in family medicine. Patient Educ Couns 88:170–176. https://doi.org/10.1016/j.pec.2012.01.009</w:t>
              </w:r>
            </w:hyperlink>
          </w:p>
        </w:tc>
        <w:tc>
          <w:tcPr>
            <w:tcW w:w="631" w:type="pct"/>
            <w:hideMark/>
          </w:tcPr>
          <w:p w14:paraId="6A508B8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Thematic analysis of existing literature.</w:t>
            </w:r>
          </w:p>
        </w:tc>
        <w:tc>
          <w:tcPr>
            <w:tcW w:w="621" w:type="pct"/>
            <w:hideMark/>
          </w:tcPr>
          <w:p w14:paraId="2F05B35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Patient-centered care; chronic disease management.</w:t>
            </w:r>
          </w:p>
        </w:tc>
        <w:tc>
          <w:tcPr>
            <w:tcW w:w="763" w:type="pct"/>
            <w:hideMark/>
          </w:tcPr>
          <w:p w14:paraId="08BE6076"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 with thematic analysis.</w:t>
            </w:r>
          </w:p>
        </w:tc>
        <w:tc>
          <w:tcPr>
            <w:tcW w:w="1460" w:type="pct"/>
            <w:hideMark/>
          </w:tcPr>
          <w:p w14:paraId="0A873D6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paper analyzes the concept of patient-centered care in chronic disease management within family medicine. The authors identify key components, including understanding patient perspectives, shared decision-making, and continuity of care. The analysis highlights the importance of tailoring care to individual needs and fostering strong patient-provider relationships. Barriers such as time constraints and system-level limitations are also discussed. The study emphasizes that patient-centered care improves satisfaction, adherence, and health outcomes. It concludes that healthcare systems should prioritize patient-centered approaches and address structural challenges to effectively support individuals living with chronic conditions.</w:t>
            </w:r>
          </w:p>
        </w:tc>
      </w:tr>
      <w:tr w:rsidR="00EB4ED6" w:rsidRPr="00732EED" w14:paraId="13DB3692"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3F834F2F" w14:textId="77777777" w:rsidR="00C964C9" w:rsidRPr="00732EED" w:rsidRDefault="00C964C9" w:rsidP="009746D6">
            <w:pPr>
              <w:jc w:val="right"/>
              <w:rPr>
                <w:color w:val="000000"/>
                <w:sz w:val="18"/>
                <w:szCs w:val="18"/>
              </w:rPr>
            </w:pPr>
            <w:r w:rsidRPr="00732EED">
              <w:rPr>
                <w:color w:val="000000"/>
                <w:sz w:val="18"/>
                <w:szCs w:val="18"/>
              </w:rPr>
              <w:t>18</w:t>
            </w:r>
          </w:p>
        </w:tc>
        <w:tc>
          <w:tcPr>
            <w:tcW w:w="1377" w:type="pct"/>
            <w:hideMark/>
          </w:tcPr>
          <w:p w14:paraId="2B8199F0"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24" w:tgtFrame="_new" w:history="1">
              <w:r w:rsidR="00C964C9" w:rsidRPr="00732EED">
                <w:rPr>
                  <w:color w:val="467886"/>
                  <w:sz w:val="18"/>
                  <w:szCs w:val="18"/>
                </w:rPr>
                <w:t>Israel BA, Coombe CM, Cheezum RR et al (2010) Community-based participatory research: a capacity-building approach for policy advocacy aimed at eliminating health disparities. Am J Public Health 100:2094–2102. https://doi.org/10.2105/AJPH.2009.170506</w:t>
              </w:r>
            </w:hyperlink>
          </w:p>
        </w:tc>
        <w:tc>
          <w:tcPr>
            <w:tcW w:w="631" w:type="pct"/>
            <w:hideMark/>
          </w:tcPr>
          <w:p w14:paraId="25FB65A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CBPR approach with focus on policy advocacy; mixed qualitative insights from projects.</w:t>
            </w:r>
          </w:p>
        </w:tc>
        <w:tc>
          <w:tcPr>
            <w:tcW w:w="621" w:type="pct"/>
            <w:hideMark/>
          </w:tcPr>
          <w:p w14:paraId="38778CD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CBPR; health equity; policy advocacy frameworks.</w:t>
            </w:r>
          </w:p>
        </w:tc>
        <w:tc>
          <w:tcPr>
            <w:tcW w:w="763" w:type="pct"/>
            <w:hideMark/>
          </w:tcPr>
          <w:p w14:paraId="5D63C1E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Empirical and conceptual hybrid.</w:t>
            </w:r>
          </w:p>
        </w:tc>
        <w:tc>
          <w:tcPr>
            <w:tcW w:w="1460" w:type="pct"/>
            <w:hideMark/>
          </w:tcPr>
          <w:p w14:paraId="571320B9"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article explores how community-based participatory research (CBPR) can be used to build capacity for policy advocacy aimed at reducing health disparities. The authors present examples where community-academic partnerships influenced policy change. CBPR is shown to empower communities by enhancing skills, knowledge, and leadership. The approach fosters collaboration and strengthens the relevance of research for addressing systemic inequities. Challenges include sustaining partnerships and navigating political contexts. The study concludes that CBPR is a powerful tool for linking research with action, enabling communities to advocate for policies that address the root causes of health disparities and promote social justice.</w:t>
            </w:r>
          </w:p>
        </w:tc>
      </w:tr>
      <w:tr w:rsidR="00EB4ED6" w:rsidRPr="00732EED" w14:paraId="598CD0C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BC93EF4" w14:textId="77777777" w:rsidR="00C964C9" w:rsidRPr="00732EED" w:rsidRDefault="00C964C9" w:rsidP="009746D6">
            <w:pPr>
              <w:jc w:val="right"/>
              <w:rPr>
                <w:color w:val="000000"/>
                <w:sz w:val="18"/>
                <w:szCs w:val="18"/>
              </w:rPr>
            </w:pPr>
            <w:r w:rsidRPr="00732EED">
              <w:rPr>
                <w:color w:val="000000"/>
                <w:sz w:val="18"/>
                <w:szCs w:val="18"/>
              </w:rPr>
              <w:t>19</w:t>
            </w:r>
          </w:p>
        </w:tc>
        <w:tc>
          <w:tcPr>
            <w:tcW w:w="1377" w:type="pct"/>
            <w:hideMark/>
          </w:tcPr>
          <w:p w14:paraId="5280EE28"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25" w:tgtFrame="_new" w:history="1">
              <w:r w:rsidR="00C964C9" w:rsidRPr="00732EED">
                <w:rPr>
                  <w:color w:val="467886"/>
                  <w:sz w:val="18"/>
                  <w:szCs w:val="18"/>
                </w:rPr>
                <w:t>Jing X, Min H, Gong Y et al (2023) Ontologies applied in clinical decision support system rules: systematic review. JMIR Med Inform 11:e43053. https://doi.org/10.2196/43053</w:t>
              </w:r>
            </w:hyperlink>
          </w:p>
        </w:tc>
        <w:tc>
          <w:tcPr>
            <w:tcW w:w="631" w:type="pct"/>
            <w:hideMark/>
          </w:tcPr>
          <w:p w14:paraId="373D545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Systematic review of studies on ontology </w:t>
            </w:r>
            <w:proofErr w:type="gramStart"/>
            <w:r w:rsidRPr="00732EED">
              <w:rPr>
                <w:color w:val="000000"/>
                <w:sz w:val="18"/>
                <w:szCs w:val="18"/>
              </w:rPr>
              <w:t>use</w:t>
            </w:r>
            <w:proofErr w:type="gramEnd"/>
            <w:r w:rsidRPr="00732EED">
              <w:rPr>
                <w:color w:val="000000"/>
                <w:sz w:val="18"/>
                <w:szCs w:val="18"/>
              </w:rPr>
              <w:t xml:space="preserve"> in clinical decision support systems (CDSS).</w:t>
            </w:r>
          </w:p>
        </w:tc>
        <w:tc>
          <w:tcPr>
            <w:tcW w:w="621" w:type="pct"/>
            <w:hideMark/>
          </w:tcPr>
          <w:p w14:paraId="46DA59D6"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Ontology-based knowledge representation; clinical informatics.</w:t>
            </w:r>
          </w:p>
        </w:tc>
        <w:tc>
          <w:tcPr>
            <w:tcW w:w="763" w:type="pct"/>
            <w:hideMark/>
          </w:tcPr>
          <w:p w14:paraId="41B54FB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Systematic review.</w:t>
            </w:r>
          </w:p>
        </w:tc>
        <w:tc>
          <w:tcPr>
            <w:tcW w:w="1460" w:type="pct"/>
            <w:hideMark/>
          </w:tcPr>
          <w:p w14:paraId="63C00BAD"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study systematically reviews the application of ontologies in clinical decision support systems (CDSS). The findings show that ontologies enhance the structure, interoperability, and scalability of decision rules in healthcare systems. They facilitate standardized knowledge representation, enabling more accurate and consistent clinical decision-making. The review </w:t>
            </w:r>
            <w:r w:rsidRPr="00732EED">
              <w:rPr>
                <w:color w:val="000000"/>
                <w:sz w:val="18"/>
                <w:szCs w:val="18"/>
              </w:rPr>
              <w:lastRenderedPageBreak/>
              <w:t>identifies various ontology frameworks and their applications across medical domains. Challenges include complexity of implementation, integration with existing systems, and maintenance. The authors conclude that ontology-based approaches hold significant promise for improving CDSS performance but require further development to address practical and technical barriers in real-world healthcare settings.</w:t>
            </w:r>
          </w:p>
        </w:tc>
      </w:tr>
      <w:tr w:rsidR="00EB4ED6" w:rsidRPr="00732EED" w14:paraId="108DAD77"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0A322F79" w14:textId="77777777" w:rsidR="00C964C9" w:rsidRPr="00732EED" w:rsidRDefault="00C964C9" w:rsidP="009746D6">
            <w:pPr>
              <w:jc w:val="right"/>
              <w:rPr>
                <w:color w:val="000000"/>
                <w:sz w:val="18"/>
                <w:szCs w:val="18"/>
              </w:rPr>
            </w:pPr>
            <w:r w:rsidRPr="00732EED">
              <w:rPr>
                <w:color w:val="000000"/>
                <w:sz w:val="18"/>
                <w:szCs w:val="18"/>
              </w:rPr>
              <w:lastRenderedPageBreak/>
              <w:t>20</w:t>
            </w:r>
          </w:p>
        </w:tc>
        <w:tc>
          <w:tcPr>
            <w:tcW w:w="1377" w:type="pct"/>
            <w:hideMark/>
          </w:tcPr>
          <w:p w14:paraId="4253EBE1"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26" w:tgtFrame="_new" w:history="1">
              <w:r w:rsidR="00C964C9" w:rsidRPr="00732EED">
                <w:rPr>
                  <w:color w:val="467886"/>
                  <w:sz w:val="18"/>
                  <w:szCs w:val="18"/>
                </w:rPr>
                <w:t>Johnson MI, Page K, Woodall J (2024) Perspectives on community-based system change for people living with persistent pain: insights from developing the “Rethinking Pain service”. Front Pain Res 5:1299027. https://doi.org/10.3389/fpain.2024.1299027</w:t>
              </w:r>
            </w:hyperlink>
          </w:p>
        </w:tc>
        <w:tc>
          <w:tcPr>
            <w:tcW w:w="631" w:type="pct"/>
            <w:hideMark/>
          </w:tcPr>
          <w:p w14:paraId="288CF60C"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Qualitative insights from service development; stakeholder perspectives.</w:t>
            </w:r>
          </w:p>
        </w:tc>
        <w:tc>
          <w:tcPr>
            <w:tcW w:w="621" w:type="pct"/>
            <w:hideMark/>
          </w:tcPr>
          <w:p w14:paraId="42C805F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Community-based health systems; biopsychosocial pain model.</w:t>
            </w:r>
          </w:p>
        </w:tc>
        <w:tc>
          <w:tcPr>
            <w:tcW w:w="763" w:type="pct"/>
            <w:hideMark/>
          </w:tcPr>
          <w:p w14:paraId="0E9AE719"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Applied qualitative study/perspective.</w:t>
            </w:r>
          </w:p>
        </w:tc>
        <w:tc>
          <w:tcPr>
            <w:tcW w:w="1460" w:type="pct"/>
            <w:hideMark/>
          </w:tcPr>
          <w:p w14:paraId="67A06D4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paper presents insights from the development of the “Rethinking Pain” service, a community-based initiative for individuals with persistent pain. Drawing on stakeholder perspectives, the study highlights the importance of system-level change in addressing chronic pain. The approach emphasizes education, self-management, and integration of services across sectors. Findings suggest that shifting from biomedical to biopsychosocial models improves patient engagement and outcomes. Challenges include organizational barriers and resistance to change. The study concludes that community-based, integrated approaches are essential for effective pain management and calls for broader adoption of system-level innovations to address persistent pain.</w:t>
            </w:r>
          </w:p>
        </w:tc>
      </w:tr>
      <w:tr w:rsidR="00EB4ED6" w:rsidRPr="00732EED" w14:paraId="3CC1C4E7"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26447231" w14:textId="77777777" w:rsidR="00C964C9" w:rsidRPr="00732EED" w:rsidRDefault="00C964C9" w:rsidP="009746D6">
            <w:pPr>
              <w:jc w:val="right"/>
              <w:rPr>
                <w:color w:val="000000"/>
                <w:sz w:val="18"/>
                <w:szCs w:val="18"/>
              </w:rPr>
            </w:pPr>
            <w:r w:rsidRPr="00732EED">
              <w:rPr>
                <w:color w:val="000000"/>
                <w:sz w:val="18"/>
                <w:szCs w:val="18"/>
              </w:rPr>
              <w:t>21</w:t>
            </w:r>
          </w:p>
        </w:tc>
        <w:tc>
          <w:tcPr>
            <w:tcW w:w="1377" w:type="pct"/>
            <w:hideMark/>
          </w:tcPr>
          <w:p w14:paraId="2ADD91FA"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27" w:tgtFrame="_new" w:history="1">
              <w:r w:rsidR="00C964C9" w:rsidRPr="00732EED">
                <w:rPr>
                  <w:color w:val="467886"/>
                  <w:sz w:val="18"/>
                  <w:szCs w:val="18"/>
                </w:rPr>
                <w:t>Kearney M, Rieppel O (2023) A process ontology of organisms and its connection to biological individuality concepts. Org Divers Evol 23:1–6. https://doi.org/10.1007/s13127-022-00584-6</w:t>
              </w:r>
            </w:hyperlink>
          </w:p>
        </w:tc>
        <w:tc>
          <w:tcPr>
            <w:tcW w:w="631" w:type="pct"/>
            <w:hideMark/>
          </w:tcPr>
          <w:p w14:paraId="1135E4F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Philosophical analysis engaging with biological theory.</w:t>
            </w:r>
          </w:p>
        </w:tc>
        <w:tc>
          <w:tcPr>
            <w:tcW w:w="621" w:type="pct"/>
            <w:hideMark/>
          </w:tcPr>
          <w:p w14:paraId="5B9C78B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Process ontology; biological individuality concepts.</w:t>
            </w:r>
          </w:p>
        </w:tc>
        <w:tc>
          <w:tcPr>
            <w:tcW w:w="763" w:type="pct"/>
            <w:hideMark/>
          </w:tcPr>
          <w:p w14:paraId="1CD0FBA6"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Theoretical/conceptual paper.</w:t>
            </w:r>
          </w:p>
        </w:tc>
        <w:tc>
          <w:tcPr>
            <w:tcW w:w="1460" w:type="pct"/>
            <w:hideMark/>
          </w:tcPr>
          <w:p w14:paraId="1852D4F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paper examines how a process ontology perspective informs concepts of biological individuality. The authors argue that organisms should be understood as dynamic processes rather than static entities, which has implications for defining individuality in biology. They explore how evolutionary, developmental, and ecological processes shape organismal identity. The process perspective challenges traditional criteria for individuality, such as genetic homogeneity or physical boundaries. Instead, it emphasizes continuity, interaction, and relational organization. The paper contributes to philosophical and biological debates by proposing a more flexible and biologically realistic understanding of individuality. It concludes that process ontology provides a valuable framework for addressing conceptual challenges in evolutionary and organismal biology.</w:t>
            </w:r>
          </w:p>
        </w:tc>
      </w:tr>
      <w:tr w:rsidR="00EB4ED6" w:rsidRPr="00732EED" w14:paraId="24C6FC73"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0ABA755" w14:textId="77777777" w:rsidR="00C964C9" w:rsidRPr="00732EED" w:rsidRDefault="00C964C9" w:rsidP="009746D6">
            <w:pPr>
              <w:jc w:val="right"/>
              <w:rPr>
                <w:color w:val="000000"/>
                <w:sz w:val="18"/>
                <w:szCs w:val="18"/>
              </w:rPr>
            </w:pPr>
            <w:r w:rsidRPr="00732EED">
              <w:rPr>
                <w:color w:val="000000"/>
                <w:sz w:val="18"/>
                <w:szCs w:val="18"/>
              </w:rPr>
              <w:t>22</w:t>
            </w:r>
          </w:p>
        </w:tc>
        <w:tc>
          <w:tcPr>
            <w:tcW w:w="1377" w:type="pct"/>
            <w:hideMark/>
          </w:tcPr>
          <w:p w14:paraId="043F6AC8"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28" w:tgtFrame="_new" w:history="1">
              <w:r w:rsidR="00C964C9" w:rsidRPr="00732EED">
                <w:rPr>
                  <w:color w:val="467886"/>
                  <w:sz w:val="18"/>
                  <w:szCs w:val="18"/>
                </w:rPr>
                <w:t xml:space="preserve">Keng SL, Smoski MJ, Robins CJ (2011) Effects of mindfulness on psychological health: a review of empirical studies. Clin Psychol Rev </w:t>
              </w:r>
              <w:r w:rsidR="00C964C9" w:rsidRPr="00732EED">
                <w:rPr>
                  <w:color w:val="467886"/>
                  <w:sz w:val="18"/>
                  <w:szCs w:val="18"/>
                </w:rPr>
                <w:lastRenderedPageBreak/>
                <w:t>31:1041–1056. https://doi.org/10.1016/j.cpr.2011.04.006</w:t>
              </w:r>
            </w:hyperlink>
          </w:p>
        </w:tc>
        <w:tc>
          <w:tcPr>
            <w:tcW w:w="631" w:type="pct"/>
            <w:hideMark/>
          </w:tcPr>
          <w:p w14:paraId="0FF03AB9"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Review of empirical studies on </w:t>
            </w:r>
            <w:r w:rsidRPr="00732EED">
              <w:rPr>
                <w:color w:val="000000"/>
                <w:sz w:val="18"/>
                <w:szCs w:val="18"/>
              </w:rPr>
              <w:lastRenderedPageBreak/>
              <w:t>mindfulness interventions.</w:t>
            </w:r>
          </w:p>
        </w:tc>
        <w:tc>
          <w:tcPr>
            <w:tcW w:w="621" w:type="pct"/>
            <w:hideMark/>
          </w:tcPr>
          <w:p w14:paraId="0E098A4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Mindfulness theory; psychological health frameworks.</w:t>
            </w:r>
          </w:p>
        </w:tc>
        <w:tc>
          <w:tcPr>
            <w:tcW w:w="763" w:type="pct"/>
            <w:hideMark/>
          </w:tcPr>
          <w:p w14:paraId="1F0B5D34"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Narrative review.</w:t>
            </w:r>
          </w:p>
        </w:tc>
        <w:tc>
          <w:tcPr>
            <w:tcW w:w="1460" w:type="pct"/>
            <w:hideMark/>
          </w:tcPr>
          <w:p w14:paraId="12035455"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review examines the effects of mindfulness on psychological health across a range of empirical studies. The findings indicate that mindfulness-</w:t>
            </w:r>
            <w:r w:rsidRPr="00732EED">
              <w:rPr>
                <w:color w:val="000000"/>
                <w:sz w:val="18"/>
                <w:szCs w:val="18"/>
              </w:rPr>
              <w:lastRenderedPageBreak/>
              <w:t>based interventions are associated with improvements in symptoms of anxiety, depression, and stress, as well as enhanced well-being. The authors discuss potential mechanisms, including increased awareness, emotional regulation, and cognitive flexibility. Variability in intervention types and study designs is noted as a limitation. The paper highlights the growing evidence base supporting mindfulness in clinical and non-clinical populations. It concludes that mindfulness is a promising approach for improving psychological health, while emphasizing the need for more rigorous research to clarify mechanisms and optimize intervention design.</w:t>
            </w:r>
          </w:p>
        </w:tc>
      </w:tr>
      <w:tr w:rsidR="00EB4ED6" w:rsidRPr="00732EED" w14:paraId="6907E8C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0CF8AC4" w14:textId="77777777" w:rsidR="00C964C9" w:rsidRPr="00732EED" w:rsidRDefault="00C964C9" w:rsidP="009746D6">
            <w:pPr>
              <w:jc w:val="right"/>
              <w:rPr>
                <w:color w:val="000000"/>
                <w:sz w:val="18"/>
                <w:szCs w:val="18"/>
              </w:rPr>
            </w:pPr>
            <w:r w:rsidRPr="00732EED">
              <w:rPr>
                <w:color w:val="000000"/>
                <w:sz w:val="18"/>
                <w:szCs w:val="18"/>
              </w:rPr>
              <w:lastRenderedPageBreak/>
              <w:t>23</w:t>
            </w:r>
          </w:p>
        </w:tc>
        <w:tc>
          <w:tcPr>
            <w:tcW w:w="1377" w:type="pct"/>
            <w:hideMark/>
          </w:tcPr>
          <w:p w14:paraId="350B4384"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29" w:tgtFrame="_new" w:history="1">
              <w:r w:rsidR="00C964C9" w:rsidRPr="00732EED">
                <w:rPr>
                  <w:color w:val="467886"/>
                  <w:sz w:val="18"/>
                  <w:szCs w:val="18"/>
                </w:rPr>
                <w:t>Knudsen RK, Skovbjerg S, Pedersen EL et al (2024) Factors affecting implementation of mindfulness in hospital settings: a qualitative meta-synthesis of healthcare professionals’ experiences. Int J Nurs Stud Adv 6:100192. https://doi.org/10.1016/j.ijnsa.2024.100192</w:t>
              </w:r>
            </w:hyperlink>
          </w:p>
        </w:tc>
        <w:tc>
          <w:tcPr>
            <w:tcW w:w="631" w:type="pct"/>
            <w:hideMark/>
          </w:tcPr>
          <w:p w14:paraId="0C29EF4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meta-synthesis of healthcare professionals’ experiences.</w:t>
            </w:r>
          </w:p>
        </w:tc>
        <w:tc>
          <w:tcPr>
            <w:tcW w:w="621" w:type="pct"/>
            <w:hideMark/>
          </w:tcPr>
          <w:p w14:paraId="3FCD515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Implementation science; mindfulness in healthcare.</w:t>
            </w:r>
          </w:p>
        </w:tc>
        <w:tc>
          <w:tcPr>
            <w:tcW w:w="763" w:type="pct"/>
            <w:hideMark/>
          </w:tcPr>
          <w:p w14:paraId="42B6774C"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systematic review (meta-synthesis).</w:t>
            </w:r>
          </w:p>
        </w:tc>
        <w:tc>
          <w:tcPr>
            <w:tcW w:w="1460" w:type="pct"/>
            <w:hideMark/>
          </w:tcPr>
          <w:p w14:paraId="6D0B63F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synthesizes qualitative research on factors influencing the implementation of mindfulness interventions in hospital settings. The findings identify key facilitators, including leadership support, staff engagement, and alignment with organizational values. Barriers include time constraints, workload pressures, and limited training. Healthcare professionals emphasized the importance of adapting mindfulness programs to clinical contexts and ensuring practical relevance. The synthesis highlights tensions between institutional demands and the reflective nature of mindfulness practices. The study concludes that successful implementation requires organizational commitment, adequate resources, and integration into existing workflows. It provides insights for improving the adoption and sustainability of mindfulness interventions in healthcare environments.</w:t>
            </w:r>
          </w:p>
        </w:tc>
      </w:tr>
      <w:tr w:rsidR="00EB4ED6" w:rsidRPr="00732EED" w14:paraId="7CE13E18"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F791A17" w14:textId="77777777" w:rsidR="00C964C9" w:rsidRPr="00732EED" w:rsidRDefault="00C964C9" w:rsidP="009746D6">
            <w:pPr>
              <w:jc w:val="right"/>
              <w:rPr>
                <w:color w:val="000000"/>
                <w:sz w:val="18"/>
                <w:szCs w:val="18"/>
              </w:rPr>
            </w:pPr>
            <w:r w:rsidRPr="00732EED">
              <w:rPr>
                <w:color w:val="000000"/>
                <w:sz w:val="18"/>
                <w:szCs w:val="18"/>
              </w:rPr>
              <w:t>24</w:t>
            </w:r>
          </w:p>
        </w:tc>
        <w:tc>
          <w:tcPr>
            <w:tcW w:w="1377" w:type="pct"/>
            <w:hideMark/>
          </w:tcPr>
          <w:p w14:paraId="13EAC65D"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30" w:tgtFrame="_new" w:history="1">
              <w:r w:rsidR="00C964C9" w:rsidRPr="00732EED">
                <w:rPr>
                  <w:color w:val="467886"/>
                  <w:sz w:val="18"/>
                  <w:szCs w:val="18"/>
                </w:rPr>
                <w:t>Koutroufinis SA (2017) Organism, machine, process: towards a process ontology for organismic dynamics. Organisms J Biol Sci 1:23–44. https://doi.org/10.13133/2532-5876/13878</w:t>
              </w:r>
            </w:hyperlink>
          </w:p>
        </w:tc>
        <w:tc>
          <w:tcPr>
            <w:tcW w:w="631" w:type="pct"/>
            <w:hideMark/>
          </w:tcPr>
          <w:p w14:paraId="30C8A7B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Philosophical analysis comparing conceptual models of organisms.</w:t>
            </w:r>
          </w:p>
        </w:tc>
        <w:tc>
          <w:tcPr>
            <w:tcW w:w="621" w:type="pct"/>
            <w:hideMark/>
          </w:tcPr>
          <w:p w14:paraId="1CD7E23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Process ontology; philosophy of biology.</w:t>
            </w:r>
          </w:p>
        </w:tc>
        <w:tc>
          <w:tcPr>
            <w:tcW w:w="763" w:type="pct"/>
            <w:hideMark/>
          </w:tcPr>
          <w:p w14:paraId="210E28A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Theoretical paper.</w:t>
            </w:r>
          </w:p>
        </w:tc>
        <w:tc>
          <w:tcPr>
            <w:tcW w:w="1460" w:type="pct"/>
            <w:hideMark/>
          </w:tcPr>
          <w:p w14:paraId="373B66B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paper explores different conceptualizations of organisms, contrasting machine-like models with process-based approaches. </w:t>
            </w:r>
            <w:proofErr w:type="spellStart"/>
            <w:r w:rsidRPr="00732EED">
              <w:rPr>
                <w:color w:val="000000"/>
                <w:sz w:val="18"/>
                <w:szCs w:val="18"/>
              </w:rPr>
              <w:t>Koutroufinis</w:t>
            </w:r>
            <w:proofErr w:type="spellEnd"/>
            <w:r w:rsidRPr="00732EED">
              <w:rPr>
                <w:color w:val="000000"/>
                <w:sz w:val="18"/>
                <w:szCs w:val="18"/>
              </w:rPr>
              <w:t xml:space="preserve"> argues that organisms are best understood as dynamic, self-organizing processes rather than mechanical systems composed of discrete parts. The process ontology framework emphasizes development, metabolism, and interaction with the environment as central to organismal identity. The paper critiques reductionist perspectives and highlights the limitations of mechanistic explanations in capturing biological complexity. By integrating insights from biology and philosophy, the author </w:t>
            </w:r>
            <w:r w:rsidRPr="00732EED">
              <w:rPr>
                <w:color w:val="000000"/>
                <w:sz w:val="18"/>
                <w:szCs w:val="18"/>
              </w:rPr>
              <w:lastRenderedPageBreak/>
              <w:t>proposes a more holistic understanding of living systems. The study contributes to ongoing debates by reinforcing the importance of process-based thinking in explaining organismic dynamics.</w:t>
            </w:r>
          </w:p>
        </w:tc>
      </w:tr>
      <w:tr w:rsidR="00EB4ED6" w:rsidRPr="00732EED" w14:paraId="03CD0C70"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8180BF6" w14:textId="77777777" w:rsidR="00C964C9" w:rsidRPr="00732EED" w:rsidRDefault="00C964C9" w:rsidP="009746D6">
            <w:pPr>
              <w:jc w:val="right"/>
              <w:rPr>
                <w:color w:val="000000"/>
                <w:sz w:val="18"/>
                <w:szCs w:val="18"/>
              </w:rPr>
            </w:pPr>
            <w:r w:rsidRPr="00732EED">
              <w:rPr>
                <w:color w:val="000000"/>
                <w:sz w:val="18"/>
                <w:szCs w:val="18"/>
              </w:rPr>
              <w:lastRenderedPageBreak/>
              <w:t>25</w:t>
            </w:r>
          </w:p>
        </w:tc>
        <w:tc>
          <w:tcPr>
            <w:tcW w:w="1377" w:type="pct"/>
            <w:hideMark/>
          </w:tcPr>
          <w:p w14:paraId="7D8FD646"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31" w:tgtFrame="_new" w:history="1">
              <w:r w:rsidR="00C964C9" w:rsidRPr="00732EED">
                <w:rPr>
                  <w:color w:val="467886"/>
                  <w:sz w:val="18"/>
                  <w:szCs w:val="18"/>
                </w:rPr>
                <w:t>Lachal J, Revah-Levy A, Orri M et al (2017) Metasynthesis: an original method to synthesize qualitative literature in psychiatry. Front Psychiatry 8:269. https://doi.org/10.3389/fpsyt.2017.00269</w:t>
              </w:r>
            </w:hyperlink>
          </w:p>
        </w:tc>
        <w:tc>
          <w:tcPr>
            <w:tcW w:w="631" w:type="pct"/>
            <w:hideMark/>
          </w:tcPr>
          <w:p w14:paraId="121C299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Methodological paper reviewing and explaining </w:t>
            </w:r>
            <w:proofErr w:type="spellStart"/>
            <w:r w:rsidRPr="00732EED">
              <w:rPr>
                <w:color w:val="000000"/>
                <w:sz w:val="18"/>
                <w:szCs w:val="18"/>
              </w:rPr>
              <w:t>metasynthesis</w:t>
            </w:r>
            <w:proofErr w:type="spellEnd"/>
            <w:r w:rsidRPr="00732EED">
              <w:rPr>
                <w:color w:val="000000"/>
                <w:sz w:val="18"/>
                <w:szCs w:val="18"/>
              </w:rPr>
              <w:t xml:space="preserve"> techniques.</w:t>
            </w:r>
          </w:p>
        </w:tc>
        <w:tc>
          <w:tcPr>
            <w:tcW w:w="621" w:type="pct"/>
            <w:hideMark/>
          </w:tcPr>
          <w:p w14:paraId="5D73C6D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research methodology; psychiatry research synthesis.</w:t>
            </w:r>
          </w:p>
        </w:tc>
        <w:tc>
          <w:tcPr>
            <w:tcW w:w="763" w:type="pct"/>
            <w:hideMark/>
          </w:tcPr>
          <w:p w14:paraId="3DA00929"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Methodological review.</w:t>
            </w:r>
          </w:p>
        </w:tc>
        <w:tc>
          <w:tcPr>
            <w:tcW w:w="1460" w:type="pct"/>
            <w:hideMark/>
          </w:tcPr>
          <w:p w14:paraId="3F8C48A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paper introduces </w:t>
            </w:r>
            <w:proofErr w:type="spellStart"/>
            <w:r w:rsidRPr="00732EED">
              <w:rPr>
                <w:color w:val="000000"/>
                <w:sz w:val="18"/>
                <w:szCs w:val="18"/>
              </w:rPr>
              <w:t>metasynthesis</w:t>
            </w:r>
            <w:proofErr w:type="spellEnd"/>
            <w:r w:rsidRPr="00732EED">
              <w:rPr>
                <w:color w:val="000000"/>
                <w:sz w:val="18"/>
                <w:szCs w:val="18"/>
              </w:rPr>
              <w:t xml:space="preserve"> as a method for integrating findings from qualitative studies in psychiatry. The authors outline the principles, steps, and challenges involved in conducting a </w:t>
            </w:r>
            <w:proofErr w:type="spellStart"/>
            <w:r w:rsidRPr="00732EED">
              <w:rPr>
                <w:color w:val="000000"/>
                <w:sz w:val="18"/>
                <w:szCs w:val="18"/>
              </w:rPr>
              <w:t>metasynthesis</w:t>
            </w:r>
            <w:proofErr w:type="spellEnd"/>
            <w:r w:rsidRPr="00732EED">
              <w:rPr>
                <w:color w:val="000000"/>
                <w:sz w:val="18"/>
                <w:szCs w:val="18"/>
              </w:rPr>
              <w:t xml:space="preserve">, including study selection, analysis, and interpretation. The approach aims to generate new insights by synthesizing existing qualitative research rather than simply summarizing it. The paper highlights the value of </w:t>
            </w:r>
            <w:proofErr w:type="spellStart"/>
            <w:r w:rsidRPr="00732EED">
              <w:rPr>
                <w:color w:val="000000"/>
                <w:sz w:val="18"/>
                <w:szCs w:val="18"/>
              </w:rPr>
              <w:t>metasynthesis</w:t>
            </w:r>
            <w:proofErr w:type="spellEnd"/>
            <w:r w:rsidRPr="00732EED">
              <w:rPr>
                <w:color w:val="000000"/>
                <w:sz w:val="18"/>
                <w:szCs w:val="18"/>
              </w:rPr>
              <w:t xml:space="preserve"> in understanding complex experiences such as mental illness and patient perspectives. It also discusses methodological rigor and transparency. The authors conclude that </w:t>
            </w:r>
            <w:proofErr w:type="spellStart"/>
            <w:r w:rsidRPr="00732EED">
              <w:rPr>
                <w:color w:val="000000"/>
                <w:sz w:val="18"/>
                <w:szCs w:val="18"/>
              </w:rPr>
              <w:t>metasynthesis</w:t>
            </w:r>
            <w:proofErr w:type="spellEnd"/>
            <w:r w:rsidRPr="00732EED">
              <w:rPr>
                <w:color w:val="000000"/>
                <w:sz w:val="18"/>
                <w:szCs w:val="18"/>
              </w:rPr>
              <w:t xml:space="preserve"> is a powerful tool for advancing qualitative research in psychiatry and improving the integration of patient experiences into clinical knowledge.</w:t>
            </w:r>
          </w:p>
        </w:tc>
      </w:tr>
      <w:tr w:rsidR="00EB4ED6" w:rsidRPr="00732EED" w14:paraId="63F8EB0D"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C62D444" w14:textId="77777777" w:rsidR="00C964C9" w:rsidRPr="00732EED" w:rsidRDefault="00C964C9" w:rsidP="009746D6">
            <w:pPr>
              <w:jc w:val="right"/>
              <w:rPr>
                <w:color w:val="000000"/>
                <w:sz w:val="18"/>
                <w:szCs w:val="18"/>
              </w:rPr>
            </w:pPr>
            <w:r w:rsidRPr="00732EED">
              <w:rPr>
                <w:color w:val="000000"/>
                <w:sz w:val="18"/>
                <w:szCs w:val="18"/>
              </w:rPr>
              <w:t>26</w:t>
            </w:r>
          </w:p>
        </w:tc>
        <w:tc>
          <w:tcPr>
            <w:tcW w:w="1377" w:type="pct"/>
            <w:hideMark/>
          </w:tcPr>
          <w:p w14:paraId="26761BA8"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32" w:tgtFrame="_new" w:history="1">
              <w:r w:rsidR="00C964C9" w:rsidRPr="00732EED">
                <w:rPr>
                  <w:color w:val="467886"/>
                  <w:sz w:val="18"/>
                  <w:szCs w:val="18"/>
                </w:rPr>
                <w:t>Lawless MT, Tieu M, Archibald MM et al (2025) From promise to practice: how health researchers understand and promote transdisciplinary collaboration. Qual Health Res 35:3–16. https://doi.org/10.1177/10497323241235882</w:t>
              </w:r>
            </w:hyperlink>
          </w:p>
        </w:tc>
        <w:tc>
          <w:tcPr>
            <w:tcW w:w="631" w:type="pct"/>
            <w:hideMark/>
          </w:tcPr>
          <w:p w14:paraId="1C0FC5B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Qualitative study using interviews with health researchers.</w:t>
            </w:r>
          </w:p>
        </w:tc>
        <w:tc>
          <w:tcPr>
            <w:tcW w:w="621" w:type="pct"/>
            <w:hideMark/>
          </w:tcPr>
          <w:p w14:paraId="241FB99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Transdisciplinary collaboration; team science.</w:t>
            </w:r>
          </w:p>
        </w:tc>
        <w:tc>
          <w:tcPr>
            <w:tcW w:w="763" w:type="pct"/>
            <w:hideMark/>
          </w:tcPr>
          <w:p w14:paraId="7020C394"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Qualitative empirical study.</w:t>
            </w:r>
          </w:p>
        </w:tc>
        <w:tc>
          <w:tcPr>
            <w:tcW w:w="1460" w:type="pct"/>
            <w:hideMark/>
          </w:tcPr>
          <w:p w14:paraId="33FBF529"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study explores how health researchers understand and implement transdisciplinary collaboration. Through qualitative interviews, the authors identify key themes including differing definitions of </w:t>
            </w:r>
            <w:proofErr w:type="spellStart"/>
            <w:r w:rsidRPr="00732EED">
              <w:rPr>
                <w:color w:val="000000"/>
                <w:sz w:val="18"/>
                <w:szCs w:val="18"/>
              </w:rPr>
              <w:t>transdisciplinarity</w:t>
            </w:r>
            <w:proofErr w:type="spellEnd"/>
            <w:r w:rsidRPr="00732EED">
              <w:rPr>
                <w:color w:val="000000"/>
                <w:sz w:val="18"/>
                <w:szCs w:val="18"/>
              </w:rPr>
              <w:t xml:space="preserve">, challenges in collaboration, and strategies for effective teamwork. Findings reveal that while researchers recognize the value of transdisciplinary approaches, practical barriers such as institutional structures, communication gaps, and evaluation metrics hinder implementation. Participants emphasized the importance of shared goals, leadership, and trust in fostering collaboration. The study highlights the gap between the theoretical promise of </w:t>
            </w:r>
            <w:proofErr w:type="spellStart"/>
            <w:r w:rsidRPr="00732EED">
              <w:rPr>
                <w:color w:val="000000"/>
                <w:sz w:val="18"/>
                <w:szCs w:val="18"/>
              </w:rPr>
              <w:t>transdisciplinarity</w:t>
            </w:r>
            <w:proofErr w:type="spellEnd"/>
            <w:r w:rsidRPr="00732EED">
              <w:rPr>
                <w:color w:val="000000"/>
                <w:sz w:val="18"/>
                <w:szCs w:val="18"/>
              </w:rPr>
              <w:t xml:space="preserve"> and its practical application. It concludes that structural and cultural changes are needed to better support transdisciplinary research in health contexts.</w:t>
            </w:r>
          </w:p>
        </w:tc>
      </w:tr>
      <w:tr w:rsidR="00EB4ED6" w:rsidRPr="00732EED" w14:paraId="7161BD0C"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F5E44A9" w14:textId="77777777" w:rsidR="00C964C9" w:rsidRPr="00732EED" w:rsidRDefault="00C964C9" w:rsidP="009746D6">
            <w:pPr>
              <w:jc w:val="right"/>
              <w:rPr>
                <w:color w:val="000000"/>
                <w:sz w:val="18"/>
                <w:szCs w:val="18"/>
              </w:rPr>
            </w:pPr>
            <w:r w:rsidRPr="00732EED">
              <w:rPr>
                <w:color w:val="000000"/>
                <w:sz w:val="18"/>
                <w:szCs w:val="18"/>
              </w:rPr>
              <w:t>27</w:t>
            </w:r>
          </w:p>
        </w:tc>
        <w:tc>
          <w:tcPr>
            <w:tcW w:w="1377" w:type="pct"/>
            <w:hideMark/>
          </w:tcPr>
          <w:p w14:paraId="3E7CF9A9"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33" w:tgtFrame="_new" w:history="1">
              <w:r w:rsidR="00C964C9" w:rsidRPr="00732EED">
                <w:rPr>
                  <w:color w:val="467886"/>
                  <w:sz w:val="18"/>
                  <w:szCs w:val="18"/>
                </w:rPr>
                <w:t>Li S, Miles K, George RE et al (2023) A critical review of cultural competence frameworks and models in medical and health professional education: a meta-ethnographic synthesis. Med Teach 45:1085–1107. https://doi.org/10.1080/0142159X.2023.2174419</w:t>
              </w:r>
            </w:hyperlink>
          </w:p>
        </w:tc>
        <w:tc>
          <w:tcPr>
            <w:tcW w:w="631" w:type="pct"/>
            <w:hideMark/>
          </w:tcPr>
          <w:p w14:paraId="5B82A24F"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Meta-ethnographic synthesis of qualitative studies.</w:t>
            </w:r>
          </w:p>
        </w:tc>
        <w:tc>
          <w:tcPr>
            <w:tcW w:w="621" w:type="pct"/>
            <w:hideMark/>
          </w:tcPr>
          <w:p w14:paraId="3D99895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Cultural competence; medical education frameworks.</w:t>
            </w:r>
          </w:p>
        </w:tc>
        <w:tc>
          <w:tcPr>
            <w:tcW w:w="763" w:type="pct"/>
            <w:hideMark/>
          </w:tcPr>
          <w:p w14:paraId="4636A3E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systematic review (meta-ethnography).</w:t>
            </w:r>
          </w:p>
        </w:tc>
        <w:tc>
          <w:tcPr>
            <w:tcW w:w="1460" w:type="pct"/>
            <w:hideMark/>
          </w:tcPr>
          <w:p w14:paraId="393996F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study critically examines cultural competence frameworks in medical and health professional education through a meta-ethnographic synthesis. The authors identify key themes such as the importance of reflexivity, power dynamics, and context in shaping culturally competent care. The analysis reveals limitations in existing models, including overly static and reductionist approaches to culture. The study advocates for more dynamic </w:t>
            </w:r>
            <w:r w:rsidRPr="00732EED">
              <w:rPr>
                <w:color w:val="000000"/>
                <w:sz w:val="18"/>
                <w:szCs w:val="18"/>
              </w:rPr>
              <w:lastRenderedPageBreak/>
              <w:t>and critical frameworks that address structural inequities and social determinants of health. It highlights the need for educational approaches that go beyond knowledge acquisition to include self-awareness and critical reflection. The authors conclude that rethinking cultural competence is essential for improving healthcare equity and responsiveness to diverse patient populations.</w:t>
            </w:r>
          </w:p>
        </w:tc>
      </w:tr>
      <w:tr w:rsidR="00EB4ED6" w:rsidRPr="00732EED" w14:paraId="1C3ECE40"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D9E7975" w14:textId="77777777" w:rsidR="00C964C9" w:rsidRPr="00732EED" w:rsidRDefault="00C964C9" w:rsidP="009746D6">
            <w:pPr>
              <w:jc w:val="right"/>
              <w:rPr>
                <w:color w:val="000000"/>
                <w:sz w:val="18"/>
                <w:szCs w:val="18"/>
              </w:rPr>
            </w:pPr>
            <w:r w:rsidRPr="00732EED">
              <w:rPr>
                <w:color w:val="000000"/>
                <w:sz w:val="18"/>
                <w:szCs w:val="18"/>
              </w:rPr>
              <w:lastRenderedPageBreak/>
              <w:t>28</w:t>
            </w:r>
          </w:p>
        </w:tc>
        <w:tc>
          <w:tcPr>
            <w:tcW w:w="1377" w:type="pct"/>
            <w:hideMark/>
          </w:tcPr>
          <w:p w14:paraId="53A66055"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34" w:tgtFrame="_new" w:history="1">
              <w:r w:rsidR="00C964C9" w:rsidRPr="00732EED">
                <w:rPr>
                  <w:color w:val="467886"/>
                  <w:sz w:val="18"/>
                  <w:szCs w:val="18"/>
                </w:rPr>
                <w:t>Liaw ST, Rahimi A, Ray P et al (2013) Towards an ontology for data quality in integrated chronic disease management: a realist review of the literature. Int J Med Inform 82:10–24. https://doi.org/10.1016/j.ijmedinf.2012.10.001</w:t>
              </w:r>
            </w:hyperlink>
          </w:p>
        </w:tc>
        <w:tc>
          <w:tcPr>
            <w:tcW w:w="631" w:type="pct"/>
            <w:hideMark/>
          </w:tcPr>
          <w:p w14:paraId="30CA8D1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Realist review of literature on data quality and chronic disease management.</w:t>
            </w:r>
          </w:p>
        </w:tc>
        <w:tc>
          <w:tcPr>
            <w:tcW w:w="621" w:type="pct"/>
            <w:hideMark/>
          </w:tcPr>
          <w:p w14:paraId="6594BBD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Ontology development; health informatics; data quality frameworks.</w:t>
            </w:r>
          </w:p>
        </w:tc>
        <w:tc>
          <w:tcPr>
            <w:tcW w:w="763" w:type="pct"/>
            <w:hideMark/>
          </w:tcPr>
          <w:p w14:paraId="15F748A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Realist review.</w:t>
            </w:r>
          </w:p>
        </w:tc>
        <w:tc>
          <w:tcPr>
            <w:tcW w:w="1460" w:type="pct"/>
            <w:hideMark/>
          </w:tcPr>
          <w:p w14:paraId="4AAAF9D2"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conducts a realist review to develop an ontology for data quality in integrated chronic disease management. The authors analyze how data quality is conceptualized and operationalized across healthcare systems. They identify key dimensions such as accuracy, completeness, and timeliness, and explore how these influence clinical decision-making and patient outcomes. The resulting ontology provides a structured framework for understanding and improving data quality in complex healthcare environments. The study highlights the importance of standardized definitions and interoperability. It concludes that ontology-based approaches can enhance data management and support more effective integration of care for individuals with chronic conditions.</w:t>
            </w:r>
          </w:p>
        </w:tc>
      </w:tr>
      <w:tr w:rsidR="00EB4ED6" w:rsidRPr="00732EED" w14:paraId="422CEDC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07B2260" w14:textId="77777777" w:rsidR="00C964C9" w:rsidRPr="00732EED" w:rsidRDefault="00C964C9" w:rsidP="009746D6">
            <w:pPr>
              <w:jc w:val="right"/>
              <w:rPr>
                <w:color w:val="000000"/>
                <w:sz w:val="18"/>
                <w:szCs w:val="18"/>
              </w:rPr>
            </w:pPr>
            <w:r w:rsidRPr="00732EED">
              <w:rPr>
                <w:color w:val="000000"/>
                <w:sz w:val="18"/>
                <w:szCs w:val="18"/>
              </w:rPr>
              <w:t>29</w:t>
            </w:r>
          </w:p>
        </w:tc>
        <w:tc>
          <w:tcPr>
            <w:tcW w:w="1377" w:type="pct"/>
            <w:hideMark/>
          </w:tcPr>
          <w:p w14:paraId="7EE28E65"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35" w:tgtFrame="_new" w:history="1">
              <w:r w:rsidR="00C964C9" w:rsidRPr="00732EED">
                <w:rPr>
                  <w:color w:val="467886"/>
                  <w:sz w:val="18"/>
                  <w:szCs w:val="18"/>
                </w:rPr>
                <w:t>Liu J, Li S (2023) An ethnographic investigation of medical students’ cultural competence development in clinical placements. Adv Health Sci Educ Theory Pract 28:705–739. https://doi.org/10.1007/s10459-022-10179-7</w:t>
              </w:r>
            </w:hyperlink>
          </w:p>
        </w:tc>
        <w:tc>
          <w:tcPr>
            <w:tcW w:w="631" w:type="pct"/>
            <w:hideMark/>
          </w:tcPr>
          <w:p w14:paraId="547DAA82"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Ethnographic study involving observation and interviews with medical students.</w:t>
            </w:r>
          </w:p>
        </w:tc>
        <w:tc>
          <w:tcPr>
            <w:tcW w:w="621" w:type="pct"/>
            <w:hideMark/>
          </w:tcPr>
          <w:p w14:paraId="740313C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Cultural competence; experiential learning theory.</w:t>
            </w:r>
          </w:p>
        </w:tc>
        <w:tc>
          <w:tcPr>
            <w:tcW w:w="763" w:type="pct"/>
            <w:hideMark/>
          </w:tcPr>
          <w:p w14:paraId="351A3E8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ethnographic study.</w:t>
            </w:r>
          </w:p>
        </w:tc>
        <w:tc>
          <w:tcPr>
            <w:tcW w:w="1460" w:type="pct"/>
            <w:hideMark/>
          </w:tcPr>
          <w:p w14:paraId="4ADE032F"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investigates how medical students develop cultural competence during clinical placements using ethnographic methods. Observations and interviews reveal that learning occurs through interactions with patients, mentors, and healthcare environments. The findings highlight the importance of experiential learning, reflection, and exposure to diverse patient populations. Students’ development of cultural competence is influenced by institutional culture, role models, and opportunities for critical reflection. The study also identifies challenges such as limited guidance and inconsistent support. It concludes that fostering cultural competence requires structured educational strategies, supportive environments, and opportunities for meaningful engagement with diverse communities in clinical training.</w:t>
            </w:r>
          </w:p>
        </w:tc>
      </w:tr>
      <w:tr w:rsidR="00EB4ED6" w:rsidRPr="00732EED" w14:paraId="0A5836E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50A9CA1F" w14:textId="77777777" w:rsidR="00C964C9" w:rsidRPr="00732EED" w:rsidRDefault="00C964C9" w:rsidP="009746D6">
            <w:pPr>
              <w:jc w:val="right"/>
              <w:rPr>
                <w:color w:val="000000"/>
                <w:sz w:val="18"/>
                <w:szCs w:val="18"/>
              </w:rPr>
            </w:pPr>
            <w:r w:rsidRPr="00732EED">
              <w:rPr>
                <w:color w:val="000000"/>
                <w:sz w:val="18"/>
                <w:szCs w:val="18"/>
              </w:rPr>
              <w:t>30</w:t>
            </w:r>
          </w:p>
        </w:tc>
        <w:tc>
          <w:tcPr>
            <w:tcW w:w="1377" w:type="pct"/>
            <w:hideMark/>
          </w:tcPr>
          <w:p w14:paraId="1CBBEC44"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36" w:tgtFrame="_new" w:history="1">
              <w:r w:rsidR="00C964C9" w:rsidRPr="00732EED">
                <w:rPr>
                  <w:color w:val="467886"/>
                  <w:sz w:val="18"/>
                  <w:szCs w:val="18"/>
                </w:rPr>
                <w:t xml:space="preserve">Loughlin M, Bluhm R, Fuller J et al (2015) Diseases, patients and the epistemology of practice: mapping the borders of health, </w:t>
              </w:r>
              <w:r w:rsidR="00C964C9" w:rsidRPr="00732EED">
                <w:rPr>
                  <w:color w:val="467886"/>
                  <w:sz w:val="18"/>
                  <w:szCs w:val="18"/>
                </w:rPr>
                <w:lastRenderedPageBreak/>
                <w:t>medicine and care. J Eval Clin Pract 21:357–364. https://doi.org/10.1111/jep.12370</w:t>
              </w:r>
            </w:hyperlink>
          </w:p>
        </w:tc>
        <w:tc>
          <w:tcPr>
            <w:tcW w:w="631" w:type="pct"/>
            <w:hideMark/>
          </w:tcPr>
          <w:p w14:paraId="7063C0D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Conceptual and philosophical analysis of clinical practice.</w:t>
            </w:r>
          </w:p>
        </w:tc>
        <w:tc>
          <w:tcPr>
            <w:tcW w:w="621" w:type="pct"/>
            <w:hideMark/>
          </w:tcPr>
          <w:p w14:paraId="3DEA1DF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Epistemology of medicine; philosophy of healthcare practice.</w:t>
            </w:r>
          </w:p>
        </w:tc>
        <w:tc>
          <w:tcPr>
            <w:tcW w:w="763" w:type="pct"/>
            <w:hideMark/>
          </w:tcPr>
          <w:p w14:paraId="598D9F7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Theoretical/conceptual paper.</w:t>
            </w:r>
          </w:p>
        </w:tc>
        <w:tc>
          <w:tcPr>
            <w:tcW w:w="1460" w:type="pct"/>
            <w:hideMark/>
          </w:tcPr>
          <w:p w14:paraId="292BA4A6"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paper examines the epistemological foundations of medical practice, focusing on how knowledge is constructed and applied in healthcare. The authors explore the relationships </w:t>
            </w:r>
            <w:r w:rsidRPr="00732EED">
              <w:rPr>
                <w:color w:val="000000"/>
                <w:sz w:val="18"/>
                <w:szCs w:val="18"/>
              </w:rPr>
              <w:lastRenderedPageBreak/>
              <w:t>between disease, patient experience, and clinical decision-making. They argue that medical knowledge is not purely objective but is shaped by values, context, and practice. The paper highlights tensions between biomedical models and patient-centered approaches, emphasizing the need to integrate different forms of knowledge. By mapping the boundaries of health, medicine, and care, the authors propose a more nuanced understanding of clinical practice. The study contributes to debates on evidence-based medicine and calls for greater recognition of experiential and contextual knowledge in healthcare.</w:t>
            </w:r>
          </w:p>
        </w:tc>
      </w:tr>
      <w:tr w:rsidR="00EB4ED6" w:rsidRPr="00732EED" w14:paraId="147172A7"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753F9B34" w14:textId="77777777" w:rsidR="00C964C9" w:rsidRPr="00732EED" w:rsidRDefault="00C964C9" w:rsidP="009746D6">
            <w:pPr>
              <w:jc w:val="right"/>
              <w:rPr>
                <w:color w:val="000000"/>
                <w:sz w:val="18"/>
                <w:szCs w:val="18"/>
              </w:rPr>
            </w:pPr>
            <w:r w:rsidRPr="00732EED">
              <w:rPr>
                <w:color w:val="000000"/>
                <w:sz w:val="18"/>
                <w:szCs w:val="18"/>
              </w:rPr>
              <w:lastRenderedPageBreak/>
              <w:t>31</w:t>
            </w:r>
          </w:p>
        </w:tc>
        <w:tc>
          <w:tcPr>
            <w:tcW w:w="1377" w:type="pct"/>
            <w:hideMark/>
          </w:tcPr>
          <w:p w14:paraId="2431FED2"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37" w:tgtFrame="_new" w:history="1">
              <w:r w:rsidR="00C964C9" w:rsidRPr="00732EED">
                <w:rPr>
                  <w:color w:val="467886"/>
                  <w:sz w:val="18"/>
                  <w:szCs w:val="18"/>
                </w:rPr>
                <w:t>Ma Y, Xiang Q, Yan C et al (2021) Relationship between chronic diseases and depression: the mediating effect of pain. BMC Psychiatry 21:436. https://doi.org/10.1186/s12888-021-03428-3</w:t>
              </w:r>
            </w:hyperlink>
          </w:p>
        </w:tc>
        <w:tc>
          <w:tcPr>
            <w:tcW w:w="631" w:type="pct"/>
            <w:hideMark/>
          </w:tcPr>
          <w:p w14:paraId="2D098B8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Quantitative analysis using survey data and statistical mediation models.</w:t>
            </w:r>
          </w:p>
        </w:tc>
        <w:tc>
          <w:tcPr>
            <w:tcW w:w="621" w:type="pct"/>
            <w:hideMark/>
          </w:tcPr>
          <w:p w14:paraId="623B116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Biopsychosocial model; mediation theory.</w:t>
            </w:r>
          </w:p>
        </w:tc>
        <w:tc>
          <w:tcPr>
            <w:tcW w:w="763" w:type="pct"/>
            <w:hideMark/>
          </w:tcPr>
          <w:p w14:paraId="0F16DE2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Cross-sectional quantitative study.</w:t>
            </w:r>
          </w:p>
        </w:tc>
        <w:tc>
          <w:tcPr>
            <w:tcW w:w="1460" w:type="pct"/>
            <w:hideMark/>
          </w:tcPr>
          <w:p w14:paraId="7B555A2D"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investigates the relationship between chronic diseases and depression, focusing on the mediating role of pain. Using statistical analysis, the authors find that pain significantly mediates the association between chronic illness and depressive symptoms. Individuals with chronic conditions experience higher levels of pain, which in turn increases the likelihood of depression. The findings highlight the importance of addressing pain as a key factor in mental health outcomes. The study supports a biopsychosocial understanding of chronic illness, emphasizing the interconnectedness of physical and psychological health. It concludes that effective pain management may reduce depression risk and improve overall well-being in individuals with chronic diseases.</w:t>
            </w:r>
          </w:p>
        </w:tc>
      </w:tr>
      <w:tr w:rsidR="00EB4ED6" w:rsidRPr="00732EED" w14:paraId="1891E62E"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5F481F59" w14:textId="77777777" w:rsidR="00C964C9" w:rsidRPr="00732EED" w:rsidRDefault="00C964C9" w:rsidP="009746D6">
            <w:pPr>
              <w:jc w:val="right"/>
              <w:rPr>
                <w:color w:val="000000"/>
                <w:sz w:val="18"/>
                <w:szCs w:val="18"/>
              </w:rPr>
            </w:pPr>
            <w:r w:rsidRPr="00732EED">
              <w:rPr>
                <w:color w:val="000000"/>
                <w:sz w:val="18"/>
                <w:szCs w:val="18"/>
              </w:rPr>
              <w:t>32</w:t>
            </w:r>
          </w:p>
        </w:tc>
        <w:tc>
          <w:tcPr>
            <w:tcW w:w="1377" w:type="pct"/>
            <w:hideMark/>
          </w:tcPr>
          <w:p w14:paraId="6CE77963"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38" w:tgtFrame="_new" w:history="1">
              <w:r w:rsidR="00C964C9" w:rsidRPr="00732EED">
                <w:rPr>
                  <w:color w:val="467886"/>
                  <w:sz w:val="18"/>
                  <w:szCs w:val="18"/>
                </w:rPr>
                <w:t>Maitra A, Kamdar MR, Zulman DM et al (2021) Using ethnographic methods to classify the human experience in medicine: a case study of the presence ontology. J Am Med Inform Assoc 28:1900–1909. https://doi.org/10.1093/jamia/ocab091</w:t>
              </w:r>
            </w:hyperlink>
          </w:p>
        </w:tc>
        <w:tc>
          <w:tcPr>
            <w:tcW w:w="631" w:type="pct"/>
            <w:hideMark/>
          </w:tcPr>
          <w:p w14:paraId="0728C5E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Ethnographic methods combined with ontology development.</w:t>
            </w:r>
          </w:p>
        </w:tc>
        <w:tc>
          <w:tcPr>
            <w:tcW w:w="621" w:type="pct"/>
            <w:hideMark/>
          </w:tcPr>
          <w:p w14:paraId="423DCB6C"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Ontology in medical informatics; phenomenology of patient experience.</w:t>
            </w:r>
          </w:p>
        </w:tc>
        <w:tc>
          <w:tcPr>
            <w:tcW w:w="763" w:type="pct"/>
            <w:hideMark/>
          </w:tcPr>
          <w:p w14:paraId="57B1BC29"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Qualitative case study.</w:t>
            </w:r>
          </w:p>
        </w:tc>
        <w:tc>
          <w:tcPr>
            <w:tcW w:w="1460" w:type="pct"/>
            <w:hideMark/>
          </w:tcPr>
          <w:p w14:paraId="588C4723"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uses ethnographic methods to inform the development of a “presence ontology” aimed at classifying human experiences in medicine. By observing and analyzing clinical interactions, the authors identify key dimensions of patient presence, such as emotional, physical, and relational aspects. The ontology provides a structured way to represent these complex experiences in healthcare systems. The study demonstrates how qualitative insights can enhance formal knowledge representation in medical informatics. It highlights the importance of capturing lived experience alongside clinical data. The authors conclude that integrating ethnographic approaches into ontology development can improve the relevance and richness of healthcare information systems.</w:t>
            </w:r>
          </w:p>
        </w:tc>
      </w:tr>
      <w:tr w:rsidR="00EB4ED6" w:rsidRPr="00732EED" w14:paraId="1CD80875"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0382BBC" w14:textId="77777777" w:rsidR="00C964C9" w:rsidRPr="00732EED" w:rsidRDefault="00C964C9" w:rsidP="009746D6">
            <w:pPr>
              <w:jc w:val="right"/>
              <w:rPr>
                <w:color w:val="000000"/>
                <w:sz w:val="18"/>
                <w:szCs w:val="18"/>
              </w:rPr>
            </w:pPr>
            <w:r w:rsidRPr="00732EED">
              <w:rPr>
                <w:color w:val="000000"/>
                <w:sz w:val="18"/>
                <w:szCs w:val="18"/>
              </w:rPr>
              <w:lastRenderedPageBreak/>
              <w:t>33</w:t>
            </w:r>
          </w:p>
        </w:tc>
        <w:tc>
          <w:tcPr>
            <w:tcW w:w="1377" w:type="pct"/>
            <w:hideMark/>
          </w:tcPr>
          <w:p w14:paraId="75F28789"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39" w:tgtFrame="_new" w:history="1">
              <w:r w:rsidR="00C964C9" w:rsidRPr="00732EED">
                <w:rPr>
                  <w:color w:val="467886"/>
                  <w:sz w:val="18"/>
                  <w:szCs w:val="18"/>
                </w:rPr>
                <w:t>Marikar Bawa FL, Mercer SW, Sutton JW et al (2023) Mindfulness for people with chronic pain: factors affecting engagement and suggestions for programme optimization. Health Expect 26:1287–1307. https://doi.org/10.1111/hex.13745</w:t>
              </w:r>
            </w:hyperlink>
          </w:p>
        </w:tc>
        <w:tc>
          <w:tcPr>
            <w:tcW w:w="631" w:type="pct"/>
            <w:hideMark/>
          </w:tcPr>
          <w:p w14:paraId="7446947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Mixed-methods study combining qualitative and quantitative data.</w:t>
            </w:r>
          </w:p>
        </w:tc>
        <w:tc>
          <w:tcPr>
            <w:tcW w:w="621" w:type="pct"/>
            <w:hideMark/>
          </w:tcPr>
          <w:p w14:paraId="52BAA99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Mindfulness-based interventions; patient engagement theory.</w:t>
            </w:r>
          </w:p>
        </w:tc>
        <w:tc>
          <w:tcPr>
            <w:tcW w:w="763" w:type="pct"/>
            <w:hideMark/>
          </w:tcPr>
          <w:p w14:paraId="5E09ED2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Empirical mixed-methods study.</w:t>
            </w:r>
          </w:p>
        </w:tc>
        <w:tc>
          <w:tcPr>
            <w:tcW w:w="1460" w:type="pct"/>
            <w:hideMark/>
          </w:tcPr>
          <w:p w14:paraId="3DDB304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examines factors influencing engagement with mindfulness programs among individuals with chronic pain. The findings identify key facilitators such as perceived benefits, supportive environments, and program accessibility. Barriers include time constraints, physical limitations, and mismatched expectations. Participants emphasized the importance of tailoring programs to individual needs and providing ongoing support. The study offers practical recommendations for optimizing mindfulness interventions, including flexible delivery formats and improved communication. It concludes that enhancing engagement is critical for maximizing the effectiveness of mindfulness-based approaches in chronic pain management and calls for more patient-centered program design.</w:t>
            </w:r>
          </w:p>
        </w:tc>
      </w:tr>
      <w:tr w:rsidR="00EB4ED6" w:rsidRPr="00732EED" w14:paraId="14E77C2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26C9433A" w14:textId="77777777" w:rsidR="00C964C9" w:rsidRPr="00732EED" w:rsidRDefault="00C964C9" w:rsidP="009746D6">
            <w:pPr>
              <w:jc w:val="right"/>
              <w:rPr>
                <w:color w:val="000000"/>
                <w:sz w:val="18"/>
                <w:szCs w:val="18"/>
              </w:rPr>
            </w:pPr>
            <w:r w:rsidRPr="00732EED">
              <w:rPr>
                <w:color w:val="000000"/>
                <w:sz w:val="18"/>
                <w:szCs w:val="18"/>
              </w:rPr>
              <w:t>34</w:t>
            </w:r>
          </w:p>
        </w:tc>
        <w:tc>
          <w:tcPr>
            <w:tcW w:w="1377" w:type="pct"/>
            <w:hideMark/>
          </w:tcPr>
          <w:p w14:paraId="1224CFEE"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40" w:tgtFrame="_new" w:history="1">
              <w:r w:rsidR="00C964C9" w:rsidRPr="00732EED">
                <w:rPr>
                  <w:color w:val="467886"/>
                  <w:sz w:val="18"/>
                  <w:szCs w:val="18"/>
                </w:rPr>
                <w:t>Min B, Allen-Scott LK, Buntain B (2013) Transdisciplinary research for complex One Health issues: a scoping review of key concepts. Prev Vet Med 112:222–229. https://doi.org/10.1016/j.prevetmed.2013.09.010</w:t>
              </w:r>
            </w:hyperlink>
          </w:p>
        </w:tc>
        <w:tc>
          <w:tcPr>
            <w:tcW w:w="631" w:type="pct"/>
            <w:hideMark/>
          </w:tcPr>
          <w:p w14:paraId="2949985B"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 of literature on transdisciplinary research in One Health.</w:t>
            </w:r>
          </w:p>
        </w:tc>
        <w:tc>
          <w:tcPr>
            <w:tcW w:w="621" w:type="pct"/>
            <w:hideMark/>
          </w:tcPr>
          <w:p w14:paraId="0766AC0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One Health; transdisciplinary research frameworks.</w:t>
            </w:r>
          </w:p>
        </w:tc>
        <w:tc>
          <w:tcPr>
            <w:tcW w:w="763" w:type="pct"/>
            <w:hideMark/>
          </w:tcPr>
          <w:p w14:paraId="08E37C7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w:t>
            </w:r>
          </w:p>
        </w:tc>
        <w:tc>
          <w:tcPr>
            <w:tcW w:w="1460" w:type="pct"/>
            <w:hideMark/>
          </w:tcPr>
          <w:p w14:paraId="1A2B945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study reviews key concepts related to transdisciplinary research in the context of One Health. The authors identify core elements such as collaboration across disciplines, stakeholder engagement, and systems thinking. The review highlights the importance of integrating knowledge from human, animal, and environmental health to address complex global challenges. It also discusses conceptual ambiguities and variations in how </w:t>
            </w:r>
            <w:proofErr w:type="spellStart"/>
            <w:r w:rsidRPr="00732EED">
              <w:rPr>
                <w:color w:val="000000"/>
                <w:sz w:val="18"/>
                <w:szCs w:val="18"/>
              </w:rPr>
              <w:t>transdisciplinarity</w:t>
            </w:r>
            <w:proofErr w:type="spellEnd"/>
            <w:r w:rsidRPr="00732EED">
              <w:rPr>
                <w:color w:val="000000"/>
                <w:sz w:val="18"/>
                <w:szCs w:val="18"/>
              </w:rPr>
              <w:t xml:space="preserve"> is defined and applied. The study emphasizes the need for clearer frameworks and practical guidance. It concludes that transdisciplinary approaches are essential for advancing One Health initiatives and calls for more consistent terminology and implementation strategies in research and practice.</w:t>
            </w:r>
          </w:p>
        </w:tc>
      </w:tr>
      <w:tr w:rsidR="00EB4ED6" w:rsidRPr="00732EED" w14:paraId="245EC873"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F9342EF" w14:textId="77777777" w:rsidR="00C964C9" w:rsidRPr="00732EED" w:rsidRDefault="00C964C9" w:rsidP="009746D6">
            <w:pPr>
              <w:jc w:val="right"/>
              <w:rPr>
                <w:color w:val="000000"/>
                <w:sz w:val="18"/>
                <w:szCs w:val="18"/>
              </w:rPr>
            </w:pPr>
            <w:r w:rsidRPr="00732EED">
              <w:rPr>
                <w:color w:val="000000"/>
                <w:sz w:val="18"/>
                <w:szCs w:val="18"/>
              </w:rPr>
              <w:t>35</w:t>
            </w:r>
          </w:p>
        </w:tc>
        <w:tc>
          <w:tcPr>
            <w:tcW w:w="1377" w:type="pct"/>
            <w:hideMark/>
          </w:tcPr>
          <w:p w14:paraId="1F7B7EFA"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41" w:tgtFrame="_new" w:history="1">
              <w:r w:rsidR="00C964C9" w:rsidRPr="00732EED">
                <w:rPr>
                  <w:color w:val="467886"/>
                  <w:sz w:val="18"/>
                  <w:szCs w:val="18"/>
                </w:rPr>
                <w:t>Mooney R, Dempsey C, Brown BJ et al (2023) Using participatory action research methods to address epistemic injustice within mental health research and the mental health system. Front Public Health 11:1075363. https://doi.org/10.3389/fpubh.2023.1075363</w:t>
              </w:r>
            </w:hyperlink>
          </w:p>
        </w:tc>
        <w:tc>
          <w:tcPr>
            <w:tcW w:w="631" w:type="pct"/>
            <w:hideMark/>
          </w:tcPr>
          <w:p w14:paraId="5FC3007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Participatory action research involving stakeholders with lived experience.</w:t>
            </w:r>
          </w:p>
        </w:tc>
        <w:tc>
          <w:tcPr>
            <w:tcW w:w="621" w:type="pct"/>
            <w:hideMark/>
          </w:tcPr>
          <w:p w14:paraId="56F64959"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PAR; epistemic injustice; mental health equity.</w:t>
            </w:r>
          </w:p>
        </w:tc>
        <w:tc>
          <w:tcPr>
            <w:tcW w:w="763" w:type="pct"/>
            <w:hideMark/>
          </w:tcPr>
          <w:p w14:paraId="4168ACE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Empirical PAR study.</w:t>
            </w:r>
          </w:p>
        </w:tc>
        <w:tc>
          <w:tcPr>
            <w:tcW w:w="1460" w:type="pct"/>
            <w:hideMark/>
          </w:tcPr>
          <w:p w14:paraId="67BEF8E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study uses participatory action research to address epistemic injustice in mental health research and systems. By involving individuals with lived experience, the project challenges traditional hierarchies of knowledge and promotes more inclusive research practices. Findings show that participatory approaches can amplify marginalized voices and reshape how knowledge is produced and applied. The study highlights the importance of recognizing experiential knowledge as valid and valuable. It also identifies challenges such as power dynamics and institutional barriers. The authors conclude that PAR is an effective tool for addressing epistemic injustice and fostering </w:t>
            </w:r>
            <w:r w:rsidRPr="00732EED">
              <w:rPr>
                <w:color w:val="000000"/>
                <w:sz w:val="18"/>
                <w:szCs w:val="18"/>
              </w:rPr>
              <w:lastRenderedPageBreak/>
              <w:t>more equitable and inclusive mental health research and care systems.</w:t>
            </w:r>
          </w:p>
        </w:tc>
      </w:tr>
      <w:tr w:rsidR="00EB4ED6" w:rsidRPr="00732EED" w14:paraId="5748CE9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33CAF27" w14:textId="77777777" w:rsidR="00C964C9" w:rsidRPr="00732EED" w:rsidRDefault="00C964C9" w:rsidP="009746D6">
            <w:pPr>
              <w:jc w:val="right"/>
              <w:rPr>
                <w:color w:val="000000"/>
                <w:sz w:val="18"/>
                <w:szCs w:val="18"/>
              </w:rPr>
            </w:pPr>
            <w:r w:rsidRPr="00732EED">
              <w:rPr>
                <w:color w:val="000000"/>
                <w:sz w:val="18"/>
                <w:szCs w:val="18"/>
              </w:rPr>
              <w:lastRenderedPageBreak/>
              <w:t>36</w:t>
            </w:r>
          </w:p>
        </w:tc>
        <w:tc>
          <w:tcPr>
            <w:tcW w:w="1377" w:type="pct"/>
            <w:hideMark/>
          </w:tcPr>
          <w:p w14:paraId="2A186108"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42" w:tgtFrame="_new" w:history="1">
              <w:r w:rsidR="00C964C9" w:rsidRPr="00732EED">
                <w:rPr>
                  <w:color w:val="467886"/>
                  <w:sz w:val="18"/>
                  <w:szCs w:val="18"/>
                </w:rPr>
                <w:t>Murtagh S, McCombe G, Broughan J et al (2021) Integrating primary and secondary care to enhance chronic disease management: a scoping review. Int J Integr Care 21:4. https://doi.org/10.5334/ijic.5508</w:t>
              </w:r>
            </w:hyperlink>
          </w:p>
        </w:tc>
        <w:tc>
          <w:tcPr>
            <w:tcW w:w="631" w:type="pct"/>
            <w:hideMark/>
          </w:tcPr>
          <w:p w14:paraId="044F3F09"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 of literature on integrated care models.</w:t>
            </w:r>
          </w:p>
        </w:tc>
        <w:tc>
          <w:tcPr>
            <w:tcW w:w="621" w:type="pct"/>
            <w:hideMark/>
          </w:tcPr>
          <w:p w14:paraId="6F31E88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Integrated care; chronic disease management frameworks.</w:t>
            </w:r>
          </w:p>
        </w:tc>
        <w:tc>
          <w:tcPr>
            <w:tcW w:w="763" w:type="pct"/>
            <w:hideMark/>
          </w:tcPr>
          <w:p w14:paraId="68B35079"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w:t>
            </w:r>
          </w:p>
        </w:tc>
        <w:tc>
          <w:tcPr>
            <w:tcW w:w="1460" w:type="pct"/>
            <w:hideMark/>
          </w:tcPr>
          <w:p w14:paraId="4223177C"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reviews approaches to integrating primary and secondary care for chronic disease management. The findings highlight benefits such as improved coordination, better patient outcomes, and increased efficiency. Key components include communication systems, shared care plans, and multidisciplinary collaboration. The review also identifies barriers such as organizational fragmentation and resource constraints. The authors emphasize the importance of patient-centered approaches and continuity of care. The study concludes that integrated care models are essential for managing chronic conditions effectively, but successful implementation requires systemic changes, including policy support and alignment of healthcare structures and incentives.</w:t>
            </w:r>
          </w:p>
        </w:tc>
      </w:tr>
      <w:tr w:rsidR="00EB4ED6" w:rsidRPr="00732EED" w14:paraId="3E91582F"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1F2AF2FE" w14:textId="77777777" w:rsidR="00C964C9" w:rsidRPr="00732EED" w:rsidRDefault="00C964C9" w:rsidP="009746D6">
            <w:pPr>
              <w:jc w:val="right"/>
              <w:rPr>
                <w:color w:val="000000"/>
                <w:sz w:val="18"/>
                <w:szCs w:val="18"/>
              </w:rPr>
            </w:pPr>
            <w:r w:rsidRPr="00732EED">
              <w:rPr>
                <w:color w:val="000000"/>
                <w:sz w:val="18"/>
                <w:szCs w:val="18"/>
              </w:rPr>
              <w:t>37</w:t>
            </w:r>
          </w:p>
        </w:tc>
        <w:tc>
          <w:tcPr>
            <w:tcW w:w="1377" w:type="pct"/>
            <w:hideMark/>
          </w:tcPr>
          <w:p w14:paraId="4DB8B637" w14:textId="77777777" w:rsidR="00C964C9" w:rsidRPr="00732EED" w:rsidRDefault="00C964C9" w:rsidP="00EB4E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Nicolescu B (2010) </w:t>
            </w:r>
            <w:r w:rsidRPr="00732EED">
              <w:rPr>
                <w:i/>
                <w:iCs/>
                <w:color w:val="000000"/>
                <w:sz w:val="18"/>
                <w:szCs w:val="18"/>
              </w:rPr>
              <w:t xml:space="preserve">Methodology of </w:t>
            </w:r>
            <w:proofErr w:type="spellStart"/>
            <w:r w:rsidRPr="00732EED">
              <w:rPr>
                <w:i/>
                <w:iCs/>
                <w:color w:val="000000"/>
                <w:sz w:val="18"/>
                <w:szCs w:val="18"/>
              </w:rPr>
              <w:t>transdisciplinarity</w:t>
            </w:r>
            <w:proofErr w:type="spellEnd"/>
            <w:r w:rsidRPr="00732EED">
              <w:rPr>
                <w:i/>
                <w:iCs/>
                <w:color w:val="000000"/>
                <w:sz w:val="18"/>
                <w:szCs w:val="18"/>
              </w:rPr>
              <w:t>: levels of reality, logic of the included middle and complexity</w:t>
            </w:r>
            <w:r w:rsidRPr="00732EED">
              <w:rPr>
                <w:color w:val="000000"/>
                <w:sz w:val="18"/>
                <w:szCs w:val="18"/>
              </w:rPr>
              <w:t xml:space="preserve">. </w:t>
            </w:r>
            <w:proofErr w:type="spellStart"/>
            <w:r w:rsidRPr="00732EED">
              <w:rPr>
                <w:color w:val="000000"/>
                <w:sz w:val="18"/>
                <w:szCs w:val="18"/>
              </w:rPr>
              <w:t>Transdiscipl</w:t>
            </w:r>
            <w:proofErr w:type="spellEnd"/>
            <w:r w:rsidRPr="00732EED">
              <w:rPr>
                <w:color w:val="000000"/>
                <w:sz w:val="18"/>
                <w:szCs w:val="18"/>
              </w:rPr>
              <w:t xml:space="preserve"> J Eng Sci 1:17–32. (No DOI available)</w:t>
            </w:r>
          </w:p>
        </w:tc>
        <w:tc>
          <w:tcPr>
            <w:tcW w:w="631" w:type="pct"/>
            <w:hideMark/>
          </w:tcPr>
          <w:p w14:paraId="423341CF"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Conceptual and philosophical exposition.</w:t>
            </w:r>
          </w:p>
        </w:tc>
        <w:tc>
          <w:tcPr>
            <w:tcW w:w="621" w:type="pct"/>
            <w:hideMark/>
          </w:tcPr>
          <w:p w14:paraId="43707645"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proofErr w:type="spellStart"/>
            <w:r w:rsidRPr="00732EED">
              <w:rPr>
                <w:color w:val="000000"/>
                <w:sz w:val="18"/>
                <w:szCs w:val="18"/>
              </w:rPr>
              <w:t>Transdisciplinarity</w:t>
            </w:r>
            <w:proofErr w:type="spellEnd"/>
            <w:r w:rsidRPr="00732EED">
              <w:rPr>
                <w:color w:val="000000"/>
                <w:sz w:val="18"/>
                <w:szCs w:val="18"/>
              </w:rPr>
              <w:t xml:space="preserve"> theory; complexity; philosophy of science.</w:t>
            </w:r>
          </w:p>
        </w:tc>
        <w:tc>
          <w:tcPr>
            <w:tcW w:w="763" w:type="pct"/>
            <w:hideMark/>
          </w:tcPr>
          <w:p w14:paraId="4C76074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Theoretical paper.</w:t>
            </w:r>
          </w:p>
        </w:tc>
        <w:tc>
          <w:tcPr>
            <w:tcW w:w="1460" w:type="pct"/>
            <w:hideMark/>
          </w:tcPr>
          <w:p w14:paraId="6701792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Nicolescu outlines the methodology of </w:t>
            </w:r>
            <w:proofErr w:type="spellStart"/>
            <w:r w:rsidRPr="00732EED">
              <w:rPr>
                <w:color w:val="000000"/>
                <w:sz w:val="18"/>
                <w:szCs w:val="18"/>
              </w:rPr>
              <w:t>transdisciplinarity</w:t>
            </w:r>
            <w:proofErr w:type="spellEnd"/>
            <w:r w:rsidRPr="00732EED">
              <w:rPr>
                <w:color w:val="000000"/>
                <w:sz w:val="18"/>
                <w:szCs w:val="18"/>
              </w:rPr>
              <w:t xml:space="preserve">, focusing on key concepts such as levels of reality, the logic of the included middle, and complexity. The paper argues that traditional disciplinary approaches are insufficient for addressing complex problems, which require integrating multiple perspectives. </w:t>
            </w:r>
            <w:proofErr w:type="spellStart"/>
            <w:r w:rsidRPr="00732EED">
              <w:rPr>
                <w:color w:val="000000"/>
                <w:sz w:val="18"/>
                <w:szCs w:val="18"/>
              </w:rPr>
              <w:t>Transdisciplinarity</w:t>
            </w:r>
            <w:proofErr w:type="spellEnd"/>
            <w:r w:rsidRPr="00732EED">
              <w:rPr>
                <w:color w:val="000000"/>
                <w:sz w:val="18"/>
                <w:szCs w:val="18"/>
              </w:rPr>
              <w:t xml:space="preserve"> is presented as a framework that transcends disciplinary boundaries and incorporates both scientific and experiential knowledge. The author emphasizes the importance of embracing uncertainty and contradiction. The paper contributes to theoretical foundations of transdisciplinary research and provides a conceptual basis for its application in various fields, particularly in addressing complex societal and scientific challenges.</w:t>
            </w:r>
          </w:p>
        </w:tc>
      </w:tr>
      <w:tr w:rsidR="00EB4ED6" w:rsidRPr="00732EED" w14:paraId="4D01E377"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8F0D172" w14:textId="77777777" w:rsidR="00C964C9" w:rsidRPr="00732EED" w:rsidRDefault="00C964C9" w:rsidP="009746D6">
            <w:pPr>
              <w:jc w:val="right"/>
              <w:rPr>
                <w:color w:val="000000"/>
                <w:sz w:val="18"/>
                <w:szCs w:val="18"/>
              </w:rPr>
            </w:pPr>
            <w:r w:rsidRPr="00732EED">
              <w:rPr>
                <w:color w:val="000000"/>
                <w:sz w:val="18"/>
                <w:szCs w:val="18"/>
              </w:rPr>
              <w:t>38</w:t>
            </w:r>
          </w:p>
        </w:tc>
        <w:tc>
          <w:tcPr>
            <w:tcW w:w="1377" w:type="pct"/>
            <w:hideMark/>
          </w:tcPr>
          <w:p w14:paraId="79A00277"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43" w:tgtFrame="_new" w:history="1">
              <w:r w:rsidR="00C964C9" w:rsidRPr="00732EED">
                <w:rPr>
                  <w:color w:val="467886"/>
                  <w:sz w:val="18"/>
                  <w:szCs w:val="18"/>
                </w:rPr>
                <w:t>Niño de Guzmán Quispe E, Martínez García L, Orrego Villagrán C et al (2021) The perspectives of patients with chronic diseases and their caregivers on self-management interventions: a scoping review of reviews. Patient 14:719–740. https://doi.org/10.1007/s40271-021-00514-2</w:t>
              </w:r>
            </w:hyperlink>
          </w:p>
        </w:tc>
        <w:tc>
          <w:tcPr>
            <w:tcW w:w="631" w:type="pct"/>
            <w:hideMark/>
          </w:tcPr>
          <w:p w14:paraId="0A8B7955"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 of systematic reviews.</w:t>
            </w:r>
          </w:p>
        </w:tc>
        <w:tc>
          <w:tcPr>
            <w:tcW w:w="621" w:type="pct"/>
            <w:hideMark/>
          </w:tcPr>
          <w:p w14:paraId="23BA6D26"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Patient-centered care; self-management theory.</w:t>
            </w:r>
          </w:p>
        </w:tc>
        <w:tc>
          <w:tcPr>
            <w:tcW w:w="763" w:type="pct"/>
            <w:hideMark/>
          </w:tcPr>
          <w:p w14:paraId="41FA184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 of reviews.</w:t>
            </w:r>
          </w:p>
        </w:tc>
        <w:tc>
          <w:tcPr>
            <w:tcW w:w="1460" w:type="pct"/>
            <w:hideMark/>
          </w:tcPr>
          <w:p w14:paraId="328254F4"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study synthesizes evidence from reviews on patient and caregiver perspectives regarding self-management interventions for chronic diseases. The findings highlight the importance of tailoring interventions to individual needs, preferences, and contexts. Patients and caregivers value support that enhances autonomy, provides practical skills, and addresses emotional and social challenges. Barriers include limited accessibility and lack of personalization. The study emphasizes the need for collaborative approaches that involve patients and caregivers in intervention design. It concludes that </w:t>
            </w:r>
            <w:r w:rsidRPr="00732EED">
              <w:rPr>
                <w:color w:val="000000"/>
                <w:sz w:val="18"/>
                <w:szCs w:val="18"/>
              </w:rPr>
              <w:lastRenderedPageBreak/>
              <w:t>effective self-management support requires holistic, patient-centered strategies that consider the complex realities of living with chronic illness.</w:t>
            </w:r>
          </w:p>
        </w:tc>
      </w:tr>
      <w:tr w:rsidR="00EB4ED6" w:rsidRPr="00732EED" w14:paraId="1A3066CD"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C80295D" w14:textId="77777777" w:rsidR="00C964C9" w:rsidRPr="00732EED" w:rsidRDefault="00C964C9" w:rsidP="009746D6">
            <w:pPr>
              <w:jc w:val="right"/>
              <w:rPr>
                <w:color w:val="000000"/>
                <w:sz w:val="18"/>
                <w:szCs w:val="18"/>
              </w:rPr>
            </w:pPr>
            <w:r w:rsidRPr="00732EED">
              <w:rPr>
                <w:color w:val="000000"/>
                <w:sz w:val="18"/>
                <w:szCs w:val="18"/>
              </w:rPr>
              <w:lastRenderedPageBreak/>
              <w:t>39</w:t>
            </w:r>
          </w:p>
        </w:tc>
        <w:tc>
          <w:tcPr>
            <w:tcW w:w="1377" w:type="pct"/>
            <w:hideMark/>
          </w:tcPr>
          <w:p w14:paraId="3BBFCC85"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44" w:tgtFrame="_new" w:history="1">
              <w:r w:rsidR="00C964C9" w:rsidRPr="00732EED">
                <w:rPr>
                  <w:color w:val="467886"/>
                  <w:sz w:val="18"/>
                  <w:szCs w:val="18"/>
                </w:rPr>
                <w:t>Nizza IE, Smith JA, Kirkham JA (2022) Portraying improvement in the management of chronic pain: a multi-modal longitudinal interpretative phenomenological analysis study. Front Pain Res 3:901271. https://doi.org/10.3389/fpain.2022.901271</w:t>
              </w:r>
            </w:hyperlink>
          </w:p>
        </w:tc>
        <w:tc>
          <w:tcPr>
            <w:tcW w:w="631" w:type="pct"/>
            <w:hideMark/>
          </w:tcPr>
          <w:p w14:paraId="4815EE32"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Longitudinal interpretative phenomenological analysis (IPA) using multiple data sources.</w:t>
            </w:r>
          </w:p>
        </w:tc>
        <w:tc>
          <w:tcPr>
            <w:tcW w:w="621" w:type="pct"/>
            <w:hideMark/>
          </w:tcPr>
          <w:p w14:paraId="0C5FD2E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Phenomenology; chronic pain experience.</w:t>
            </w:r>
          </w:p>
        </w:tc>
        <w:tc>
          <w:tcPr>
            <w:tcW w:w="763" w:type="pct"/>
            <w:hideMark/>
          </w:tcPr>
          <w:p w14:paraId="5329A5A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longitudinal study.</w:t>
            </w:r>
          </w:p>
        </w:tc>
        <w:tc>
          <w:tcPr>
            <w:tcW w:w="1460" w:type="pct"/>
            <w:hideMark/>
          </w:tcPr>
          <w:p w14:paraId="7FC3EB8C"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explores how individuals experience improvement in chronic pain management over time using a longitudinal interpretative phenomenological analysis. Participants provided multiple forms of data, allowing for a rich understanding of their evolving experiences. Findings show that improvement is not linear but involves complex changes in perception, identity, and coping strategies. Participants described shifts in how they relate to pain, including increased acceptance and adaptability. The study emphasizes the subjective and dynamic nature of improvement. It concludes that effective pain management should consider these experiential dimensions and support individuals in developing personalized coping strategies over time.</w:t>
            </w:r>
          </w:p>
        </w:tc>
      </w:tr>
      <w:tr w:rsidR="00EB4ED6" w:rsidRPr="00732EED" w14:paraId="573015CD"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DE49393" w14:textId="77777777" w:rsidR="00C964C9" w:rsidRPr="00732EED" w:rsidRDefault="00C964C9" w:rsidP="009746D6">
            <w:pPr>
              <w:jc w:val="right"/>
              <w:rPr>
                <w:color w:val="000000"/>
                <w:sz w:val="18"/>
                <w:szCs w:val="18"/>
              </w:rPr>
            </w:pPr>
            <w:r w:rsidRPr="00732EED">
              <w:rPr>
                <w:color w:val="000000"/>
                <w:sz w:val="18"/>
                <w:szCs w:val="18"/>
              </w:rPr>
              <w:t>40</w:t>
            </w:r>
          </w:p>
        </w:tc>
        <w:tc>
          <w:tcPr>
            <w:tcW w:w="1377" w:type="pct"/>
            <w:hideMark/>
          </w:tcPr>
          <w:p w14:paraId="54FE44B8"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45" w:tgtFrame="_new" w:history="1">
              <w:r w:rsidR="00C964C9" w:rsidRPr="00732EED">
                <w:rPr>
                  <w:color w:val="467886"/>
                  <w:sz w:val="18"/>
                  <w:szCs w:val="18"/>
                </w:rPr>
                <w:t>Pathiraja Rathnayaka Hitige N, Song T, Craig SJ et al (2024) An ontology-based approach for understanding appendicectomy processes and associated resources. Healthcare (Basel) 13:10. https://doi.org/10.3390/healthcare13010010</w:t>
              </w:r>
            </w:hyperlink>
          </w:p>
        </w:tc>
        <w:tc>
          <w:tcPr>
            <w:tcW w:w="631" w:type="pct"/>
            <w:hideMark/>
          </w:tcPr>
          <w:p w14:paraId="399F2A46"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Development and application of ontology-based modeling.</w:t>
            </w:r>
          </w:p>
        </w:tc>
        <w:tc>
          <w:tcPr>
            <w:tcW w:w="621" w:type="pct"/>
            <w:hideMark/>
          </w:tcPr>
          <w:p w14:paraId="2A259AB2"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Ontology in healthcare processes; clinical informatics.</w:t>
            </w:r>
          </w:p>
        </w:tc>
        <w:tc>
          <w:tcPr>
            <w:tcW w:w="763" w:type="pct"/>
            <w:hideMark/>
          </w:tcPr>
          <w:p w14:paraId="7FAC5B4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Applied methodological study.</w:t>
            </w:r>
          </w:p>
        </w:tc>
        <w:tc>
          <w:tcPr>
            <w:tcW w:w="1460" w:type="pct"/>
            <w:hideMark/>
          </w:tcPr>
          <w:p w14:paraId="1236B0F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develops an ontology-based framework to model appendicectomy processes and associated resources. The approach aims to improve understanding, standardization, and optimization of surgical workflows. By structuring knowledge about procedures, resources, and interactions, the ontology facilitates better communication and decision-making in clinical settings. The study demonstrates how ontology-based models can enhance process analysis and support healthcare management. Challenges include complexity of modeling and integration with existing systems. The authors conclude that ontology-driven approaches have significant potential for improving efficiency and quality in surgical care and broader healthcare process management.</w:t>
            </w:r>
          </w:p>
        </w:tc>
      </w:tr>
      <w:tr w:rsidR="00EB4ED6" w:rsidRPr="00732EED" w14:paraId="13534242"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AC12F0A" w14:textId="77777777" w:rsidR="00C964C9" w:rsidRPr="00732EED" w:rsidRDefault="00C964C9" w:rsidP="009746D6">
            <w:pPr>
              <w:jc w:val="right"/>
              <w:rPr>
                <w:color w:val="000000"/>
                <w:sz w:val="18"/>
                <w:szCs w:val="18"/>
              </w:rPr>
            </w:pPr>
            <w:r w:rsidRPr="00732EED">
              <w:rPr>
                <w:color w:val="000000"/>
                <w:sz w:val="18"/>
                <w:szCs w:val="18"/>
              </w:rPr>
              <w:t>41</w:t>
            </w:r>
          </w:p>
        </w:tc>
        <w:tc>
          <w:tcPr>
            <w:tcW w:w="1377" w:type="pct"/>
            <w:hideMark/>
          </w:tcPr>
          <w:p w14:paraId="10367D1C"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46" w:tgtFrame="_new" w:history="1">
              <w:r w:rsidR="00C964C9" w:rsidRPr="00732EED">
                <w:rPr>
                  <w:color w:val="467886"/>
                  <w:sz w:val="18"/>
                  <w:szCs w:val="18"/>
                </w:rPr>
                <w:t>Pineo H, Turnbull ER, Davies M et al (2021) A new transdisciplinary research model to investigate and improve the health of the public. Health Promot Int 36:481–492. https://doi.org/10.1093/heapro/daaa125</w:t>
              </w:r>
            </w:hyperlink>
          </w:p>
        </w:tc>
        <w:tc>
          <w:tcPr>
            <w:tcW w:w="631" w:type="pct"/>
            <w:hideMark/>
          </w:tcPr>
          <w:p w14:paraId="156A52EC"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Conceptual development supported by case examples.</w:t>
            </w:r>
          </w:p>
        </w:tc>
        <w:tc>
          <w:tcPr>
            <w:tcW w:w="621" w:type="pct"/>
            <w:hideMark/>
          </w:tcPr>
          <w:p w14:paraId="2AFBE09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Transdisciplinary research; public health systems thinking.</w:t>
            </w:r>
          </w:p>
        </w:tc>
        <w:tc>
          <w:tcPr>
            <w:tcW w:w="763" w:type="pct"/>
            <w:hideMark/>
          </w:tcPr>
          <w:p w14:paraId="1BE46EF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Conceptual/model development paper.</w:t>
            </w:r>
          </w:p>
        </w:tc>
        <w:tc>
          <w:tcPr>
            <w:tcW w:w="1460" w:type="pct"/>
            <w:hideMark/>
          </w:tcPr>
          <w:p w14:paraId="2582506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paper proposes a new transdisciplinary research model aimed at improving public health. The model emphasizes collaboration across disciplines, sectors, and stakeholders to address complex determinants of health. It integrates systems thinking and highlights the importance of aligning research with policy and practice. Case examples illustrate how the model can be applied to real-world challenges. The authors identify key components such as co-production, stakeholder engagement, and iterative learning. The paper argues that traditional research approaches are </w:t>
            </w:r>
            <w:r w:rsidRPr="00732EED">
              <w:rPr>
                <w:color w:val="000000"/>
                <w:sz w:val="18"/>
                <w:szCs w:val="18"/>
              </w:rPr>
              <w:lastRenderedPageBreak/>
              <w:t>insufficient for addressing complex health issues. It concludes that transdisciplinary models are essential for generating actionable knowledge and improving population health outcomes.</w:t>
            </w:r>
          </w:p>
        </w:tc>
      </w:tr>
      <w:tr w:rsidR="00EB4ED6" w:rsidRPr="00732EED" w14:paraId="64CA0D1C"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C219259" w14:textId="77777777" w:rsidR="00C964C9" w:rsidRPr="00732EED" w:rsidRDefault="00C964C9" w:rsidP="009746D6">
            <w:pPr>
              <w:jc w:val="right"/>
              <w:rPr>
                <w:color w:val="000000"/>
                <w:sz w:val="18"/>
                <w:szCs w:val="18"/>
              </w:rPr>
            </w:pPr>
            <w:r w:rsidRPr="00732EED">
              <w:rPr>
                <w:color w:val="000000"/>
                <w:sz w:val="18"/>
                <w:szCs w:val="18"/>
              </w:rPr>
              <w:lastRenderedPageBreak/>
              <w:t>42</w:t>
            </w:r>
          </w:p>
        </w:tc>
        <w:tc>
          <w:tcPr>
            <w:tcW w:w="1377" w:type="pct"/>
            <w:hideMark/>
          </w:tcPr>
          <w:p w14:paraId="2EF85F43"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47" w:tgtFrame="_new" w:history="1">
              <w:r w:rsidR="00C964C9" w:rsidRPr="00732EED">
                <w:rPr>
                  <w:color w:val="467886"/>
                  <w:sz w:val="18"/>
                  <w:szCs w:val="18"/>
                </w:rPr>
                <w:t>Prophet J, Rahman R, Hassett L (2023) An online photovoice study designed by researchers from art and social work to better understand the experience of chronic pain by women of color. Am J Art Media Stud 28:69–89. https://doi.org/10.25038/am.v0i28.582</w:t>
              </w:r>
            </w:hyperlink>
          </w:p>
        </w:tc>
        <w:tc>
          <w:tcPr>
            <w:tcW w:w="631" w:type="pct"/>
            <w:hideMark/>
          </w:tcPr>
          <w:p w14:paraId="096B5BCB"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Photovoice methodology conducted online; qualitative analysis of visual and narrative data.</w:t>
            </w:r>
          </w:p>
        </w:tc>
        <w:tc>
          <w:tcPr>
            <w:tcW w:w="621" w:type="pct"/>
            <w:hideMark/>
          </w:tcPr>
          <w:p w14:paraId="76AD350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Participatory arts-based research; intersectionality.</w:t>
            </w:r>
          </w:p>
        </w:tc>
        <w:tc>
          <w:tcPr>
            <w:tcW w:w="763" w:type="pct"/>
            <w:hideMark/>
          </w:tcPr>
          <w:p w14:paraId="6DD8A69C"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Qualitative participatory study.</w:t>
            </w:r>
          </w:p>
        </w:tc>
        <w:tc>
          <w:tcPr>
            <w:tcW w:w="1460" w:type="pct"/>
            <w:hideMark/>
          </w:tcPr>
          <w:p w14:paraId="2B7C90C1"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uses an online photovoice approach to explore chronic pain experiences among women of color. Participants created and shared images alongside narratives to express their experiences. The method enabled rich, multidimensional insights into how pain intersects with identity, culture, and social context. Findings highlight issues such as marginalization, invisibility, and resilience. The participatory and arts-based approach empowered participants to represent their own experiences. The study demonstrates the value of creative methodologies in capturing complex lived experiences. It concludes that incorporating intersectional and participatory approaches can enhance understanding and support more inclusive pain research and care practices.</w:t>
            </w:r>
          </w:p>
        </w:tc>
      </w:tr>
      <w:tr w:rsidR="00EB4ED6" w:rsidRPr="00732EED" w14:paraId="76A931E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665D293" w14:textId="77777777" w:rsidR="00C964C9" w:rsidRPr="00732EED" w:rsidRDefault="00C964C9" w:rsidP="009746D6">
            <w:pPr>
              <w:jc w:val="right"/>
              <w:rPr>
                <w:color w:val="000000"/>
                <w:sz w:val="18"/>
                <w:szCs w:val="18"/>
              </w:rPr>
            </w:pPr>
            <w:r w:rsidRPr="00732EED">
              <w:rPr>
                <w:color w:val="000000"/>
                <w:sz w:val="18"/>
                <w:szCs w:val="18"/>
              </w:rPr>
              <w:t>43</w:t>
            </w:r>
          </w:p>
        </w:tc>
        <w:tc>
          <w:tcPr>
            <w:tcW w:w="1377" w:type="pct"/>
            <w:hideMark/>
          </w:tcPr>
          <w:p w14:paraId="7B4C1E5A"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48" w:tgtFrame="_new" w:history="1">
              <w:r w:rsidR="00C964C9" w:rsidRPr="00732EED">
                <w:rPr>
                  <w:color w:val="467886"/>
                  <w:sz w:val="18"/>
                  <w:szCs w:val="18"/>
                </w:rPr>
                <w:t>Pyysiäinen J (2021) Sociocultural affordances and enactment of agency: a transactional view. Theor Psychol 31:491–512. https://doi.org/10.1177/0959354321989431</w:t>
              </w:r>
            </w:hyperlink>
          </w:p>
        </w:tc>
        <w:tc>
          <w:tcPr>
            <w:tcW w:w="631" w:type="pct"/>
            <w:hideMark/>
          </w:tcPr>
          <w:p w14:paraId="3235517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Theoretical analysis drawing on psychology and philosophy.</w:t>
            </w:r>
          </w:p>
        </w:tc>
        <w:tc>
          <w:tcPr>
            <w:tcW w:w="621" w:type="pct"/>
            <w:hideMark/>
          </w:tcPr>
          <w:p w14:paraId="42822182"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Sociocultural affordances; transactional theory of agency.</w:t>
            </w:r>
          </w:p>
        </w:tc>
        <w:tc>
          <w:tcPr>
            <w:tcW w:w="763" w:type="pct"/>
            <w:hideMark/>
          </w:tcPr>
          <w:p w14:paraId="154C60A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Theoretical/conceptual paper.</w:t>
            </w:r>
          </w:p>
        </w:tc>
        <w:tc>
          <w:tcPr>
            <w:tcW w:w="1460" w:type="pct"/>
            <w:hideMark/>
          </w:tcPr>
          <w:p w14:paraId="2E25AEA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paper develops a transactional perspective on agency by integrating sociocultural affordances into psychological theory. </w:t>
            </w:r>
            <w:proofErr w:type="spellStart"/>
            <w:r w:rsidRPr="00732EED">
              <w:rPr>
                <w:color w:val="000000"/>
                <w:sz w:val="18"/>
                <w:szCs w:val="18"/>
              </w:rPr>
              <w:t>Pyysiäinen</w:t>
            </w:r>
            <w:proofErr w:type="spellEnd"/>
            <w:r w:rsidRPr="00732EED">
              <w:rPr>
                <w:color w:val="000000"/>
                <w:sz w:val="18"/>
                <w:szCs w:val="18"/>
              </w:rPr>
              <w:t xml:space="preserve"> argues that agency emerges through dynamic interactions between individuals and their sociocultural environments. Affordances are not merely physical but also socially constructed, shaping possibilities for action. The paper critiques individualistic models of agency and emphasizes relational and contextual factors. By combining insights from ecological psychology and sociocultural theory, the author proposes a more comprehensive framework for understanding human action. The study contributes to theoretical debates by highlighting how agency is enacted within complex social systems and cultural contexts.</w:t>
            </w:r>
          </w:p>
        </w:tc>
      </w:tr>
      <w:tr w:rsidR="00EB4ED6" w:rsidRPr="00732EED" w14:paraId="5A6A8296"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53EC3579" w14:textId="77777777" w:rsidR="00C964C9" w:rsidRPr="00732EED" w:rsidRDefault="00C964C9" w:rsidP="009746D6">
            <w:pPr>
              <w:jc w:val="right"/>
              <w:rPr>
                <w:color w:val="000000"/>
                <w:sz w:val="18"/>
                <w:szCs w:val="18"/>
              </w:rPr>
            </w:pPr>
            <w:r w:rsidRPr="00732EED">
              <w:rPr>
                <w:color w:val="000000"/>
                <w:sz w:val="18"/>
                <w:szCs w:val="18"/>
              </w:rPr>
              <w:t>44</w:t>
            </w:r>
          </w:p>
        </w:tc>
        <w:tc>
          <w:tcPr>
            <w:tcW w:w="1377" w:type="pct"/>
            <w:hideMark/>
          </w:tcPr>
          <w:p w14:paraId="27CC329C"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49" w:tgtFrame="_new" w:history="1">
              <w:r w:rsidR="00C964C9" w:rsidRPr="00732EED">
                <w:rPr>
                  <w:color w:val="467886"/>
                  <w:sz w:val="18"/>
                  <w:szCs w:val="18"/>
                </w:rPr>
                <w:t>Ramstead MJD, Veissière SPL, Kirmayer LJ (2016) Cultural affordances: scaffolding local worlds through shared intentionality and regimes of attention. Front Psychol 7:1090. https://doi.org/10.3389/fpsyg.2016.01090</w:t>
              </w:r>
            </w:hyperlink>
          </w:p>
        </w:tc>
        <w:tc>
          <w:tcPr>
            <w:tcW w:w="631" w:type="pct"/>
            <w:hideMark/>
          </w:tcPr>
          <w:p w14:paraId="5FBE415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Conceptual synthesis integrating multiple theoretical traditions.</w:t>
            </w:r>
          </w:p>
        </w:tc>
        <w:tc>
          <w:tcPr>
            <w:tcW w:w="621" w:type="pct"/>
            <w:hideMark/>
          </w:tcPr>
          <w:p w14:paraId="20DEA3EB"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Cultural affordances; enactive cognition; ecological psychology.</w:t>
            </w:r>
          </w:p>
        </w:tc>
        <w:tc>
          <w:tcPr>
            <w:tcW w:w="763" w:type="pct"/>
            <w:hideMark/>
          </w:tcPr>
          <w:p w14:paraId="18433003"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Theoretical/conceptual paper.</w:t>
            </w:r>
          </w:p>
        </w:tc>
        <w:tc>
          <w:tcPr>
            <w:tcW w:w="1460" w:type="pct"/>
            <w:hideMark/>
          </w:tcPr>
          <w:p w14:paraId="64959B0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paper introduces the concept of cultural affordances, extending ecological psychology to include sociocultural dimensions of perception and action. The authors argue that shared practices, norms, and attention shape how individuals perceive and interact with their environments. Cultural affordances scaffold “local worlds,” enabling coordinated action and meaning-making. The framework integrates enactive cognition and ecological psychology, emphasizing the role of shared intentionality. The paper challenges purely </w:t>
            </w:r>
            <w:r w:rsidRPr="00732EED">
              <w:rPr>
                <w:color w:val="000000"/>
                <w:sz w:val="18"/>
                <w:szCs w:val="18"/>
              </w:rPr>
              <w:lastRenderedPageBreak/>
              <w:t>individualistic accounts of cognition and highlights the importance of culture in shaping experience. It concludes that understanding cultural affordances is essential for explaining human behavior in social contexts and has implications for fields such as anthropology, psychology, and cognitive science.</w:t>
            </w:r>
          </w:p>
        </w:tc>
      </w:tr>
      <w:tr w:rsidR="00EB4ED6" w:rsidRPr="00732EED" w14:paraId="045A895C"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4320A329" w14:textId="77777777" w:rsidR="00C964C9" w:rsidRPr="00732EED" w:rsidRDefault="00C964C9" w:rsidP="009746D6">
            <w:pPr>
              <w:jc w:val="right"/>
              <w:rPr>
                <w:color w:val="000000"/>
                <w:sz w:val="18"/>
                <w:szCs w:val="18"/>
              </w:rPr>
            </w:pPr>
            <w:r w:rsidRPr="00732EED">
              <w:rPr>
                <w:color w:val="000000"/>
                <w:sz w:val="18"/>
                <w:szCs w:val="18"/>
              </w:rPr>
              <w:lastRenderedPageBreak/>
              <w:t>45</w:t>
            </w:r>
          </w:p>
        </w:tc>
        <w:tc>
          <w:tcPr>
            <w:tcW w:w="1377" w:type="pct"/>
            <w:hideMark/>
          </w:tcPr>
          <w:p w14:paraId="56204099"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50" w:tgtFrame="_new" w:history="1">
              <w:r w:rsidR="00C964C9" w:rsidRPr="00732EED">
                <w:rPr>
                  <w:color w:val="467886"/>
                  <w:sz w:val="18"/>
                  <w:szCs w:val="18"/>
                </w:rPr>
                <w:t>Redwood D, Lanier A, Kemberling M et al (2010) Community-based participatory research in a large cohort study of chronic diseases among Alaska Native adults. Prog Community Health Partnersh 4:325–330. https://doi.org/10.1353/cpr.2010.0012</w:t>
              </w:r>
            </w:hyperlink>
          </w:p>
        </w:tc>
        <w:tc>
          <w:tcPr>
            <w:tcW w:w="631" w:type="pct"/>
            <w:hideMark/>
          </w:tcPr>
          <w:p w14:paraId="2E5B0C3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CBPR integrated into a cohort study; mixed qualitative and quantitative elements.</w:t>
            </w:r>
          </w:p>
        </w:tc>
        <w:tc>
          <w:tcPr>
            <w:tcW w:w="621" w:type="pct"/>
            <w:hideMark/>
          </w:tcPr>
          <w:p w14:paraId="75F083A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Community-based participatory research; health equity.</w:t>
            </w:r>
          </w:p>
        </w:tc>
        <w:tc>
          <w:tcPr>
            <w:tcW w:w="763" w:type="pct"/>
            <w:hideMark/>
          </w:tcPr>
          <w:p w14:paraId="26F695AD"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Empirical study using CBPR approach.</w:t>
            </w:r>
          </w:p>
        </w:tc>
        <w:tc>
          <w:tcPr>
            <w:tcW w:w="1460" w:type="pct"/>
            <w:hideMark/>
          </w:tcPr>
          <w:p w14:paraId="5CD8CDC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describes the integration of community-based participatory research (CBPR) into a large cohort study of chronic diseases among Alaska Native adults. The approach involved collaboration between researchers and community members in study design, implementation, and interpretation. Findings highlight how CBPR enhances trust, participation, and cultural relevance. The study demonstrates that combining CBPR with epidemiological research can improve data quality and community engagement. Challenges include balancing scientific and community priorities. The authors conclude that CBPR is an effective strategy for conducting large-scale health research in culturally diverse populations and for addressing health disparities through inclusive and collaborative approaches.</w:t>
            </w:r>
          </w:p>
        </w:tc>
      </w:tr>
      <w:tr w:rsidR="00EB4ED6" w:rsidRPr="00732EED" w14:paraId="449543EF"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205447E5" w14:textId="77777777" w:rsidR="00C964C9" w:rsidRPr="00732EED" w:rsidRDefault="00C964C9" w:rsidP="009746D6">
            <w:pPr>
              <w:jc w:val="right"/>
              <w:rPr>
                <w:color w:val="000000"/>
                <w:sz w:val="18"/>
                <w:szCs w:val="18"/>
              </w:rPr>
            </w:pPr>
            <w:r w:rsidRPr="00732EED">
              <w:rPr>
                <w:color w:val="000000"/>
                <w:sz w:val="18"/>
                <w:szCs w:val="18"/>
              </w:rPr>
              <w:t>46</w:t>
            </w:r>
          </w:p>
        </w:tc>
        <w:tc>
          <w:tcPr>
            <w:tcW w:w="1377" w:type="pct"/>
            <w:hideMark/>
          </w:tcPr>
          <w:p w14:paraId="5C56DBE1"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51" w:tgtFrame="_new" w:history="1">
              <w:r w:rsidR="00C964C9" w:rsidRPr="00732EED">
                <w:rPr>
                  <w:color w:val="467886"/>
                  <w:sz w:val="18"/>
                  <w:szCs w:val="18"/>
                </w:rPr>
                <w:t>Rogger R, Bello C, Romero CS et al (2023) Cultural framing and the impact on acute pain and pain services. Curr Pain Headache Rep 27:429–436. https://doi.org/10.1007/s11916-023-01125-2</w:t>
              </w:r>
            </w:hyperlink>
          </w:p>
        </w:tc>
        <w:tc>
          <w:tcPr>
            <w:tcW w:w="631" w:type="pct"/>
            <w:hideMark/>
          </w:tcPr>
          <w:p w14:paraId="0B3E2FB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Narrative review of literature on culture and pain perception.</w:t>
            </w:r>
          </w:p>
        </w:tc>
        <w:tc>
          <w:tcPr>
            <w:tcW w:w="621" w:type="pct"/>
            <w:hideMark/>
          </w:tcPr>
          <w:p w14:paraId="6BB9455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Cultural framing theory; biopsychosocial model of pain.</w:t>
            </w:r>
          </w:p>
        </w:tc>
        <w:tc>
          <w:tcPr>
            <w:tcW w:w="763" w:type="pct"/>
            <w:hideMark/>
          </w:tcPr>
          <w:p w14:paraId="3DA4F2F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Narrative review.</w:t>
            </w:r>
          </w:p>
        </w:tc>
        <w:tc>
          <w:tcPr>
            <w:tcW w:w="1460" w:type="pct"/>
            <w:hideMark/>
          </w:tcPr>
          <w:p w14:paraId="7C0AC785"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paper examines how cultural framing influences the experience of acute pain and the delivery of pain services. The authors show that cultural beliefs, expectations, and communication styles significantly shape how pain is perceived, expressed, and managed. Differences in cultural framing can affect clinical assessment, treatment decisions, and patient outcomes. The review highlights the importance of culturally sensitive pain management strategies and the need for clinicians to recognize implicit biases. It concludes that integrating cultural understanding into pain care improves communication, trust, and treatment effectiveness, and calls for further research into culturally responsive pain management practices.</w:t>
            </w:r>
          </w:p>
        </w:tc>
      </w:tr>
      <w:tr w:rsidR="00EB4ED6" w:rsidRPr="00732EED" w14:paraId="4E1A54F0"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2D5C032A" w14:textId="77777777" w:rsidR="00C964C9" w:rsidRPr="00732EED" w:rsidRDefault="00C964C9" w:rsidP="009746D6">
            <w:pPr>
              <w:jc w:val="right"/>
              <w:rPr>
                <w:color w:val="000000"/>
                <w:sz w:val="18"/>
                <w:szCs w:val="18"/>
              </w:rPr>
            </w:pPr>
            <w:r w:rsidRPr="00732EED">
              <w:rPr>
                <w:color w:val="000000"/>
                <w:sz w:val="18"/>
                <w:szCs w:val="18"/>
              </w:rPr>
              <w:t>47</w:t>
            </w:r>
          </w:p>
        </w:tc>
        <w:tc>
          <w:tcPr>
            <w:tcW w:w="1377" w:type="pct"/>
            <w:hideMark/>
          </w:tcPr>
          <w:p w14:paraId="3DF225D8"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52" w:tgtFrame="_new" w:history="1">
              <w:r w:rsidR="00C964C9" w:rsidRPr="00732EED">
                <w:rPr>
                  <w:color w:val="467886"/>
                  <w:sz w:val="18"/>
                  <w:szCs w:val="18"/>
                </w:rPr>
                <w:t>Rosenzweig S, Greeson JM, Reibel DK et al (2010) Mindfulness-based stress reduction for chronic pain conditions: variation in treatment outcomes and role of home meditation practice. J Psychosom Res 68:29–36. https://doi.org/10.1016/j.jpsychores.2009.03.010</w:t>
              </w:r>
            </w:hyperlink>
          </w:p>
        </w:tc>
        <w:tc>
          <w:tcPr>
            <w:tcW w:w="631" w:type="pct"/>
            <w:hideMark/>
          </w:tcPr>
          <w:p w14:paraId="0DA2A32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Quantitative study analyzing outcomes from MBSR programs.</w:t>
            </w:r>
          </w:p>
        </w:tc>
        <w:tc>
          <w:tcPr>
            <w:tcW w:w="621" w:type="pct"/>
            <w:hideMark/>
          </w:tcPr>
          <w:p w14:paraId="335A57F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Mindfulness-based stress reduction (MBSR); behavioral health theory.</w:t>
            </w:r>
          </w:p>
        </w:tc>
        <w:tc>
          <w:tcPr>
            <w:tcW w:w="763" w:type="pct"/>
            <w:hideMark/>
          </w:tcPr>
          <w:p w14:paraId="2BEDE3D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Empirical outcome study (quasi-experimental).</w:t>
            </w:r>
          </w:p>
        </w:tc>
        <w:tc>
          <w:tcPr>
            <w:tcW w:w="1460" w:type="pct"/>
            <w:hideMark/>
          </w:tcPr>
          <w:p w14:paraId="604B918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study evaluates the effectiveness of mindfulness-based stress reduction (MBSR) for chronic pain conditions and examines the role of home meditation practice. Results show improvements in pain intensity, psychological distress, and overall functioning among participants. Importantly, greater adherence to home practice is associated with stronger positive outcomes. The study highlights variability in </w:t>
            </w:r>
            <w:r w:rsidRPr="00732EED">
              <w:rPr>
                <w:color w:val="000000"/>
                <w:sz w:val="18"/>
                <w:szCs w:val="18"/>
              </w:rPr>
              <w:lastRenderedPageBreak/>
              <w:t>individual responses to MBSR and suggests that engagement level is a key determinant of effectiveness. It concludes that mindfulness interventions can be beneficial for chronic pain, but their success depends on sustained participant practice and integration into daily life routines.</w:t>
            </w:r>
          </w:p>
        </w:tc>
      </w:tr>
      <w:tr w:rsidR="00EB4ED6" w:rsidRPr="00732EED" w14:paraId="423516A5"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33948D0" w14:textId="77777777" w:rsidR="00C964C9" w:rsidRPr="00732EED" w:rsidRDefault="00C964C9" w:rsidP="009746D6">
            <w:pPr>
              <w:jc w:val="right"/>
              <w:rPr>
                <w:color w:val="000000"/>
                <w:sz w:val="18"/>
                <w:szCs w:val="18"/>
              </w:rPr>
            </w:pPr>
            <w:r w:rsidRPr="00732EED">
              <w:rPr>
                <w:color w:val="000000"/>
                <w:sz w:val="18"/>
                <w:szCs w:val="18"/>
              </w:rPr>
              <w:lastRenderedPageBreak/>
              <w:t>48</w:t>
            </w:r>
          </w:p>
        </w:tc>
        <w:tc>
          <w:tcPr>
            <w:tcW w:w="1377" w:type="pct"/>
            <w:hideMark/>
          </w:tcPr>
          <w:p w14:paraId="27AB344C" w14:textId="77777777" w:rsidR="00C964C9" w:rsidRPr="00732EED" w:rsidRDefault="00C964C9" w:rsidP="00EB4E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Rovetto RJ, Mizoguchi R (2015) </w:t>
            </w:r>
            <w:r w:rsidRPr="00732EED">
              <w:rPr>
                <w:i/>
                <w:iCs/>
                <w:color w:val="000000"/>
                <w:sz w:val="18"/>
                <w:szCs w:val="18"/>
              </w:rPr>
              <w:t>Causality and the ontology of disease</w:t>
            </w:r>
            <w:r w:rsidRPr="00732EED">
              <w:rPr>
                <w:color w:val="000000"/>
                <w:sz w:val="18"/>
                <w:szCs w:val="18"/>
              </w:rPr>
              <w:t xml:space="preserve">. Appl </w:t>
            </w:r>
            <w:proofErr w:type="spellStart"/>
            <w:r w:rsidRPr="00732EED">
              <w:rPr>
                <w:color w:val="000000"/>
                <w:sz w:val="18"/>
                <w:szCs w:val="18"/>
              </w:rPr>
              <w:t>Ontol</w:t>
            </w:r>
            <w:proofErr w:type="spellEnd"/>
            <w:r w:rsidRPr="00732EED">
              <w:rPr>
                <w:color w:val="000000"/>
                <w:sz w:val="18"/>
                <w:szCs w:val="18"/>
              </w:rPr>
              <w:t xml:space="preserve"> 10:79–105.</w:t>
            </w:r>
          </w:p>
        </w:tc>
        <w:tc>
          <w:tcPr>
            <w:tcW w:w="631" w:type="pct"/>
            <w:hideMark/>
          </w:tcPr>
          <w:p w14:paraId="6E020E3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Philosophical and formal ontology analysis.</w:t>
            </w:r>
          </w:p>
        </w:tc>
        <w:tc>
          <w:tcPr>
            <w:tcW w:w="621" w:type="pct"/>
            <w:hideMark/>
          </w:tcPr>
          <w:p w14:paraId="5FE74BA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Ontology of disease; causality theory.</w:t>
            </w:r>
          </w:p>
        </w:tc>
        <w:tc>
          <w:tcPr>
            <w:tcW w:w="763" w:type="pct"/>
            <w:hideMark/>
          </w:tcPr>
          <w:p w14:paraId="474F6957"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Theoretical/philosophical paper.</w:t>
            </w:r>
          </w:p>
        </w:tc>
        <w:tc>
          <w:tcPr>
            <w:tcW w:w="1460" w:type="pct"/>
            <w:hideMark/>
          </w:tcPr>
          <w:p w14:paraId="4C89169B"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paper explores the relationship between causality and the ontology of disease. The authors argue that understanding disease requires a structured ontological framework that accounts for causal processes rather than static categories. They examine how diseases emerge from complex interactions among biological, environmental, and systemic factors. The study critiques simplistic classification systems and advocates for more nuanced representations of disease causation. By integrating ontology and causality theory, the authors propose a framework that better captures the dynamic nature of disease processes. The paper contributes to biomedical ontology by refining conceptual tools used in disease classification and clinical reasoning.</w:t>
            </w:r>
          </w:p>
        </w:tc>
      </w:tr>
      <w:tr w:rsidR="00EB4ED6" w:rsidRPr="00732EED" w14:paraId="6996ABA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9B285B8" w14:textId="77777777" w:rsidR="00C964C9" w:rsidRPr="00732EED" w:rsidRDefault="00C964C9" w:rsidP="009746D6">
            <w:pPr>
              <w:jc w:val="right"/>
              <w:rPr>
                <w:color w:val="000000"/>
                <w:sz w:val="18"/>
                <w:szCs w:val="18"/>
              </w:rPr>
            </w:pPr>
            <w:r w:rsidRPr="00732EED">
              <w:rPr>
                <w:color w:val="000000"/>
                <w:sz w:val="18"/>
                <w:szCs w:val="18"/>
              </w:rPr>
              <w:t>49</w:t>
            </w:r>
          </w:p>
        </w:tc>
        <w:tc>
          <w:tcPr>
            <w:tcW w:w="1377" w:type="pct"/>
            <w:hideMark/>
          </w:tcPr>
          <w:p w14:paraId="20C0AC27"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53" w:tgtFrame="_new" w:history="1">
              <w:r w:rsidR="00C964C9" w:rsidRPr="00732EED">
                <w:rPr>
                  <w:color w:val="467886"/>
                  <w:sz w:val="18"/>
                  <w:szCs w:val="18"/>
                </w:rPr>
                <w:t>Seibt J (2018) Ontological tools for the process turn in biology. In: Nicholson DJ, Dupré J (eds) Everything flows: towards a processual philosophy of biology. Oxford University Press. https://doi.org/10.1093/oso/9780198779636.003.0006</w:t>
              </w:r>
            </w:hyperlink>
          </w:p>
        </w:tc>
        <w:tc>
          <w:tcPr>
            <w:tcW w:w="631" w:type="pct"/>
            <w:hideMark/>
          </w:tcPr>
          <w:p w14:paraId="1A99128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Philosophical synthesis of process ontology tools.</w:t>
            </w:r>
          </w:p>
        </w:tc>
        <w:tc>
          <w:tcPr>
            <w:tcW w:w="621" w:type="pct"/>
            <w:hideMark/>
          </w:tcPr>
          <w:p w14:paraId="7D67E3DC"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Process philosophy; ontology in biology.</w:t>
            </w:r>
          </w:p>
        </w:tc>
        <w:tc>
          <w:tcPr>
            <w:tcW w:w="763" w:type="pct"/>
            <w:hideMark/>
          </w:tcPr>
          <w:p w14:paraId="159D589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Theoretical book chapter.</w:t>
            </w:r>
          </w:p>
        </w:tc>
        <w:tc>
          <w:tcPr>
            <w:tcW w:w="1460" w:type="pct"/>
            <w:hideMark/>
          </w:tcPr>
          <w:p w14:paraId="505BB76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Seibt develops ontological tools to support the “process turn” in biology, arguing that biological systems are best understood as dynamic processes rather than static entities. The chapter outlines conceptual frameworks for representing biological change, interaction, and organization over time. It critiques substance-based ontologies and highlights the advantages of process-oriented thinking in capturing biological complexity. The author integrates insights from metaphysics and biology to propose more flexible conceptual structures. The work contributes to ongoing philosophical debates by offering tools that better align with contemporary biological research, particularly in systems and evolutionary biology.</w:t>
            </w:r>
          </w:p>
        </w:tc>
      </w:tr>
      <w:tr w:rsidR="00EB4ED6" w:rsidRPr="00732EED" w14:paraId="7BA2F7C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5443EDF9" w14:textId="77777777" w:rsidR="00C964C9" w:rsidRPr="00732EED" w:rsidRDefault="00C964C9" w:rsidP="009746D6">
            <w:pPr>
              <w:jc w:val="right"/>
              <w:rPr>
                <w:color w:val="000000"/>
                <w:sz w:val="18"/>
                <w:szCs w:val="18"/>
              </w:rPr>
            </w:pPr>
            <w:r w:rsidRPr="00732EED">
              <w:rPr>
                <w:color w:val="000000"/>
                <w:sz w:val="18"/>
                <w:szCs w:val="18"/>
              </w:rPr>
              <w:t>50</w:t>
            </w:r>
          </w:p>
        </w:tc>
        <w:tc>
          <w:tcPr>
            <w:tcW w:w="1377" w:type="pct"/>
            <w:hideMark/>
          </w:tcPr>
          <w:p w14:paraId="4D0D4E29"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54" w:tgtFrame="_new" w:history="1">
              <w:r w:rsidR="00C964C9" w:rsidRPr="00732EED">
                <w:rPr>
                  <w:color w:val="467886"/>
                  <w:sz w:val="18"/>
                  <w:szCs w:val="18"/>
                </w:rPr>
                <w:t>Sell K, Hommes F, Fischer F et al (2022) Multi-, inter-, and transdisciplinarity within the public health workforce: a scoping review to assess definitions and applications of concepts. Int J Environ Res Public Health 19:10902. https://doi.org/10.3390/ijerph191710902</w:t>
              </w:r>
            </w:hyperlink>
          </w:p>
        </w:tc>
        <w:tc>
          <w:tcPr>
            <w:tcW w:w="631" w:type="pct"/>
            <w:hideMark/>
          </w:tcPr>
          <w:p w14:paraId="127C598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 of public health literature.</w:t>
            </w:r>
          </w:p>
        </w:tc>
        <w:tc>
          <w:tcPr>
            <w:tcW w:w="621" w:type="pct"/>
            <w:hideMark/>
          </w:tcPr>
          <w:p w14:paraId="478379B1"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sidRPr="00732EED">
              <w:rPr>
                <w:color w:val="000000"/>
                <w:sz w:val="18"/>
                <w:szCs w:val="18"/>
              </w:rPr>
              <w:t>Transdisciplinarity</w:t>
            </w:r>
            <w:proofErr w:type="spellEnd"/>
            <w:r w:rsidRPr="00732EED">
              <w:rPr>
                <w:color w:val="000000"/>
                <w:sz w:val="18"/>
                <w:szCs w:val="18"/>
              </w:rPr>
              <w:t xml:space="preserve"> frameworks; public health systems.</w:t>
            </w:r>
          </w:p>
        </w:tc>
        <w:tc>
          <w:tcPr>
            <w:tcW w:w="763" w:type="pct"/>
            <w:hideMark/>
          </w:tcPr>
          <w:p w14:paraId="19E0597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Scoping review.</w:t>
            </w:r>
          </w:p>
        </w:tc>
        <w:tc>
          <w:tcPr>
            <w:tcW w:w="1460" w:type="pct"/>
            <w:hideMark/>
          </w:tcPr>
          <w:p w14:paraId="4ED5D04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scoping review examines how multi-, inter-, and </w:t>
            </w:r>
            <w:proofErr w:type="spellStart"/>
            <w:r w:rsidRPr="00732EED">
              <w:rPr>
                <w:color w:val="000000"/>
                <w:sz w:val="18"/>
                <w:szCs w:val="18"/>
              </w:rPr>
              <w:t>transdisciplinarity</w:t>
            </w:r>
            <w:proofErr w:type="spellEnd"/>
            <w:r w:rsidRPr="00732EED">
              <w:rPr>
                <w:color w:val="000000"/>
                <w:sz w:val="18"/>
                <w:szCs w:val="18"/>
              </w:rPr>
              <w:t xml:space="preserve"> are defined and applied within the public health workforce. The authors find considerable variation and conceptual ambiguity across the literature. </w:t>
            </w:r>
            <w:proofErr w:type="spellStart"/>
            <w:r w:rsidRPr="00732EED">
              <w:rPr>
                <w:color w:val="000000"/>
                <w:sz w:val="18"/>
                <w:szCs w:val="18"/>
              </w:rPr>
              <w:t>Multidisciplinarity</w:t>
            </w:r>
            <w:proofErr w:type="spellEnd"/>
            <w:r w:rsidRPr="00732EED">
              <w:rPr>
                <w:color w:val="000000"/>
                <w:sz w:val="18"/>
                <w:szCs w:val="18"/>
              </w:rPr>
              <w:t xml:space="preserve"> involves parallel disciplinary contributions, interdisciplinarity integrates methods and knowledge, and </w:t>
            </w:r>
            <w:proofErr w:type="spellStart"/>
            <w:r w:rsidRPr="00732EED">
              <w:rPr>
                <w:color w:val="000000"/>
                <w:sz w:val="18"/>
                <w:szCs w:val="18"/>
              </w:rPr>
              <w:t>transdisciplinarity</w:t>
            </w:r>
            <w:proofErr w:type="spellEnd"/>
            <w:r w:rsidRPr="00732EED">
              <w:rPr>
                <w:color w:val="000000"/>
                <w:sz w:val="18"/>
                <w:szCs w:val="18"/>
              </w:rPr>
              <w:t xml:space="preserve"> extends to stakeholder and community collaboration. The study highlights the importance of clear definitions </w:t>
            </w:r>
            <w:r w:rsidRPr="00732EED">
              <w:rPr>
                <w:color w:val="000000"/>
                <w:sz w:val="18"/>
                <w:szCs w:val="18"/>
              </w:rPr>
              <w:lastRenderedPageBreak/>
              <w:t>for effective collaboration and workforce development. Barriers include institutional silos and lack of shared terminology. The authors conclude that better conceptual clarity and training are needed to support collaborative approaches in public health practice and research.</w:t>
            </w:r>
          </w:p>
        </w:tc>
      </w:tr>
      <w:tr w:rsidR="00EB4ED6" w:rsidRPr="00732EED" w14:paraId="29A08A88"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6093111" w14:textId="77777777" w:rsidR="00C964C9" w:rsidRPr="00732EED" w:rsidRDefault="00C964C9" w:rsidP="009746D6">
            <w:pPr>
              <w:jc w:val="right"/>
              <w:rPr>
                <w:color w:val="000000"/>
                <w:sz w:val="18"/>
                <w:szCs w:val="18"/>
              </w:rPr>
            </w:pPr>
            <w:r w:rsidRPr="00732EED">
              <w:rPr>
                <w:color w:val="000000"/>
                <w:sz w:val="18"/>
                <w:szCs w:val="18"/>
              </w:rPr>
              <w:lastRenderedPageBreak/>
              <w:t>51</w:t>
            </w:r>
          </w:p>
        </w:tc>
        <w:tc>
          <w:tcPr>
            <w:tcW w:w="1377" w:type="pct"/>
            <w:hideMark/>
          </w:tcPr>
          <w:p w14:paraId="19AC18A5"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55" w:tgtFrame="_new" w:history="1">
              <w:r w:rsidR="00C964C9" w:rsidRPr="00732EED">
                <w:rPr>
                  <w:color w:val="467886"/>
                  <w:sz w:val="18"/>
                  <w:szCs w:val="18"/>
                </w:rPr>
                <w:t>Shah N, Qazi R, Chu XP (2024) Unraveling the tapestry of pain: a comprehensive review of ethnic variations, cultural influences, and physiological mechanisms in pain management and perception. Cureus 16:e60692. https://doi.org/10.7759/cureus.60692</w:t>
              </w:r>
            </w:hyperlink>
          </w:p>
        </w:tc>
        <w:tc>
          <w:tcPr>
            <w:tcW w:w="631" w:type="pct"/>
            <w:hideMark/>
          </w:tcPr>
          <w:p w14:paraId="7A3A1FA5"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literature review</w:t>
            </w:r>
          </w:p>
        </w:tc>
        <w:tc>
          <w:tcPr>
            <w:tcW w:w="621" w:type="pct"/>
            <w:hideMark/>
          </w:tcPr>
          <w:p w14:paraId="22DCF581"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Biopsychosocial model of pain; cultural neuroscience perspectives</w:t>
            </w:r>
          </w:p>
        </w:tc>
        <w:tc>
          <w:tcPr>
            <w:tcW w:w="763" w:type="pct"/>
            <w:hideMark/>
          </w:tcPr>
          <w:p w14:paraId="11C31362"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w:t>
            </w:r>
          </w:p>
        </w:tc>
        <w:tc>
          <w:tcPr>
            <w:tcW w:w="1460" w:type="pct"/>
            <w:hideMark/>
          </w:tcPr>
          <w:p w14:paraId="03CB4EF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review synthesizes evidence on how ethnicity, culture, and physiology interact to shape pain perception and management. It highlights that pain expression and treatment responses vary significantly across cultural groups due to biological, psychological, and sociocultural factors. The authors discuss disparities in pain assessment, including under-treatment in minority populations and biases in clinical settings. Physiological mechanisms such as genetic variation and neurobiological processing are also examined. The paper emphasizes the need for culturally sensitive and individualized pain management strategies. It concludes that integrating cultural competence with biomedical understanding is essential for equitable and effective pain care across diverse populations.</w:t>
            </w:r>
          </w:p>
        </w:tc>
      </w:tr>
      <w:tr w:rsidR="00EB4ED6" w:rsidRPr="00732EED" w14:paraId="33F5539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0EEF5D79" w14:textId="77777777" w:rsidR="00C964C9" w:rsidRPr="00732EED" w:rsidRDefault="00C964C9" w:rsidP="009746D6">
            <w:pPr>
              <w:jc w:val="right"/>
              <w:rPr>
                <w:color w:val="000000"/>
                <w:sz w:val="18"/>
                <w:szCs w:val="18"/>
              </w:rPr>
            </w:pPr>
            <w:r w:rsidRPr="00732EED">
              <w:rPr>
                <w:color w:val="000000"/>
                <w:sz w:val="18"/>
                <w:szCs w:val="18"/>
              </w:rPr>
              <w:t>52</w:t>
            </w:r>
          </w:p>
        </w:tc>
        <w:tc>
          <w:tcPr>
            <w:tcW w:w="1377" w:type="pct"/>
            <w:hideMark/>
          </w:tcPr>
          <w:p w14:paraId="0FE1AB2D"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56" w:tgtFrame="_new" w:history="1">
              <w:r w:rsidR="00C964C9" w:rsidRPr="00732EED">
                <w:rPr>
                  <w:color w:val="467886"/>
                  <w:sz w:val="18"/>
                  <w:szCs w:val="18"/>
                </w:rPr>
                <w:t>Shi Y, Wu W (2023) Multimodal non-invasive non-pharmacological therapies for chronic pain: mechanisms and progress. BMC Med 21:372. https://doi.org/10.1186/s12916-023-03076-2</w:t>
              </w:r>
            </w:hyperlink>
          </w:p>
        </w:tc>
        <w:tc>
          <w:tcPr>
            <w:tcW w:w="631" w:type="pct"/>
            <w:hideMark/>
          </w:tcPr>
          <w:p w14:paraId="5F708402"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Narrative review of therapeutic interventions</w:t>
            </w:r>
          </w:p>
        </w:tc>
        <w:tc>
          <w:tcPr>
            <w:tcW w:w="621" w:type="pct"/>
            <w:hideMark/>
          </w:tcPr>
          <w:p w14:paraId="7A85367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Multimodal pain management framework; biopsychosocial model</w:t>
            </w:r>
          </w:p>
        </w:tc>
        <w:tc>
          <w:tcPr>
            <w:tcW w:w="763" w:type="pct"/>
            <w:hideMark/>
          </w:tcPr>
          <w:p w14:paraId="63864E3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Narrative review</w:t>
            </w:r>
          </w:p>
        </w:tc>
        <w:tc>
          <w:tcPr>
            <w:tcW w:w="1460" w:type="pct"/>
            <w:hideMark/>
          </w:tcPr>
          <w:p w14:paraId="32745533"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paper reviews non-pharmacological, non-invasive multimodal therapies for chronic pain, including physical, psychological, and integrative approaches. Interventions such as mindfulness, exercise therapy, cognitive-behavioral therapy, and neuromodulation are examined. The authors describe underlying mechanisms including neuroplasticity, emotional regulation, and pain modulation pathways. The review emphasizes that combining multiple modalities often yields better outcomes than single interventions. It also highlights challenges such as variability in treatment protocols and limited mechanistic clarity. The paper concludes that multimodal approaches represent a promising direction for chronic pain management, particularly when tailored to individual patient needs within a biopsychosocial framework.</w:t>
            </w:r>
          </w:p>
        </w:tc>
      </w:tr>
      <w:tr w:rsidR="00EB4ED6" w:rsidRPr="00732EED" w14:paraId="09E1F53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5951F1F" w14:textId="77777777" w:rsidR="00C964C9" w:rsidRPr="00732EED" w:rsidRDefault="00C964C9" w:rsidP="009746D6">
            <w:pPr>
              <w:jc w:val="right"/>
              <w:rPr>
                <w:color w:val="000000"/>
                <w:sz w:val="18"/>
                <w:szCs w:val="18"/>
              </w:rPr>
            </w:pPr>
            <w:r w:rsidRPr="00732EED">
              <w:rPr>
                <w:color w:val="000000"/>
                <w:sz w:val="18"/>
                <w:szCs w:val="18"/>
              </w:rPr>
              <w:t>53</w:t>
            </w:r>
          </w:p>
        </w:tc>
        <w:tc>
          <w:tcPr>
            <w:tcW w:w="1377" w:type="pct"/>
            <w:hideMark/>
          </w:tcPr>
          <w:p w14:paraId="24D7E2D9"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57" w:tgtFrame="_new" w:history="1">
              <w:r w:rsidR="00C964C9" w:rsidRPr="00732EED">
                <w:rPr>
                  <w:color w:val="467886"/>
                  <w:sz w:val="18"/>
                  <w:szCs w:val="18"/>
                </w:rPr>
                <w:t>Skaer TL (2015) Research findings using mindfulness-based interventions for chronic pain. Pain Stud Treat 3:38–45. https://doi.org/10.4236/pst.2015.34005</w:t>
              </w:r>
            </w:hyperlink>
          </w:p>
        </w:tc>
        <w:tc>
          <w:tcPr>
            <w:tcW w:w="631" w:type="pct"/>
            <w:hideMark/>
          </w:tcPr>
          <w:p w14:paraId="0926589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 of empirical mindfulness studies</w:t>
            </w:r>
          </w:p>
        </w:tc>
        <w:tc>
          <w:tcPr>
            <w:tcW w:w="621" w:type="pct"/>
            <w:hideMark/>
          </w:tcPr>
          <w:p w14:paraId="1F21E783"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Mindfulness-based stress reduction (MBSR) theory</w:t>
            </w:r>
          </w:p>
        </w:tc>
        <w:tc>
          <w:tcPr>
            <w:tcW w:w="763" w:type="pct"/>
            <w:hideMark/>
          </w:tcPr>
          <w:p w14:paraId="72BB3EB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w:t>
            </w:r>
          </w:p>
        </w:tc>
        <w:tc>
          <w:tcPr>
            <w:tcW w:w="1460" w:type="pct"/>
            <w:hideMark/>
          </w:tcPr>
          <w:p w14:paraId="1461E02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article reviews research findings on mindfulness-based interventions for chronic pain. The author summarizes evidence suggesting that mindfulness practices reduce pain severity, emotional distress, and functional impairment. Mechanisms proposed include enhanced attention </w:t>
            </w:r>
            <w:r w:rsidRPr="00732EED">
              <w:rPr>
                <w:color w:val="000000"/>
                <w:sz w:val="18"/>
                <w:szCs w:val="18"/>
              </w:rPr>
              <w:lastRenderedPageBreak/>
              <w:t>regulation, reduced pain catastrophizing, and improved emotional acceptance. The review also notes variability in study designs and intervention formats. While overall findings are positive, the author emphasizes the need for more rigorous and standardized research. The paper concludes that mindfulness-based interventions are a promising complementary approach to chronic pain management, particularly when integrated into broader multidisciplinary care models.</w:t>
            </w:r>
          </w:p>
        </w:tc>
      </w:tr>
      <w:tr w:rsidR="00EB4ED6" w:rsidRPr="00732EED" w14:paraId="729D546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3C882048" w14:textId="77777777" w:rsidR="00C964C9" w:rsidRPr="00732EED" w:rsidRDefault="00C964C9" w:rsidP="009746D6">
            <w:pPr>
              <w:jc w:val="right"/>
              <w:rPr>
                <w:color w:val="000000"/>
                <w:sz w:val="18"/>
                <w:szCs w:val="18"/>
              </w:rPr>
            </w:pPr>
            <w:r w:rsidRPr="00732EED">
              <w:rPr>
                <w:color w:val="000000"/>
                <w:sz w:val="18"/>
                <w:szCs w:val="18"/>
              </w:rPr>
              <w:lastRenderedPageBreak/>
              <w:t>54</w:t>
            </w:r>
          </w:p>
        </w:tc>
        <w:tc>
          <w:tcPr>
            <w:tcW w:w="1377" w:type="pct"/>
            <w:hideMark/>
          </w:tcPr>
          <w:p w14:paraId="4D4B4EEF"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58" w:tgtFrame="_new" w:history="1">
              <w:r w:rsidR="00C964C9" w:rsidRPr="00732EED">
                <w:rPr>
                  <w:color w:val="467886"/>
                  <w:sz w:val="18"/>
                  <w:szCs w:val="18"/>
                </w:rPr>
                <w:t>Somerman MJ, Mouradian WE (2020) Integrating oral and systemic health: innovations in transdisciplinary science, health care and policy. Front Dent Med 1:599214. https://doi.org/10.3389/fdmed.2020.599214</w:t>
              </w:r>
            </w:hyperlink>
          </w:p>
        </w:tc>
        <w:tc>
          <w:tcPr>
            <w:tcW w:w="631" w:type="pct"/>
            <w:hideMark/>
          </w:tcPr>
          <w:p w14:paraId="5D200C6D"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Policy and conceptual analysis</w:t>
            </w:r>
          </w:p>
        </w:tc>
        <w:tc>
          <w:tcPr>
            <w:tcW w:w="621" w:type="pct"/>
            <w:hideMark/>
          </w:tcPr>
          <w:p w14:paraId="3189972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Transdisciplinary health systems integration</w:t>
            </w:r>
          </w:p>
        </w:tc>
        <w:tc>
          <w:tcPr>
            <w:tcW w:w="763" w:type="pct"/>
            <w:hideMark/>
          </w:tcPr>
          <w:p w14:paraId="0677853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Perspective paper</w:t>
            </w:r>
          </w:p>
        </w:tc>
        <w:tc>
          <w:tcPr>
            <w:tcW w:w="1460" w:type="pct"/>
            <w:hideMark/>
          </w:tcPr>
          <w:p w14:paraId="323D3EC2"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paper argues for stronger integration between oral and systemic health through transdisciplinary science, healthcare delivery, and policy reform. The authors highlight how oral health is often siloed from general healthcare despite strong biological and systemic connections. They propose innovations in research collaboration, clinical practice, and health policy to bridge this gap. The paper emphasizes the importance of interdisciplinary education and integrated care models. It concludes that improving oral-systemic health integration requires structural change across scientific, clinical, and policy domains, supported by transdisciplinary collaboration and systems-level thinking.</w:t>
            </w:r>
          </w:p>
        </w:tc>
      </w:tr>
      <w:tr w:rsidR="00EB4ED6" w:rsidRPr="00732EED" w14:paraId="31DFB588"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18BC72B4" w14:textId="77777777" w:rsidR="00C964C9" w:rsidRPr="00732EED" w:rsidRDefault="00C964C9" w:rsidP="009746D6">
            <w:pPr>
              <w:jc w:val="right"/>
              <w:rPr>
                <w:color w:val="000000"/>
                <w:sz w:val="18"/>
                <w:szCs w:val="18"/>
              </w:rPr>
            </w:pPr>
            <w:r w:rsidRPr="00732EED">
              <w:rPr>
                <w:color w:val="000000"/>
                <w:sz w:val="18"/>
                <w:szCs w:val="18"/>
              </w:rPr>
              <w:t>55</w:t>
            </w:r>
          </w:p>
        </w:tc>
        <w:tc>
          <w:tcPr>
            <w:tcW w:w="1377" w:type="pct"/>
            <w:hideMark/>
          </w:tcPr>
          <w:p w14:paraId="1089112D"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59" w:tgtFrame="_new" w:history="1">
              <w:r w:rsidR="00C964C9" w:rsidRPr="00732EED">
                <w:rPr>
                  <w:color w:val="467886"/>
                  <w:sz w:val="18"/>
                  <w:szCs w:val="18"/>
                </w:rPr>
                <w:t>Stilwell P, Harman K (2019) An enactive approach to pain: beyond the biopsychosocial model. Phenomenol Cogn Sci 18:637–665. https://doi.org/10.1007/s11097-019-09624-7</w:t>
              </w:r>
            </w:hyperlink>
          </w:p>
        </w:tc>
        <w:tc>
          <w:tcPr>
            <w:tcW w:w="631" w:type="pct"/>
            <w:hideMark/>
          </w:tcPr>
          <w:p w14:paraId="75649E25"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Philosophical conceptual analysis</w:t>
            </w:r>
          </w:p>
        </w:tc>
        <w:tc>
          <w:tcPr>
            <w:tcW w:w="621" w:type="pct"/>
            <w:hideMark/>
          </w:tcPr>
          <w:p w14:paraId="3013F77D"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proofErr w:type="spellStart"/>
            <w:r w:rsidRPr="00732EED">
              <w:rPr>
                <w:color w:val="000000"/>
                <w:sz w:val="18"/>
                <w:szCs w:val="18"/>
              </w:rPr>
              <w:t>Enactivism</w:t>
            </w:r>
            <w:proofErr w:type="spellEnd"/>
            <w:r w:rsidRPr="00732EED">
              <w:rPr>
                <w:color w:val="000000"/>
                <w:sz w:val="18"/>
                <w:szCs w:val="18"/>
              </w:rPr>
              <w:t>; embodied cognition; phenomenology of pain</w:t>
            </w:r>
          </w:p>
        </w:tc>
        <w:tc>
          <w:tcPr>
            <w:tcW w:w="763" w:type="pct"/>
            <w:hideMark/>
          </w:tcPr>
          <w:p w14:paraId="090A4E9B"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Theoretical paper</w:t>
            </w:r>
          </w:p>
        </w:tc>
        <w:tc>
          <w:tcPr>
            <w:tcW w:w="1460" w:type="pct"/>
            <w:hideMark/>
          </w:tcPr>
          <w:p w14:paraId="6B763BC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paper proposes an </w:t>
            </w:r>
            <w:proofErr w:type="spellStart"/>
            <w:r w:rsidRPr="00732EED">
              <w:rPr>
                <w:color w:val="000000"/>
                <w:sz w:val="18"/>
                <w:szCs w:val="18"/>
              </w:rPr>
              <w:t>enactive</w:t>
            </w:r>
            <w:proofErr w:type="spellEnd"/>
            <w:r w:rsidRPr="00732EED">
              <w:rPr>
                <w:color w:val="000000"/>
                <w:sz w:val="18"/>
                <w:szCs w:val="18"/>
              </w:rPr>
              <w:t xml:space="preserve"> approach to pain that extends beyond the traditional biopsychosocial model. The authors argue that pain is not merely a sensory or psychological phenomenon but an embodied, lived experience emerging through organism-environment interaction. Drawing on enactive cognition and phenomenology, they emphasize that pain is dynamic, contextual, and relational. The paper critiques reductionist models that separate mind and body. It proposes a framework in which pain is understood as a process involving perception, action, and meaning-making. The authors conclude that this perspective offers a more comprehensive understanding of pain and has implications for clinical practice and pain management.</w:t>
            </w:r>
          </w:p>
        </w:tc>
      </w:tr>
      <w:tr w:rsidR="00EB4ED6" w:rsidRPr="00732EED" w14:paraId="0E00605D"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E43E876" w14:textId="77777777" w:rsidR="00C964C9" w:rsidRPr="00732EED" w:rsidRDefault="00C964C9" w:rsidP="009746D6">
            <w:pPr>
              <w:jc w:val="right"/>
              <w:rPr>
                <w:color w:val="000000"/>
                <w:sz w:val="18"/>
                <w:szCs w:val="18"/>
              </w:rPr>
            </w:pPr>
            <w:r w:rsidRPr="00732EED">
              <w:rPr>
                <w:color w:val="000000"/>
                <w:sz w:val="18"/>
                <w:szCs w:val="18"/>
              </w:rPr>
              <w:t>56</w:t>
            </w:r>
          </w:p>
        </w:tc>
        <w:tc>
          <w:tcPr>
            <w:tcW w:w="1377" w:type="pct"/>
            <w:hideMark/>
          </w:tcPr>
          <w:p w14:paraId="3E39F0B3"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60" w:tgtFrame="_new" w:history="1">
              <w:r w:rsidR="00C964C9" w:rsidRPr="00732EED">
                <w:rPr>
                  <w:color w:val="467886"/>
                  <w:sz w:val="18"/>
                  <w:szCs w:val="18"/>
                </w:rPr>
                <w:t>Tapp H, White L, Steuerwald M et al (2013) Use of community-based participatory research in primary care to improve healthcare outcomes and disparities in care. J Comp Eff Res 2:405–419. https://doi.org/10.2217/cer.13.45</w:t>
              </w:r>
            </w:hyperlink>
          </w:p>
        </w:tc>
        <w:tc>
          <w:tcPr>
            <w:tcW w:w="631" w:type="pct"/>
            <w:hideMark/>
          </w:tcPr>
          <w:p w14:paraId="4FD3EA5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CBPR applied in primary care interventions</w:t>
            </w:r>
          </w:p>
        </w:tc>
        <w:tc>
          <w:tcPr>
            <w:tcW w:w="621" w:type="pct"/>
            <w:hideMark/>
          </w:tcPr>
          <w:p w14:paraId="0FD26B0B"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Health equity; community engagement frameworks</w:t>
            </w:r>
          </w:p>
        </w:tc>
        <w:tc>
          <w:tcPr>
            <w:tcW w:w="763" w:type="pct"/>
            <w:hideMark/>
          </w:tcPr>
          <w:p w14:paraId="1661518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Empirical participatory research study</w:t>
            </w:r>
          </w:p>
        </w:tc>
        <w:tc>
          <w:tcPr>
            <w:tcW w:w="1460" w:type="pct"/>
            <w:hideMark/>
          </w:tcPr>
          <w:p w14:paraId="2E80606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study examines the use of community-based participatory research (CBPR) in primary care settings to improve healthcare outcomes and reduce disparities. The CBPR approach involved collaboration between researchers, clinicians, and community members to design and implement </w:t>
            </w:r>
            <w:r w:rsidRPr="00732EED">
              <w:rPr>
                <w:color w:val="000000"/>
                <w:sz w:val="18"/>
                <w:szCs w:val="18"/>
              </w:rPr>
              <w:lastRenderedPageBreak/>
              <w:t>interventions. Findings show improvements in healthcare access, patient engagement, and trust in healthcare systems. The study highlights that CBPR helps ensure interventions are culturally relevant and contextually appropriate. Challenges include resource demands and maintaining long-term partnerships. The authors conclude that CBPR is an effective strategy for improving primary care delivery and addressing health inequities through collaborative, community-engaged approaches.</w:t>
            </w:r>
          </w:p>
        </w:tc>
      </w:tr>
      <w:tr w:rsidR="00EB4ED6" w:rsidRPr="00732EED" w14:paraId="56D6868B"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F7D81B0" w14:textId="77777777" w:rsidR="00C964C9" w:rsidRPr="00732EED" w:rsidRDefault="00C964C9" w:rsidP="009746D6">
            <w:pPr>
              <w:jc w:val="right"/>
              <w:rPr>
                <w:color w:val="000000"/>
                <w:sz w:val="18"/>
                <w:szCs w:val="18"/>
              </w:rPr>
            </w:pPr>
            <w:r w:rsidRPr="00732EED">
              <w:rPr>
                <w:color w:val="000000"/>
                <w:sz w:val="18"/>
                <w:szCs w:val="18"/>
              </w:rPr>
              <w:lastRenderedPageBreak/>
              <w:t>57</w:t>
            </w:r>
          </w:p>
        </w:tc>
        <w:tc>
          <w:tcPr>
            <w:tcW w:w="1377" w:type="pct"/>
            <w:hideMark/>
          </w:tcPr>
          <w:p w14:paraId="4CE515BA"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61" w:tgtFrame="_new" w:history="1">
              <w:r w:rsidR="00C964C9" w:rsidRPr="00732EED">
                <w:rPr>
                  <w:color w:val="467886"/>
                  <w:sz w:val="18"/>
                  <w:szCs w:val="18"/>
                </w:rPr>
                <w:t>Tobias Mortlock JM, Alapati HH, Edginton T (2025) How to create a mindful community of practice: exploring the social functions of group-based mindfulness practices facilitated via Zoom during Covid-19. Front Psychol 16:1356057. https://doi.org/10.3389/fpsyg.2025.1356057</w:t>
              </w:r>
            </w:hyperlink>
          </w:p>
        </w:tc>
        <w:tc>
          <w:tcPr>
            <w:tcW w:w="631" w:type="pct"/>
            <w:hideMark/>
          </w:tcPr>
          <w:p w14:paraId="0B7F63C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study of online mindfulness groups</w:t>
            </w:r>
          </w:p>
        </w:tc>
        <w:tc>
          <w:tcPr>
            <w:tcW w:w="621" w:type="pct"/>
            <w:hideMark/>
          </w:tcPr>
          <w:p w14:paraId="31238FA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Communities of practice; mindfulness theory; digital social interaction</w:t>
            </w:r>
          </w:p>
        </w:tc>
        <w:tc>
          <w:tcPr>
            <w:tcW w:w="763" w:type="pct"/>
            <w:hideMark/>
          </w:tcPr>
          <w:p w14:paraId="3C4AC2A6"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Qualitative study</w:t>
            </w:r>
          </w:p>
        </w:tc>
        <w:tc>
          <w:tcPr>
            <w:tcW w:w="1460" w:type="pct"/>
            <w:hideMark/>
          </w:tcPr>
          <w:p w14:paraId="1B1A310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study explores the development of mindful communities of practice facilitated through Zoom during the COVID-19 pandemic. It examines how group-based mindfulness practices functioned socially in virtual environments. Findings show that online mindfulness groups provided emotional support, social connection, and shared reflective space during isolation. Participants reported benefits such as reduced stress and increased sense of belonging. The study highlights the adaptability of mindfulness practices to digital platforms and the importance of social interaction in sustaining engagement. It concludes that virtual communities of practice can effectively support mindfulness development and well-being when thoughtfully facilitated in online settings.</w:t>
            </w:r>
          </w:p>
        </w:tc>
      </w:tr>
      <w:tr w:rsidR="00EB4ED6" w:rsidRPr="00732EED" w14:paraId="7DD6BF5A"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EF46F83" w14:textId="77777777" w:rsidR="00C964C9" w:rsidRPr="00732EED" w:rsidRDefault="00C964C9" w:rsidP="009746D6">
            <w:pPr>
              <w:jc w:val="right"/>
              <w:rPr>
                <w:color w:val="000000"/>
                <w:sz w:val="18"/>
                <w:szCs w:val="18"/>
              </w:rPr>
            </w:pPr>
            <w:r w:rsidRPr="00732EED">
              <w:rPr>
                <w:color w:val="000000"/>
                <w:sz w:val="18"/>
                <w:szCs w:val="18"/>
              </w:rPr>
              <w:t>58</w:t>
            </w:r>
          </w:p>
        </w:tc>
        <w:tc>
          <w:tcPr>
            <w:tcW w:w="1377" w:type="pct"/>
            <w:hideMark/>
          </w:tcPr>
          <w:p w14:paraId="0266FFD0"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62" w:tgtFrame="_new" w:history="1">
              <w:r w:rsidR="00C964C9" w:rsidRPr="00732EED">
                <w:rPr>
                  <w:color w:val="467886"/>
                  <w:sz w:val="18"/>
                  <w:szCs w:val="18"/>
                  <w:lang w:val="nl-NL"/>
                </w:rPr>
                <w:t xml:space="preserve">Van der Vlegel-Brouwer W, Eelderink M, Bussemaker J (2023). </w:t>
              </w:r>
              <w:r w:rsidR="00C964C9" w:rsidRPr="00732EED">
                <w:rPr>
                  <w:color w:val="467886"/>
                  <w:sz w:val="18"/>
                  <w:szCs w:val="18"/>
                </w:rPr>
                <w:t>Participatory action research as a driver for health promotion and prevention. Int J Integr Care, 23:13. https://doi.org/10.5334/ijic.7560</w:t>
              </w:r>
            </w:hyperlink>
          </w:p>
        </w:tc>
        <w:tc>
          <w:tcPr>
            <w:tcW w:w="631" w:type="pct"/>
            <w:hideMark/>
          </w:tcPr>
          <w:p w14:paraId="44706E8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Participatory action research (PAR) involving co-creation with citizens and professionals in a deprived neighborhood. Uses qualitative data (meetings, reflections, interventions).</w:t>
            </w:r>
          </w:p>
        </w:tc>
        <w:tc>
          <w:tcPr>
            <w:tcW w:w="621" w:type="pct"/>
            <w:hideMark/>
          </w:tcPr>
          <w:p w14:paraId="284E2CE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Community-based participatory research and health promotion theory. Emphasizes empowerment, co-creation, and social determinants of health.</w:t>
            </w:r>
          </w:p>
        </w:tc>
        <w:tc>
          <w:tcPr>
            <w:tcW w:w="763" w:type="pct"/>
            <w:hideMark/>
          </w:tcPr>
          <w:p w14:paraId="5A1E942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Empirical case study using participatory action research. Iterative cycles of planning, action, and reflection.</w:t>
            </w:r>
          </w:p>
        </w:tc>
        <w:tc>
          <w:tcPr>
            <w:tcW w:w="1460" w:type="pct"/>
            <w:hideMark/>
          </w:tcPr>
          <w:p w14:paraId="6226995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study examines participatory action research (PAR) as a mechanism for health promotion in a disadvantaged neighborhood in The Hague. Through collaboration between citizens and professionals, the project co-created interventions targeting local health challenges. The findings show that PAR fosters empowerment, trust, and shared ownership, enabling more context-sensitive and sustainable health initiatives. The iterative process allowed stakeholders to adapt strategies based on ongoing feedback and lived experiences. However, challenges such as power imbalances and time constraints were also identified. The study concludes that PAR can effectively bridge gaps between policy and practice, highlighting its value for inclusive health promotion and prevention efforts in complex social environments.</w:t>
            </w:r>
          </w:p>
        </w:tc>
      </w:tr>
      <w:tr w:rsidR="00EB4ED6" w:rsidRPr="00732EED" w14:paraId="142C9F2B"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277EAD7" w14:textId="77777777" w:rsidR="00C964C9" w:rsidRPr="00732EED" w:rsidRDefault="00C964C9" w:rsidP="009746D6">
            <w:pPr>
              <w:jc w:val="right"/>
              <w:rPr>
                <w:color w:val="000000"/>
                <w:sz w:val="18"/>
                <w:szCs w:val="18"/>
              </w:rPr>
            </w:pPr>
            <w:r w:rsidRPr="00732EED">
              <w:rPr>
                <w:color w:val="000000"/>
                <w:sz w:val="18"/>
                <w:szCs w:val="18"/>
              </w:rPr>
              <w:t>59</w:t>
            </w:r>
          </w:p>
        </w:tc>
        <w:tc>
          <w:tcPr>
            <w:tcW w:w="1377" w:type="pct"/>
            <w:hideMark/>
          </w:tcPr>
          <w:p w14:paraId="3D78F96C"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63" w:tgtFrame="_new" w:history="1">
              <w:r w:rsidR="00C964C9" w:rsidRPr="00732EED">
                <w:rPr>
                  <w:color w:val="467886"/>
                  <w:sz w:val="18"/>
                  <w:szCs w:val="18"/>
                </w:rPr>
                <w:t xml:space="preserve">Van Dijk L (2021). Affordances in a multispecies entanglement. Ecological Psychology, 33:73–89. </w:t>
              </w:r>
              <w:r w:rsidR="00C964C9" w:rsidRPr="00732EED">
                <w:rPr>
                  <w:color w:val="467886"/>
                  <w:sz w:val="18"/>
                  <w:szCs w:val="18"/>
                </w:rPr>
                <w:lastRenderedPageBreak/>
                <w:t>https://doi.org/10.1080/10407413.2021.1885978</w:t>
              </w:r>
            </w:hyperlink>
          </w:p>
        </w:tc>
        <w:tc>
          <w:tcPr>
            <w:tcW w:w="631" w:type="pct"/>
            <w:hideMark/>
          </w:tcPr>
          <w:p w14:paraId="65056A5E"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Conceptual and theoretical analysis drawing on ecological </w:t>
            </w:r>
            <w:r w:rsidRPr="00732EED">
              <w:rPr>
                <w:color w:val="000000"/>
                <w:sz w:val="18"/>
                <w:szCs w:val="18"/>
              </w:rPr>
              <w:lastRenderedPageBreak/>
              <w:t>psychology and philosophy. Uses illustrative examples of human–nonhuman interactions.</w:t>
            </w:r>
          </w:p>
        </w:tc>
        <w:tc>
          <w:tcPr>
            <w:tcW w:w="621" w:type="pct"/>
            <w:hideMark/>
          </w:tcPr>
          <w:p w14:paraId="1BCE7297"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Ecological psychology, particularly affordance theory, </w:t>
            </w:r>
            <w:r w:rsidRPr="00732EED">
              <w:rPr>
                <w:color w:val="000000"/>
                <w:sz w:val="18"/>
                <w:szCs w:val="18"/>
              </w:rPr>
              <w:lastRenderedPageBreak/>
              <w:t>extended to multispecies relations. Emphasizes relational ontology and organism–environment mutuality.</w:t>
            </w:r>
          </w:p>
        </w:tc>
        <w:tc>
          <w:tcPr>
            <w:tcW w:w="763" w:type="pct"/>
            <w:hideMark/>
          </w:tcPr>
          <w:p w14:paraId="5A0EC78C"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Theoretical/conceptual paper. Develops and refines concepts rather than empirical testing.</w:t>
            </w:r>
          </w:p>
        </w:tc>
        <w:tc>
          <w:tcPr>
            <w:tcW w:w="1460" w:type="pct"/>
            <w:hideMark/>
          </w:tcPr>
          <w:p w14:paraId="040A24A6"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paper extends affordance theory to multispecies contexts, arguing that affordances emerge through dynamic relations among humans, animals, and environments. Rather than viewing </w:t>
            </w:r>
            <w:r w:rsidRPr="00732EED">
              <w:rPr>
                <w:color w:val="000000"/>
                <w:sz w:val="18"/>
                <w:szCs w:val="18"/>
              </w:rPr>
              <w:lastRenderedPageBreak/>
              <w:t>affordances as static properties, Van Dijk conceptualizes them as co-constituted within “multispecies entanglements.” The analysis highlights how perception and action are shaped by interactions across species boundaries, challenging human-centered interpretations of ecological psychology. By integrating insights from philosophy and ecology, the paper reframes affordances as relational and distributed phenomena. This perspective has implications for understanding environmental ethics, sustainability, and interspecies coexistence, encouraging a shift toward more inclusive and ecologically grounded approaches to cognition and behavior in complex living systems.</w:t>
            </w:r>
          </w:p>
        </w:tc>
      </w:tr>
      <w:tr w:rsidR="00EB4ED6" w:rsidRPr="00732EED" w14:paraId="7D55FAA7"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0EE2E434" w14:textId="77777777" w:rsidR="00C964C9" w:rsidRPr="00732EED" w:rsidRDefault="00C964C9" w:rsidP="009746D6">
            <w:pPr>
              <w:jc w:val="right"/>
              <w:rPr>
                <w:color w:val="000000"/>
                <w:sz w:val="18"/>
                <w:szCs w:val="18"/>
              </w:rPr>
            </w:pPr>
            <w:r w:rsidRPr="00732EED">
              <w:rPr>
                <w:color w:val="000000"/>
                <w:sz w:val="18"/>
                <w:szCs w:val="18"/>
              </w:rPr>
              <w:lastRenderedPageBreak/>
              <w:t>60</w:t>
            </w:r>
          </w:p>
        </w:tc>
        <w:tc>
          <w:tcPr>
            <w:tcW w:w="1377" w:type="pct"/>
            <w:hideMark/>
          </w:tcPr>
          <w:p w14:paraId="31595F7B"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64" w:tgtFrame="_new" w:history="1">
              <w:r w:rsidR="00C964C9" w:rsidRPr="00732EED">
                <w:rPr>
                  <w:color w:val="467886"/>
                  <w:sz w:val="18"/>
                  <w:szCs w:val="18"/>
                </w:rPr>
                <w:t>Vienni-Baptista B, Pohl CE (2024). Exploring interdisciplinarity and transdisciplinarity as knowledge regimes. Sci Technol Hum Values, 49:1309–1348. https://doi.org/10.1177/01622439231216789</w:t>
              </w:r>
            </w:hyperlink>
          </w:p>
        </w:tc>
        <w:tc>
          <w:tcPr>
            <w:tcW w:w="631" w:type="pct"/>
            <w:hideMark/>
          </w:tcPr>
          <w:p w14:paraId="4CB0BB30"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Conceptual analysis and literature synthesis across academia and policy documents. Develops a heuristic tool.</w:t>
            </w:r>
          </w:p>
        </w:tc>
        <w:tc>
          <w:tcPr>
            <w:tcW w:w="621" w:type="pct"/>
            <w:hideMark/>
          </w:tcPr>
          <w:p w14:paraId="330A018C"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Science and technology studies (STS) and knowledge regime theory. Focuses on interdisciplinarity and </w:t>
            </w:r>
            <w:proofErr w:type="spellStart"/>
            <w:r w:rsidRPr="00732EED">
              <w:rPr>
                <w:color w:val="000000"/>
                <w:sz w:val="18"/>
                <w:szCs w:val="18"/>
              </w:rPr>
              <w:t>transdisciplinarity</w:t>
            </w:r>
            <w:proofErr w:type="spellEnd"/>
            <w:r w:rsidRPr="00732EED">
              <w:rPr>
                <w:color w:val="000000"/>
                <w:sz w:val="18"/>
                <w:szCs w:val="18"/>
              </w:rPr>
              <w:t xml:space="preserve"> as structured modes of knowledge production.</w:t>
            </w:r>
          </w:p>
        </w:tc>
        <w:tc>
          <w:tcPr>
            <w:tcW w:w="763" w:type="pct"/>
            <w:hideMark/>
          </w:tcPr>
          <w:p w14:paraId="21EA1AEC"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Theoretical/conceptual study. Proposes and applies a heuristic framework.</w:t>
            </w:r>
          </w:p>
        </w:tc>
        <w:tc>
          <w:tcPr>
            <w:tcW w:w="1460" w:type="pct"/>
            <w:hideMark/>
          </w:tcPr>
          <w:p w14:paraId="2D179904"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paper investigates interdisciplinarity and </w:t>
            </w:r>
            <w:proofErr w:type="spellStart"/>
            <w:r w:rsidRPr="00732EED">
              <w:rPr>
                <w:color w:val="000000"/>
                <w:sz w:val="18"/>
                <w:szCs w:val="18"/>
              </w:rPr>
              <w:t>transdisciplinarity</w:t>
            </w:r>
            <w:proofErr w:type="spellEnd"/>
            <w:r w:rsidRPr="00732EED">
              <w:rPr>
                <w:color w:val="000000"/>
                <w:sz w:val="18"/>
                <w:szCs w:val="18"/>
              </w:rPr>
              <w:t xml:space="preserve"> as distinct “knowledge regimes” shaping research and policy. </w:t>
            </w:r>
            <w:proofErr w:type="spellStart"/>
            <w:r w:rsidRPr="00732EED">
              <w:rPr>
                <w:color w:val="000000"/>
                <w:sz w:val="18"/>
                <w:szCs w:val="18"/>
              </w:rPr>
              <w:t>Vienni</w:t>
            </w:r>
            <w:proofErr w:type="spellEnd"/>
            <w:r w:rsidRPr="00732EED">
              <w:rPr>
                <w:color w:val="000000"/>
                <w:sz w:val="18"/>
                <w:szCs w:val="18"/>
              </w:rPr>
              <w:t xml:space="preserve">-Baptista and Pohl develop a heuristic tool to differentiate how these approaches organize knowledge production, collaboration, and societal engagement. The analysis reveals that interdisciplinarity primarily integrates academic disciplines, while </w:t>
            </w:r>
            <w:proofErr w:type="spellStart"/>
            <w:r w:rsidRPr="00732EED">
              <w:rPr>
                <w:color w:val="000000"/>
                <w:sz w:val="18"/>
                <w:szCs w:val="18"/>
              </w:rPr>
              <w:t>transdisciplinarity</w:t>
            </w:r>
            <w:proofErr w:type="spellEnd"/>
            <w:r w:rsidRPr="00732EED">
              <w:rPr>
                <w:color w:val="000000"/>
                <w:sz w:val="18"/>
                <w:szCs w:val="18"/>
              </w:rPr>
              <w:t xml:space="preserve"> extends beyond academia to include stakeholders and societal actors. By examining both conceptual and practical dimensions, the authors highlight tensions, overlaps, and ambiguities in how these terms are used. The proposed framework clarifies their roles in addressing complex societal challenges and supports more deliberate application in research and governance. The study contributes to improving communication and alignment between academic and policy contexts.</w:t>
            </w:r>
          </w:p>
        </w:tc>
      </w:tr>
      <w:tr w:rsidR="00EB4ED6" w:rsidRPr="00732EED" w14:paraId="7BA24CBC"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67DCE74" w14:textId="77777777" w:rsidR="00C964C9" w:rsidRPr="00732EED" w:rsidRDefault="00C964C9" w:rsidP="009746D6">
            <w:pPr>
              <w:jc w:val="right"/>
              <w:rPr>
                <w:color w:val="000000"/>
                <w:sz w:val="18"/>
                <w:szCs w:val="18"/>
              </w:rPr>
            </w:pPr>
            <w:r w:rsidRPr="00732EED">
              <w:rPr>
                <w:color w:val="000000"/>
                <w:sz w:val="18"/>
                <w:szCs w:val="18"/>
              </w:rPr>
              <w:t>61</w:t>
            </w:r>
          </w:p>
        </w:tc>
        <w:tc>
          <w:tcPr>
            <w:tcW w:w="1377" w:type="pct"/>
            <w:hideMark/>
          </w:tcPr>
          <w:p w14:paraId="036626AA"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65" w:tgtFrame="_new" w:history="1">
              <w:r w:rsidR="00C964C9" w:rsidRPr="00732EED">
                <w:rPr>
                  <w:color w:val="467886"/>
                  <w:sz w:val="18"/>
                  <w:szCs w:val="18"/>
                  <w:lang w:val="nl-NL"/>
                </w:rPr>
                <w:t xml:space="preserve">Yang L, Shewchuk B, Shang C et al (2023). </w:t>
              </w:r>
              <w:r w:rsidR="00C964C9" w:rsidRPr="00732EED">
                <w:rPr>
                  <w:color w:val="467886"/>
                  <w:sz w:val="18"/>
                  <w:szCs w:val="18"/>
                </w:rPr>
                <w:t>Transdisciplinary team science in health research, where are we? J Integr Des Process Sci, 26:307–316. https://doi.org/10.3233/JID-220011</w:t>
              </w:r>
            </w:hyperlink>
          </w:p>
        </w:tc>
        <w:tc>
          <w:tcPr>
            <w:tcW w:w="631" w:type="pct"/>
            <w:hideMark/>
          </w:tcPr>
          <w:p w14:paraId="00E5F82A"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Literature review and synthesis of transdisciplinary team science in health research. Identifies trends, gaps, and best practices.</w:t>
            </w:r>
          </w:p>
        </w:tc>
        <w:tc>
          <w:tcPr>
            <w:tcW w:w="621" w:type="pct"/>
            <w:hideMark/>
          </w:tcPr>
          <w:p w14:paraId="116E23C6"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Team science and transdisciplinary research frameworks. Emphasizes collaboration across disciplines and sectors to address complex health issues.</w:t>
            </w:r>
          </w:p>
        </w:tc>
        <w:tc>
          <w:tcPr>
            <w:tcW w:w="763" w:type="pct"/>
            <w:hideMark/>
          </w:tcPr>
          <w:p w14:paraId="495F2578"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 Evaluates the current state of the field and future directions.</w:t>
            </w:r>
          </w:p>
        </w:tc>
        <w:tc>
          <w:tcPr>
            <w:tcW w:w="1460" w:type="pct"/>
            <w:hideMark/>
          </w:tcPr>
          <w:p w14:paraId="622D36F5"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This article reviews the current state of transdisciplinary team science in health research, assessing its development, challenges, and opportunities. The authors highlight the growing recognition that complex health problems require collaboration across disciplines and sectors. The review identifies key components of effective transdisciplinary teams, including shared goals, communication, and institutional support. It also discusses barriers such as disciplinary silos, funding constraints, and evaluation difficulties. The paper emphasizes the need for improved training, infrastructure, and metrics to support team </w:t>
            </w:r>
            <w:r w:rsidRPr="00732EED">
              <w:rPr>
                <w:color w:val="000000"/>
                <w:sz w:val="18"/>
                <w:szCs w:val="18"/>
              </w:rPr>
              <w:lastRenderedPageBreak/>
              <w:t>science. Overall, it positions transdisciplinary approaches as essential for advancing health research and innovation, while calling for more systematic efforts to strengthen their implementation and impact.</w:t>
            </w:r>
          </w:p>
        </w:tc>
      </w:tr>
      <w:tr w:rsidR="00EB4ED6" w:rsidRPr="00732EED" w14:paraId="5487746C"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C66D28B" w14:textId="77777777" w:rsidR="00C964C9" w:rsidRPr="00732EED" w:rsidRDefault="00C964C9" w:rsidP="009746D6">
            <w:pPr>
              <w:jc w:val="right"/>
              <w:rPr>
                <w:color w:val="000000"/>
                <w:sz w:val="18"/>
                <w:szCs w:val="18"/>
              </w:rPr>
            </w:pPr>
            <w:r w:rsidRPr="00732EED">
              <w:rPr>
                <w:color w:val="000000"/>
                <w:sz w:val="18"/>
                <w:szCs w:val="18"/>
              </w:rPr>
              <w:lastRenderedPageBreak/>
              <w:t>62</w:t>
            </w:r>
          </w:p>
        </w:tc>
        <w:tc>
          <w:tcPr>
            <w:tcW w:w="1377" w:type="pct"/>
            <w:hideMark/>
          </w:tcPr>
          <w:p w14:paraId="2FA7D6EB"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66" w:tgtFrame="_new" w:history="1">
              <w:r w:rsidR="00C964C9" w:rsidRPr="00732EED">
                <w:rPr>
                  <w:color w:val="467886"/>
                  <w:sz w:val="18"/>
                  <w:szCs w:val="18"/>
                </w:rPr>
                <w:t>Yılmazer E, Altinok A (2024). Innovating mindfulness-based stress reduction (MBSR) delivery in cancer care. Clin Cancer Investig J, 13:6–15. https://doi.org/10.51847/lrPe9pz2wg</w:t>
              </w:r>
            </w:hyperlink>
          </w:p>
        </w:tc>
        <w:tc>
          <w:tcPr>
            <w:tcW w:w="631" w:type="pct"/>
            <w:hideMark/>
          </w:tcPr>
          <w:p w14:paraId="54ECC69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Review and applied discussion of adaptations to MBSR programs in oncology settings, including digital and hybrid delivery models.</w:t>
            </w:r>
          </w:p>
        </w:tc>
        <w:tc>
          <w:tcPr>
            <w:tcW w:w="621" w:type="pct"/>
            <w:hideMark/>
          </w:tcPr>
          <w:p w14:paraId="1A8B8B2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Mindfulness-based intervention theory and psychosocial oncology. Focuses on stress reduction, accessibility, and patient-centered care.</w:t>
            </w:r>
          </w:p>
        </w:tc>
        <w:tc>
          <w:tcPr>
            <w:tcW w:w="763" w:type="pct"/>
            <w:hideMark/>
          </w:tcPr>
          <w:p w14:paraId="76668AD8"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Narrative review with applied recommendations. Explores innovations rather than testing a single intervention.</w:t>
            </w:r>
          </w:p>
        </w:tc>
        <w:tc>
          <w:tcPr>
            <w:tcW w:w="1460" w:type="pct"/>
            <w:hideMark/>
          </w:tcPr>
          <w:p w14:paraId="56E97056"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This paper explores innovations in delivering mindfulness-based stress reduction (MBSR) for cancer patients. Recognizing barriers such as physical limitations, time constraints, and access issues, the authors discuss alternative delivery formats including online, hybrid, and shortened programs. These adaptations aim to enhance engagement and accessibility while maintaining therapeutic effectiveness. The review highlights evidence that MBSR can reduce stress, anxiety, and symptom burden in oncology populations. It also emphasizes the importance of tailoring interventions to patient needs and clinical contexts. The study concludes that innovative delivery methods can expand the reach of MBSR in cancer care, though further research is needed to evaluate their long-term effectiveness and implementation outcomes.</w:t>
            </w:r>
          </w:p>
        </w:tc>
      </w:tr>
      <w:tr w:rsidR="00EB4ED6" w:rsidRPr="00732EED" w14:paraId="1A6378BF"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B8A43A0" w14:textId="77777777" w:rsidR="00C964C9" w:rsidRPr="00732EED" w:rsidRDefault="00C964C9" w:rsidP="009746D6">
            <w:pPr>
              <w:jc w:val="right"/>
              <w:rPr>
                <w:color w:val="000000"/>
                <w:sz w:val="18"/>
                <w:szCs w:val="18"/>
              </w:rPr>
            </w:pPr>
            <w:r w:rsidRPr="00732EED">
              <w:rPr>
                <w:color w:val="000000"/>
                <w:sz w:val="18"/>
                <w:szCs w:val="18"/>
              </w:rPr>
              <w:t>63</w:t>
            </w:r>
          </w:p>
        </w:tc>
        <w:tc>
          <w:tcPr>
            <w:tcW w:w="1377" w:type="pct"/>
            <w:hideMark/>
          </w:tcPr>
          <w:p w14:paraId="32513CA6" w14:textId="77777777" w:rsidR="00C964C9"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67" w:tgtFrame="_new" w:history="1">
              <w:r w:rsidR="00C964C9" w:rsidRPr="00732EED">
                <w:rPr>
                  <w:color w:val="467886"/>
                  <w:sz w:val="18"/>
                  <w:szCs w:val="18"/>
                </w:rPr>
                <w:t>Zeidan F, Baumgartner JN, Coghill RC (2019). The neural mechanisms of mindfulness-based pain relief: a functional magnetic resonance imaging-based review and primer. PAIN Reports, 4:e759. https://doi.org/10.1097/PR9.0000000000000759</w:t>
              </w:r>
            </w:hyperlink>
          </w:p>
        </w:tc>
        <w:tc>
          <w:tcPr>
            <w:tcW w:w="631" w:type="pct"/>
            <w:hideMark/>
          </w:tcPr>
          <w:p w14:paraId="719078F4"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 of experimental pain studies using functional magnetic resonance imaging (fMRI). Synthesizes findings from studies on mindfulness meditation involving both novice and experienced practitioners, focusing on neural correlates of pain perception and modulation.</w:t>
            </w:r>
          </w:p>
        </w:tc>
        <w:tc>
          <w:tcPr>
            <w:tcW w:w="621" w:type="pct"/>
            <w:hideMark/>
          </w:tcPr>
          <w:p w14:paraId="4E7D21E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Based in cognitive neuroscience and pain modulation theory. Emphasizes non-</w:t>
            </w:r>
            <w:proofErr w:type="spellStart"/>
            <w:r w:rsidRPr="00732EED">
              <w:rPr>
                <w:color w:val="000000"/>
                <w:sz w:val="18"/>
                <w:szCs w:val="18"/>
              </w:rPr>
              <w:t>opioidergic</w:t>
            </w:r>
            <w:proofErr w:type="spellEnd"/>
            <w:r w:rsidRPr="00732EED">
              <w:rPr>
                <w:color w:val="000000"/>
                <w:sz w:val="18"/>
                <w:szCs w:val="18"/>
              </w:rPr>
              <w:t>, top-down mechanisms of pain relief through attention regulation, sensory processing, and present-moment awareness. Contrasts mindfulness mechanisms with placebo, opioid, and cognitive control models.</w:t>
            </w:r>
          </w:p>
        </w:tc>
        <w:tc>
          <w:tcPr>
            <w:tcW w:w="763" w:type="pct"/>
            <w:hideMark/>
          </w:tcPr>
          <w:p w14:paraId="31896452"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Narrative review and primer. Integrates and interprets findings from multiple fMRI studies rather than conducting original experimental research; aims to explain mechanisms and guide future research and clinical use.</w:t>
            </w:r>
          </w:p>
        </w:tc>
        <w:tc>
          <w:tcPr>
            <w:tcW w:w="1460" w:type="pct"/>
            <w:hideMark/>
          </w:tcPr>
          <w:p w14:paraId="7EDA5E60" w14:textId="77777777" w:rsidR="00C964C9" w:rsidRPr="00732EED" w:rsidRDefault="00C964C9" w:rsidP="009746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This review examines how mindfulness meditation reduces pain through distinct neural mechanisms. Using evidence from fMRI studies, the authors show that mindfulness alters pain perception by engaging brain regions involved in attention, sensory processing, and cognitive control, including the anterior cingulate cortex, insula, and orbitofrontal cortex. Unlike placebo or opioid-based analgesia, mindfulness operates through non-</w:t>
            </w:r>
            <w:proofErr w:type="spellStart"/>
            <w:r w:rsidRPr="00732EED">
              <w:rPr>
                <w:color w:val="000000"/>
                <w:sz w:val="18"/>
                <w:szCs w:val="18"/>
              </w:rPr>
              <w:t>opioidergic</w:t>
            </w:r>
            <w:proofErr w:type="spellEnd"/>
            <w:r w:rsidRPr="00732EED">
              <w:rPr>
                <w:color w:val="000000"/>
                <w:sz w:val="18"/>
                <w:szCs w:val="18"/>
              </w:rPr>
              <w:t xml:space="preserve"> pathways and emphasizes present-moment awareness rather than cognitive reappraisal or distraction. Both novice and experienced meditators demonstrate reduced pain intensity and unpleasantness, though via slightly different neural strategies. The paper highlights mindfulness as a promising, low-risk intervention for pain management and provides a framework for understanding its mechanisms, encouraging further research into its clinical applications.</w:t>
            </w:r>
          </w:p>
        </w:tc>
      </w:tr>
      <w:tr w:rsidR="00EB4ED6" w:rsidRPr="00732EED" w14:paraId="092316F8"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51BF234" w14:textId="77777777" w:rsidR="00C964C9" w:rsidRPr="00732EED" w:rsidRDefault="00C964C9" w:rsidP="009746D6">
            <w:pPr>
              <w:jc w:val="right"/>
              <w:rPr>
                <w:color w:val="000000"/>
                <w:sz w:val="18"/>
                <w:szCs w:val="18"/>
              </w:rPr>
            </w:pPr>
            <w:r w:rsidRPr="00732EED">
              <w:rPr>
                <w:color w:val="000000"/>
                <w:sz w:val="18"/>
                <w:szCs w:val="18"/>
              </w:rPr>
              <w:t>64</w:t>
            </w:r>
          </w:p>
        </w:tc>
        <w:tc>
          <w:tcPr>
            <w:tcW w:w="1377" w:type="pct"/>
            <w:hideMark/>
          </w:tcPr>
          <w:p w14:paraId="4C27A548" w14:textId="77777777" w:rsidR="00C964C9"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68" w:tgtFrame="_new" w:history="1">
              <w:r w:rsidR="00C964C9" w:rsidRPr="00732EED">
                <w:rPr>
                  <w:color w:val="467886"/>
                  <w:sz w:val="18"/>
                  <w:szCs w:val="18"/>
                </w:rPr>
                <w:t>Zeidan F, Vago DR (2016). Mindfulness meditation-based pain relief: a mechanistic account. Ann N Y Acad Sci, 1373:114–127. https://doi.org/10.1111/nyas.13153</w:t>
              </w:r>
            </w:hyperlink>
          </w:p>
        </w:tc>
        <w:tc>
          <w:tcPr>
            <w:tcW w:w="631" w:type="pct"/>
            <w:hideMark/>
          </w:tcPr>
          <w:p w14:paraId="27FCA6AE"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Review of experimental and neuroimaging studies on mindfulness </w:t>
            </w:r>
            <w:r w:rsidRPr="00732EED">
              <w:rPr>
                <w:color w:val="000000"/>
                <w:sz w:val="18"/>
                <w:szCs w:val="18"/>
              </w:rPr>
              <w:lastRenderedPageBreak/>
              <w:t>meditation and pain. Integrates behavioral and neural evidence.</w:t>
            </w:r>
          </w:p>
        </w:tc>
        <w:tc>
          <w:tcPr>
            <w:tcW w:w="621" w:type="pct"/>
            <w:hideMark/>
          </w:tcPr>
          <w:p w14:paraId="22932DC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Cognitive neuroscience of pain and mindfulness. Emphasizes non-</w:t>
            </w:r>
            <w:proofErr w:type="spellStart"/>
            <w:r w:rsidRPr="00732EED">
              <w:rPr>
                <w:color w:val="000000"/>
                <w:sz w:val="18"/>
                <w:szCs w:val="18"/>
              </w:rPr>
              <w:lastRenderedPageBreak/>
              <w:t>opioidergic</w:t>
            </w:r>
            <w:proofErr w:type="spellEnd"/>
            <w:r w:rsidRPr="00732EED">
              <w:rPr>
                <w:color w:val="000000"/>
                <w:sz w:val="18"/>
                <w:szCs w:val="18"/>
              </w:rPr>
              <w:t xml:space="preserve"> mechanisms, attention regulation, and altered appraisal of sensory experience.</w:t>
            </w:r>
          </w:p>
        </w:tc>
        <w:tc>
          <w:tcPr>
            <w:tcW w:w="763" w:type="pct"/>
            <w:hideMark/>
          </w:tcPr>
          <w:p w14:paraId="03506A4A"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Narrative review. Provides mechanistic explanation based on existing studies.</w:t>
            </w:r>
          </w:p>
        </w:tc>
        <w:tc>
          <w:tcPr>
            <w:tcW w:w="1460" w:type="pct"/>
            <w:hideMark/>
          </w:tcPr>
          <w:p w14:paraId="3F0A4C6F" w14:textId="77777777" w:rsidR="00C964C9" w:rsidRPr="00732EED" w:rsidRDefault="00C964C9" w:rsidP="009746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This paper provides a mechanistic account of how mindfulness meditation reduces pain. Drawing on behavioral and neuroimaging research, the authors argue that mindfulness engages distinct neural pathways that modulate pain independently of </w:t>
            </w:r>
            <w:r w:rsidRPr="00732EED">
              <w:rPr>
                <w:color w:val="000000"/>
                <w:sz w:val="18"/>
                <w:szCs w:val="18"/>
              </w:rPr>
              <w:lastRenderedPageBreak/>
              <w:t>endogenous opioid systems. Key mechanisms include enhanced attention regulation, reduced emotional reactivity, and altered evaluation of sensory input. Brain regions such as the anterior cingulate cortex, insula, and prefrontal cortex play central roles in these processes. The paper distinguishes mindfulness-based analgesia from placebo and cognitive control strategies, emphasizing its unique experiential focus on present-moment awareness. The authors suggest that mindfulness represents a promising non-pharmacological approach to pain management and call for further research to refine its clinical applications.</w:t>
            </w:r>
          </w:p>
        </w:tc>
      </w:tr>
    </w:tbl>
    <w:p w14:paraId="0EFBF024" w14:textId="38B96A52" w:rsidR="00D30385" w:rsidRPr="00732EED" w:rsidRDefault="00F54FD5" w:rsidP="00E9589B">
      <w:pPr>
        <w:rPr>
          <w:sz w:val="18"/>
          <w:szCs w:val="18"/>
        </w:rPr>
      </w:pPr>
      <w:r w:rsidRPr="00732EED">
        <w:rPr>
          <w:sz w:val="18"/>
          <w:szCs w:val="18"/>
        </w:rPr>
        <w:lastRenderedPageBreak/>
        <w:t>*</w:t>
      </w:r>
      <w:r w:rsidR="00E9589B" w:rsidRPr="00732EED">
        <w:rPr>
          <w:sz w:val="18"/>
          <w:szCs w:val="18"/>
        </w:rPr>
        <w:t>References are listed in full; DOI provided where available.</w:t>
      </w:r>
      <w:r w:rsidRPr="00732EED">
        <w:rPr>
          <w:sz w:val="18"/>
          <w:szCs w:val="18"/>
        </w:rPr>
        <w:t xml:space="preserve"> </w:t>
      </w:r>
      <w:r w:rsidR="00E9589B" w:rsidRPr="00732EED">
        <w:rPr>
          <w:sz w:val="18"/>
          <w:szCs w:val="18"/>
        </w:rPr>
        <w:t>Methodology column summarizes the primary method(s) reported by each study (author-stated design or dominant analytic approach).</w:t>
      </w:r>
      <w:r w:rsidRPr="00732EED">
        <w:rPr>
          <w:sz w:val="18"/>
          <w:szCs w:val="18"/>
        </w:rPr>
        <w:t xml:space="preserve"> </w:t>
      </w:r>
      <w:r w:rsidR="00E9589B" w:rsidRPr="00732EED">
        <w:rPr>
          <w:sz w:val="18"/>
          <w:szCs w:val="18"/>
        </w:rPr>
        <w:t>Theoretical Framework column indicates the principal conceptual or theoretical orientation reported or used by authors.</w:t>
      </w:r>
      <w:r w:rsidRPr="00732EED">
        <w:rPr>
          <w:sz w:val="18"/>
          <w:szCs w:val="18"/>
        </w:rPr>
        <w:t xml:space="preserve"> </w:t>
      </w:r>
      <w:r w:rsidR="00E9589B" w:rsidRPr="00732EED">
        <w:rPr>
          <w:sz w:val="18"/>
          <w:szCs w:val="18"/>
        </w:rPr>
        <w:t>Study Design denotes the publication type (empirical, review, conceptual/theoretical, methodological) and primary study approach.</w:t>
      </w:r>
      <w:r w:rsidRPr="00732EED">
        <w:rPr>
          <w:sz w:val="18"/>
          <w:szCs w:val="18"/>
        </w:rPr>
        <w:t xml:space="preserve"> </w:t>
      </w:r>
      <w:r w:rsidR="00E9589B" w:rsidRPr="00732EED">
        <w:rPr>
          <w:sz w:val="18"/>
          <w:szCs w:val="18"/>
        </w:rPr>
        <w:t>Summary &amp; Coding Themes provide a brief study summary and the review team’s applied coding labels; summaries are interpretive syntheses, not verbatim author abstracts.</w:t>
      </w:r>
      <w:r w:rsidRPr="00732EED">
        <w:rPr>
          <w:sz w:val="18"/>
          <w:szCs w:val="18"/>
        </w:rPr>
        <w:t xml:space="preserve"> </w:t>
      </w:r>
      <w:r w:rsidR="00E9589B" w:rsidRPr="00732EED">
        <w:rPr>
          <w:sz w:val="18"/>
          <w:szCs w:val="18"/>
        </w:rPr>
        <w:t>Study numbers correspond to the reference index used throughout the manuscript and supplementary materials.</w:t>
      </w:r>
      <w:r w:rsidRPr="00732EED">
        <w:rPr>
          <w:sz w:val="18"/>
          <w:szCs w:val="18"/>
        </w:rPr>
        <w:t xml:space="preserve"> </w:t>
      </w:r>
      <w:r w:rsidR="00E9589B" w:rsidRPr="00732EED">
        <w:rPr>
          <w:sz w:val="18"/>
          <w:szCs w:val="18"/>
        </w:rPr>
        <w:t>Inclusion/exclusion: only studies meeting the review’s eligibility criteria (see Methods) were included; individual studies may contribute to multiple themes.</w:t>
      </w:r>
      <w:r w:rsidRPr="00732EED">
        <w:rPr>
          <w:sz w:val="18"/>
          <w:szCs w:val="18"/>
        </w:rPr>
        <w:t xml:space="preserve"> </w:t>
      </w:r>
      <w:r w:rsidR="00E9589B" w:rsidRPr="00732EED">
        <w:rPr>
          <w:sz w:val="18"/>
          <w:szCs w:val="18"/>
        </w:rPr>
        <w:t>Weighting and counts reported elsewhere in the manuscript/supplementary tables were derived from study</w:t>
      </w:r>
      <w:r w:rsidR="00E9589B" w:rsidRPr="00732EED">
        <w:rPr>
          <w:sz w:val="18"/>
          <w:szCs w:val="18"/>
        </w:rPr>
        <w:noBreakHyphen/>
        <w:t>level coding (primary/secondary/tertiary) and are not repeated here.</w:t>
      </w:r>
      <w:r w:rsidRPr="00732EED">
        <w:rPr>
          <w:sz w:val="18"/>
          <w:szCs w:val="18"/>
        </w:rPr>
        <w:t xml:space="preserve"> </w:t>
      </w:r>
      <w:r w:rsidR="00E9589B" w:rsidRPr="00732EED">
        <w:rPr>
          <w:sz w:val="18"/>
          <w:szCs w:val="18"/>
        </w:rPr>
        <w:t>Abbreviations: PAR = participatory action research; CBPR = community</w:t>
      </w:r>
      <w:r w:rsidR="00E9589B" w:rsidRPr="00732EED">
        <w:rPr>
          <w:sz w:val="18"/>
          <w:szCs w:val="18"/>
        </w:rPr>
        <w:noBreakHyphen/>
        <w:t>based participatory research; IPA = interpretative phenomenological analysis; MBSR = mindfulness</w:t>
      </w:r>
      <w:r w:rsidR="00E9589B" w:rsidRPr="00732EED">
        <w:rPr>
          <w:sz w:val="18"/>
          <w:szCs w:val="18"/>
        </w:rPr>
        <w:noBreakHyphen/>
        <w:t>based stress reduction; CDSS = clinical decision support system.</w:t>
      </w:r>
      <w:r w:rsidRPr="00732EED">
        <w:rPr>
          <w:sz w:val="18"/>
          <w:szCs w:val="18"/>
        </w:rPr>
        <w:t xml:space="preserve"> </w:t>
      </w:r>
      <w:r w:rsidR="00E9589B" w:rsidRPr="00732EED">
        <w:rPr>
          <w:sz w:val="18"/>
          <w:szCs w:val="18"/>
        </w:rPr>
        <w:t>For full coding decisions, study</w:t>
      </w:r>
      <w:r w:rsidR="00E9589B" w:rsidRPr="00732EED">
        <w:rPr>
          <w:sz w:val="18"/>
          <w:szCs w:val="18"/>
        </w:rPr>
        <w:noBreakHyphen/>
        <w:t>level assignments, and inter</w:t>
      </w:r>
      <w:r w:rsidR="00E9589B" w:rsidRPr="00732EED">
        <w:rPr>
          <w:sz w:val="18"/>
          <w:szCs w:val="18"/>
        </w:rPr>
        <w:noBreakHyphen/>
        <w:t>rater reliability details see Methods and Supplementary Methods.</w:t>
      </w:r>
    </w:p>
    <w:p w14:paraId="6B376C72" w14:textId="77777777" w:rsidR="001F2CA8" w:rsidRPr="00732EED" w:rsidRDefault="001F2CA8" w:rsidP="00CF59AF">
      <w:pPr>
        <w:rPr>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73EC8360" w14:textId="0F99FA16" w:rsidR="007F447D" w:rsidRPr="00732EED" w:rsidRDefault="007F447D" w:rsidP="007F447D">
      <w:pPr>
        <w:rPr>
          <w:b/>
          <w:color w:val="000000"/>
          <w:sz w:val="18"/>
          <w:szCs w:val="18"/>
        </w:rPr>
      </w:pPr>
      <w:r w:rsidRPr="00732EED">
        <w:rPr>
          <w:b/>
          <w:color w:val="000000"/>
          <w:sz w:val="18"/>
          <w:szCs w:val="18"/>
        </w:rPr>
        <w:lastRenderedPageBreak/>
        <w:t>Table S1</w:t>
      </w:r>
      <w:r w:rsidR="00E418E3" w:rsidRPr="00732EED">
        <w:rPr>
          <w:b/>
          <w:color w:val="000000"/>
          <w:sz w:val="18"/>
          <w:szCs w:val="18"/>
        </w:rPr>
        <w:t>6</w:t>
      </w:r>
      <w:r w:rsidRPr="00732EED">
        <w:rPr>
          <w:b/>
          <w:color w:val="000000"/>
          <w:sz w:val="18"/>
          <w:szCs w:val="18"/>
        </w:rPr>
        <w:t xml:space="preserve">. Summary of GRADE </w:t>
      </w:r>
      <w:proofErr w:type="spellStart"/>
      <w:r w:rsidRPr="00732EED">
        <w:rPr>
          <w:b/>
          <w:bCs/>
          <w:sz w:val="18"/>
          <w:szCs w:val="18"/>
        </w:rPr>
        <w:t>CERQual</w:t>
      </w:r>
      <w:proofErr w:type="spellEnd"/>
      <w:r w:rsidRPr="00732EED">
        <w:rPr>
          <w:b/>
          <w:bCs/>
          <w:sz w:val="18"/>
          <w:szCs w:val="18"/>
        </w:rPr>
        <w:t>-style confidence appraisal across of the</w:t>
      </w:r>
      <w:r w:rsidRPr="00732EED">
        <w:rPr>
          <w:b/>
          <w:color w:val="000000"/>
          <w:sz w:val="18"/>
          <w:szCs w:val="18"/>
        </w:rPr>
        <w:t xml:space="preserve"> </w:t>
      </w:r>
      <w:r w:rsidR="000C67B3" w:rsidRPr="00732EED">
        <w:rPr>
          <w:b/>
          <w:color w:val="000000"/>
          <w:sz w:val="18"/>
          <w:szCs w:val="18"/>
        </w:rPr>
        <w:t>t</w:t>
      </w:r>
      <w:r w:rsidRPr="00732EED">
        <w:rPr>
          <w:b/>
          <w:color w:val="000000"/>
          <w:sz w:val="18"/>
          <w:szCs w:val="18"/>
        </w:rPr>
        <w:t>ransdisciplinary Literature used in Phase 2*</w:t>
      </w:r>
    </w:p>
    <w:tbl>
      <w:tblPr>
        <w:tblStyle w:val="PlainTable11"/>
        <w:tblW w:w="4974" w:type="pct"/>
        <w:tblLayout w:type="fixed"/>
        <w:tblLook w:val="04A0" w:firstRow="1" w:lastRow="0" w:firstColumn="1" w:lastColumn="0" w:noHBand="0" w:noVBand="1"/>
      </w:tblPr>
      <w:tblGrid>
        <w:gridCol w:w="397"/>
        <w:gridCol w:w="3570"/>
        <w:gridCol w:w="2409"/>
        <w:gridCol w:w="2582"/>
        <w:gridCol w:w="2269"/>
        <w:gridCol w:w="2264"/>
      </w:tblGrid>
      <w:tr w:rsidR="00EB4ED6" w:rsidRPr="00732EED" w14:paraId="60A9121D" w14:textId="77777777" w:rsidTr="00EB4E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244C88FB" w14:textId="77777777" w:rsidR="00CF59AF" w:rsidRPr="00732EED" w:rsidRDefault="00CF59AF" w:rsidP="008E2192">
            <w:pPr>
              <w:rPr>
                <w:sz w:val="18"/>
                <w:szCs w:val="18"/>
              </w:rPr>
            </w:pPr>
          </w:p>
        </w:tc>
        <w:tc>
          <w:tcPr>
            <w:tcW w:w="1323" w:type="pct"/>
            <w:hideMark/>
          </w:tcPr>
          <w:p w14:paraId="272FBCDB" w14:textId="77777777" w:rsidR="00CF59AF" w:rsidRPr="00732EED" w:rsidRDefault="00CF59AF" w:rsidP="00EB4ED6">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Reference</w:t>
            </w:r>
          </w:p>
        </w:tc>
        <w:tc>
          <w:tcPr>
            <w:tcW w:w="893" w:type="pct"/>
          </w:tcPr>
          <w:p w14:paraId="6D6CF5D2" w14:textId="77777777" w:rsidR="00CF59AF" w:rsidRPr="00732EED" w:rsidRDefault="00CF59AF" w:rsidP="008E2192">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Methodological Limitations</w:t>
            </w:r>
          </w:p>
        </w:tc>
        <w:tc>
          <w:tcPr>
            <w:tcW w:w="957" w:type="pct"/>
          </w:tcPr>
          <w:p w14:paraId="081F7872" w14:textId="77777777" w:rsidR="00CF59AF" w:rsidRPr="00732EED" w:rsidRDefault="00CF59AF" w:rsidP="008E2192">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Coherence</w:t>
            </w:r>
          </w:p>
        </w:tc>
        <w:tc>
          <w:tcPr>
            <w:tcW w:w="841" w:type="pct"/>
          </w:tcPr>
          <w:p w14:paraId="3A5C6A55" w14:textId="77777777" w:rsidR="00CF59AF" w:rsidRPr="00732EED" w:rsidRDefault="00CF59AF" w:rsidP="008E2192">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Adequacy of Data</w:t>
            </w:r>
          </w:p>
        </w:tc>
        <w:tc>
          <w:tcPr>
            <w:tcW w:w="840" w:type="pct"/>
          </w:tcPr>
          <w:p w14:paraId="06680C35" w14:textId="77777777" w:rsidR="00CF59AF" w:rsidRPr="00732EED" w:rsidRDefault="00CF59AF" w:rsidP="008E2192">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Relevance</w:t>
            </w:r>
          </w:p>
        </w:tc>
      </w:tr>
      <w:tr w:rsidR="00EB4ED6" w:rsidRPr="00732EED" w14:paraId="6F8D0647"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128B99A" w14:textId="77777777" w:rsidR="00CF59AF" w:rsidRPr="00732EED" w:rsidRDefault="00CF59AF" w:rsidP="008E2192">
            <w:pPr>
              <w:jc w:val="right"/>
              <w:rPr>
                <w:color w:val="000000"/>
                <w:sz w:val="18"/>
                <w:szCs w:val="18"/>
              </w:rPr>
            </w:pPr>
            <w:r w:rsidRPr="00732EED">
              <w:rPr>
                <w:color w:val="000000"/>
                <w:sz w:val="18"/>
                <w:szCs w:val="18"/>
              </w:rPr>
              <w:t>1</w:t>
            </w:r>
          </w:p>
        </w:tc>
        <w:tc>
          <w:tcPr>
            <w:tcW w:w="1323" w:type="pct"/>
            <w:hideMark/>
          </w:tcPr>
          <w:p w14:paraId="22652556" w14:textId="1858C838" w:rsidR="00CF59AF" w:rsidRPr="00732EED" w:rsidRDefault="00EB4ED6"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69" w:history="1">
              <w:r w:rsidRPr="00C865BE">
                <w:rPr>
                  <w:rStyle w:val="Hyperlink"/>
                  <w:sz w:val="18"/>
                  <w:szCs w:val="18"/>
                </w:rPr>
                <w:t>Allen-Scott LK, Buntain B, Hatfield JM et al (2015) Academic institutions and one health: building capacity for transdisciplinary research approaches to address complex health issues at the animal-human-ecosystem interface. Acad Med 90:866–871. https://doi.org/10.1097/ACM.0000000000000639</w:t>
              </w:r>
            </w:hyperlink>
          </w:p>
        </w:tc>
        <w:tc>
          <w:tcPr>
            <w:tcW w:w="893" w:type="pct"/>
          </w:tcPr>
          <w:p w14:paraId="083C51FA" w14:textId="3C2F5D83"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paper is a “Perspective” piece rather than a primary research study or systematic review. While it lacks a formal methodology section (e.g., PRISMA for reviews), it builds its arguments on established transdisciplinary frameworks and existing literature.</w:t>
            </w:r>
          </w:p>
        </w:tc>
        <w:tc>
          <w:tcPr>
            <w:tcW w:w="957" w:type="pct"/>
          </w:tcPr>
          <w:p w14:paraId="5CE12E57" w14:textId="00234BA0" w:rsidR="00CF59AF" w:rsidRPr="00EB4ED6" w:rsidRDefault="00CF59AF" w:rsidP="00EB4ED6">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The findings are highly coherent. The authors consistently argue that transdisciplinary approaches provide added value through sustainability, cost-effectiveness, and harm mitigation. These arguments are supported by logical deductions and multiple cited case studies (e.g., Swiss TPH, ILRI).</w:t>
            </w:r>
          </w:p>
        </w:tc>
        <w:tc>
          <w:tcPr>
            <w:tcW w:w="841" w:type="pct"/>
          </w:tcPr>
          <w:p w14:paraId="45BBA7E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“data” consists of qualitative arguments and summarized results from external studies. While the supporting evidence is rich in conceptual depth, the paper does not provide new raw data to be independently analyzed.</w:t>
            </w:r>
          </w:p>
        </w:tc>
        <w:tc>
          <w:tcPr>
            <w:tcW w:w="840" w:type="pct"/>
          </w:tcPr>
          <w:p w14:paraId="4B25432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w:t>
            </w:r>
            <w:r w:rsidRPr="00732EED">
              <w:rPr>
                <w:rStyle w:val="citation-84"/>
                <w:rFonts w:eastAsia="SimSun"/>
                <w:sz w:val="18"/>
                <w:szCs w:val="18"/>
              </w:rPr>
              <w:t>The paper is directly relevant to the specific context of academic institutions and One Health</w:t>
            </w:r>
            <w:r w:rsidRPr="00732EED">
              <w:rPr>
                <w:sz w:val="18"/>
                <w:szCs w:val="18"/>
              </w:rPr>
              <w:t xml:space="preserve">. </w:t>
            </w:r>
            <w:r w:rsidRPr="00732EED">
              <w:rPr>
                <w:rStyle w:val="citation-83"/>
                <w:rFonts w:eastAsia="SimSun"/>
                <w:sz w:val="18"/>
                <w:szCs w:val="18"/>
              </w:rPr>
              <w:t>It addresses complex health issues at the animal-human-ecosystem interface and provides specific, actionable recommendations for institutional change</w:t>
            </w:r>
            <w:r w:rsidRPr="00732EED">
              <w:rPr>
                <w:sz w:val="18"/>
                <w:szCs w:val="18"/>
              </w:rPr>
              <w:t>.</w:t>
            </w:r>
          </w:p>
        </w:tc>
      </w:tr>
      <w:tr w:rsidR="00EB4ED6" w:rsidRPr="00732EED" w14:paraId="2646C03D"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036C1F7" w14:textId="77777777" w:rsidR="00CF59AF" w:rsidRPr="00732EED" w:rsidRDefault="00CF59AF" w:rsidP="008E2192">
            <w:pPr>
              <w:jc w:val="right"/>
              <w:rPr>
                <w:color w:val="000000"/>
                <w:sz w:val="18"/>
                <w:szCs w:val="18"/>
              </w:rPr>
            </w:pPr>
            <w:r w:rsidRPr="00732EED">
              <w:rPr>
                <w:color w:val="000000"/>
                <w:sz w:val="18"/>
                <w:szCs w:val="18"/>
              </w:rPr>
              <w:t>2</w:t>
            </w:r>
          </w:p>
        </w:tc>
        <w:tc>
          <w:tcPr>
            <w:tcW w:w="1323" w:type="pct"/>
            <w:hideMark/>
          </w:tcPr>
          <w:p w14:paraId="1FBBD110"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70" w:tgtFrame="_new" w:history="1">
              <w:r w:rsidR="00CF59AF" w:rsidRPr="00732EED">
                <w:rPr>
                  <w:color w:val="467886"/>
                  <w:sz w:val="18"/>
                  <w:szCs w:val="18"/>
                </w:rPr>
                <w:t>Andersen AH, Assing Hvidt E, Huniche L et al (2021) Why we suffer? Existential challenges of patients with chronic illness: a Kierkegaardian inspired interpretative phenomenological analysis. J Humanist Psychol. https://doi.org/10.1177/00221678211002439</w:t>
              </w:r>
            </w:hyperlink>
          </w:p>
        </w:tc>
        <w:tc>
          <w:tcPr>
            <w:tcW w:w="893" w:type="pct"/>
          </w:tcPr>
          <w:p w14:paraId="03500C5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As a Perspective article, it does not use a primary empirical or systematic review methodology. However, it utilizes established transdisciplinary frameworks (e.g., Lang et al.) and integrates diverse literature to build its case.</w:t>
            </w:r>
          </w:p>
          <w:p w14:paraId="30F6EC1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0BCBA020"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highly consistent, linking the need for “transmitters,” institutional “enabling environments,” and "novel funding" to a unified goal of sustainable health solutions. Arguments are supported by logical deductions and multiple illustrative case studies.</w:t>
            </w:r>
          </w:p>
        </w:tc>
        <w:tc>
          <w:tcPr>
            <w:tcW w:w="841" w:type="pct"/>
          </w:tcPr>
          <w:p w14:paraId="1DCAA27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paper provides a rich conceptual synthesis and cites specific evidence for cost-effectiveness and impact. While conceptually robust, it relies on summaries of external studies rather than presenting new raw data sets.</w:t>
            </w:r>
          </w:p>
        </w:tc>
        <w:tc>
          <w:tcPr>
            <w:tcW w:w="840" w:type="pct"/>
          </w:tcPr>
          <w:p w14:paraId="01C7D44D" w14:textId="77777777" w:rsidR="00CF59AF" w:rsidRPr="00732EED" w:rsidRDefault="00CF59AF" w:rsidP="008E2192">
            <w:pPr>
              <w:pStyle w:val="NormalWeb"/>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The content is directly applicable to the core question of how academic institutions can address One Health. It specifically identifies barriers (silos, funding, evaluation) and offers practical recommendations for the academic sector.</w:t>
            </w:r>
          </w:p>
          <w:p w14:paraId="6A28475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EB4ED6" w:rsidRPr="00732EED" w14:paraId="57E7E75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3499B89" w14:textId="77777777" w:rsidR="00CF59AF" w:rsidRPr="00732EED" w:rsidRDefault="00CF59AF" w:rsidP="008E2192">
            <w:pPr>
              <w:jc w:val="right"/>
              <w:rPr>
                <w:color w:val="000000"/>
                <w:sz w:val="18"/>
                <w:szCs w:val="18"/>
              </w:rPr>
            </w:pPr>
            <w:r w:rsidRPr="00732EED">
              <w:rPr>
                <w:color w:val="000000"/>
                <w:sz w:val="18"/>
                <w:szCs w:val="18"/>
              </w:rPr>
              <w:t>3</w:t>
            </w:r>
          </w:p>
        </w:tc>
        <w:tc>
          <w:tcPr>
            <w:tcW w:w="1323" w:type="pct"/>
            <w:hideMark/>
          </w:tcPr>
          <w:p w14:paraId="39E0932A"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71" w:tgtFrame="_new" w:history="1">
              <w:r w:rsidR="00CF59AF" w:rsidRPr="00732EED">
                <w:rPr>
                  <w:color w:val="467886"/>
                  <w:sz w:val="18"/>
                  <w:szCs w:val="18"/>
                </w:rPr>
                <w:t>Austin CJ (2016) The ontology of organisms: mechanistic modules or patterned processes? Biol Philos 31:639–662. https://doi.org/10.1007/s10539-016-9533-3</w:t>
              </w:r>
            </w:hyperlink>
          </w:p>
        </w:tc>
        <w:tc>
          <w:tcPr>
            <w:tcW w:w="893" w:type="pct"/>
          </w:tcPr>
          <w:p w14:paraId="777A752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As a “Perspective” piece, the paper does not follow a primary research or systematic review methodology. However, it builds its arguments by synthesizing established transdisciplinary frameworks and integrating peer-reviewed literature to support its claims.</w:t>
            </w:r>
          </w:p>
        </w:tc>
        <w:tc>
          <w:tcPr>
            <w:tcW w:w="957" w:type="pct"/>
          </w:tcPr>
          <w:p w14:paraId="2FEDEB55"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logically consistent, linking the need for “transmitters,” institutional “enabling environments,” and “novel funding” to a unified goal of sustainable health solutions. The arguments are supported by clear deductions and multiple illustrative case studies, such as the Swiss TPH and ILRI.</w:t>
            </w:r>
          </w:p>
        </w:tc>
        <w:tc>
          <w:tcPr>
            <w:tcW w:w="841" w:type="pct"/>
          </w:tcPr>
          <w:p w14:paraId="5569E755"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paper provides a rich conceptual synthesis and cites specific evidence for cost-effectiveness and impact. While conceptually deep, it relies on the summary and application of external data and prior studies rather than presenting new raw experimental datasets.</w:t>
            </w:r>
          </w:p>
        </w:tc>
        <w:tc>
          <w:tcPr>
            <w:tcW w:w="840" w:type="pct"/>
          </w:tcPr>
          <w:p w14:paraId="5ADC7E5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directly applicable to the core question of how academic institutions can address One Health. It identifies specific systemic barriers/such as silos and rigid funding/evaluation criteria, and provides practical, actionable recommendations tailored for the academic sector.</w:t>
            </w:r>
          </w:p>
        </w:tc>
      </w:tr>
      <w:tr w:rsidR="00EB4ED6" w:rsidRPr="00732EED" w14:paraId="487A3D1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6A2A142" w14:textId="77777777" w:rsidR="00CF59AF" w:rsidRPr="00732EED" w:rsidRDefault="00CF59AF" w:rsidP="008E2192">
            <w:pPr>
              <w:jc w:val="right"/>
              <w:rPr>
                <w:color w:val="000000"/>
                <w:sz w:val="18"/>
                <w:szCs w:val="18"/>
              </w:rPr>
            </w:pPr>
            <w:r w:rsidRPr="00732EED">
              <w:rPr>
                <w:color w:val="000000"/>
                <w:sz w:val="18"/>
                <w:szCs w:val="18"/>
              </w:rPr>
              <w:t>4</w:t>
            </w:r>
          </w:p>
        </w:tc>
        <w:tc>
          <w:tcPr>
            <w:tcW w:w="1323" w:type="pct"/>
            <w:hideMark/>
          </w:tcPr>
          <w:p w14:paraId="58116B11" w14:textId="77777777" w:rsidR="00CF59AF" w:rsidRPr="00732EED" w:rsidRDefault="00CF59AF" w:rsidP="00EB4E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Balogun-Mwangi O, Matsumoto A, Ballou M et al (2016) </w:t>
            </w:r>
            <w:r w:rsidRPr="00732EED">
              <w:rPr>
                <w:i/>
                <w:iCs/>
                <w:color w:val="000000"/>
                <w:sz w:val="18"/>
                <w:szCs w:val="18"/>
              </w:rPr>
              <w:t>Women’s pain, women’s voices: using the feminist ecological model and a participatory action research approach in developing a group curriculum for chronic pain</w:t>
            </w:r>
            <w:r w:rsidRPr="00732EED">
              <w:rPr>
                <w:color w:val="000000"/>
                <w:sz w:val="18"/>
                <w:szCs w:val="18"/>
              </w:rPr>
              <w:t xml:space="preserve">. J </w:t>
            </w:r>
            <w:proofErr w:type="spellStart"/>
            <w:r w:rsidRPr="00732EED">
              <w:rPr>
                <w:color w:val="000000"/>
                <w:sz w:val="18"/>
                <w:szCs w:val="18"/>
              </w:rPr>
              <w:t>Ethnogr</w:t>
            </w:r>
            <w:proofErr w:type="spellEnd"/>
            <w:r w:rsidRPr="00732EED">
              <w:rPr>
                <w:color w:val="000000"/>
                <w:sz w:val="18"/>
                <w:szCs w:val="18"/>
              </w:rPr>
              <w:t xml:space="preserve"> Qual Res 11:1–16.</w:t>
            </w:r>
          </w:p>
        </w:tc>
        <w:tc>
          <w:tcPr>
            <w:tcW w:w="893" w:type="pct"/>
          </w:tcPr>
          <w:p w14:paraId="2F456263" w14:textId="77777777" w:rsidR="00CF59AF" w:rsidRPr="00732EED" w:rsidRDefault="00CF59AF" w:rsidP="008E2192">
            <w:pPr>
              <w:pStyle w:val="NormalWeb"/>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00000"/>
                <w:sz w:val="18"/>
                <w:szCs w:val="18"/>
              </w:rPr>
              <w:t xml:space="preserve">Moderate: </w:t>
            </w:r>
            <w:r w:rsidRPr="00732EED">
              <w:rPr>
                <w:sz w:val="18"/>
                <w:szCs w:val="18"/>
              </w:rPr>
              <w:t xml:space="preserve">The study uses a robust </w:t>
            </w:r>
            <w:r w:rsidRPr="00732EED">
              <w:rPr>
                <w:bCs/>
                <w:sz w:val="18"/>
                <w:szCs w:val="18"/>
              </w:rPr>
              <w:t>Participatory Action Research (PAR)</w:t>
            </w:r>
            <w:r w:rsidRPr="00732EED">
              <w:rPr>
                <w:sz w:val="18"/>
                <w:szCs w:val="18"/>
              </w:rPr>
              <w:t xml:space="preserve"> approach and </w:t>
            </w:r>
            <w:r w:rsidRPr="00732EED">
              <w:rPr>
                <w:bCs/>
                <w:sz w:val="18"/>
                <w:szCs w:val="18"/>
              </w:rPr>
              <w:t>Interpretive Phenomenological Analysis (IPA)</w:t>
            </w:r>
            <w:r w:rsidRPr="00732EED">
              <w:rPr>
                <w:sz w:val="18"/>
                <w:szCs w:val="18"/>
              </w:rPr>
              <w:t xml:space="preserve">, which includes multiple researchers and a “validity check” by a fourth author to ensure internal validity. However, the small </w:t>
            </w:r>
            <w:r w:rsidRPr="00732EED">
              <w:rPr>
                <w:sz w:val="18"/>
                <w:szCs w:val="18"/>
              </w:rPr>
              <w:lastRenderedPageBreak/>
              <w:t xml:space="preserve">sample size (10 women) and the lack of a control group are standard for qualitative research but limit the generalizability of the findings. </w:t>
            </w:r>
          </w:p>
          <w:p w14:paraId="13DC496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04F9D62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strongly supported by the underlying data, with themes directly linked to participant quotes and facilitator observations. The use of </w:t>
            </w:r>
            <w:r w:rsidRPr="00732EED">
              <w:rPr>
                <w:bCs/>
                <w:color w:val="000000"/>
                <w:sz w:val="18"/>
                <w:szCs w:val="18"/>
              </w:rPr>
              <w:t>triangulation</w:t>
            </w:r>
            <w:r w:rsidRPr="00732EED">
              <w:rPr>
                <w:color w:val="000000"/>
                <w:sz w:val="18"/>
                <w:szCs w:val="18"/>
              </w:rPr>
              <w:t xml:space="preserve"> (surveys, observations, and feedback) ensures that the findings are consistent across different data sources within the study.</w:t>
            </w:r>
          </w:p>
        </w:tc>
        <w:tc>
          <w:tcPr>
            <w:tcW w:w="841" w:type="pct"/>
          </w:tcPr>
          <w:p w14:paraId="7F998429" w14:textId="77777777" w:rsidR="00CF59AF" w:rsidRPr="00732EED" w:rsidRDefault="00CF59AF" w:rsidP="008E2192">
            <w:pPr>
              <w:pStyle w:val="NormalWeb"/>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00000"/>
                <w:sz w:val="18"/>
                <w:szCs w:val="18"/>
              </w:rPr>
              <w:t xml:space="preserve">Moderate: </w:t>
            </w:r>
            <w:r w:rsidRPr="00732EED">
              <w:rPr>
                <w:sz w:val="18"/>
                <w:szCs w:val="18"/>
              </w:rPr>
              <w:t xml:space="preserve">The data is rich in quality, providing deep insights into the “lived experience” of chronic pain through open-ended surveys and session observations. However, the quantity of data is limited to a seven-session curriculum with a very small participant pool, </w:t>
            </w:r>
            <w:r w:rsidRPr="00732EED">
              <w:rPr>
                <w:sz w:val="18"/>
                <w:szCs w:val="18"/>
              </w:rPr>
              <w:lastRenderedPageBreak/>
              <w:t xml:space="preserve">which may not capture the full breadth of experiences. </w:t>
            </w:r>
          </w:p>
        </w:tc>
        <w:tc>
          <w:tcPr>
            <w:tcW w:w="840" w:type="pct"/>
          </w:tcPr>
          <w:p w14:paraId="3F700B9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study is highly relevant to its specific context: exploring how a feminist ecological and participatory approach can inform chronic pain treatment for women. It directly addresses identified gaps in medical literature regarding gender disparities </w:t>
            </w:r>
            <w:r w:rsidRPr="00732EED">
              <w:rPr>
                <w:color w:val="000000"/>
                <w:sz w:val="18"/>
                <w:szCs w:val="18"/>
              </w:rPr>
              <w:lastRenderedPageBreak/>
              <w:t xml:space="preserve">and the need for integrated, holistic care. </w:t>
            </w:r>
          </w:p>
        </w:tc>
      </w:tr>
      <w:tr w:rsidR="00EB4ED6" w:rsidRPr="00732EED" w14:paraId="29A228DE"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1487220F" w14:textId="77777777" w:rsidR="00CF59AF" w:rsidRPr="00732EED" w:rsidRDefault="00CF59AF" w:rsidP="008E2192">
            <w:pPr>
              <w:jc w:val="right"/>
              <w:rPr>
                <w:color w:val="000000"/>
                <w:sz w:val="18"/>
                <w:szCs w:val="18"/>
              </w:rPr>
            </w:pPr>
            <w:r w:rsidRPr="00732EED">
              <w:rPr>
                <w:color w:val="000000"/>
                <w:sz w:val="18"/>
                <w:szCs w:val="18"/>
              </w:rPr>
              <w:lastRenderedPageBreak/>
              <w:t>5</w:t>
            </w:r>
          </w:p>
        </w:tc>
        <w:tc>
          <w:tcPr>
            <w:tcW w:w="1323" w:type="pct"/>
            <w:hideMark/>
          </w:tcPr>
          <w:p w14:paraId="1F32467C"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72" w:tgtFrame="_new" w:history="1">
              <w:r w:rsidR="00CF59AF" w:rsidRPr="00732EED">
                <w:rPr>
                  <w:color w:val="467886"/>
                  <w:sz w:val="18"/>
                  <w:szCs w:val="18"/>
                </w:rPr>
                <w:t>Canella C, Braun C, Witt CM (2024) Developing a digital mind body medicine supportive care intervention for people with amyotrophic lateral sclerosis using stakeholder engagement and design thinking. Digit Health 10. https://doi.org/10.1177/20552076241255928</w:t>
              </w:r>
            </w:hyperlink>
          </w:p>
        </w:tc>
        <w:tc>
          <w:tcPr>
            <w:tcW w:w="893" w:type="pct"/>
          </w:tcPr>
          <w:p w14:paraId="66C6BCE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Moderate: </w:t>
            </w:r>
            <w:r w:rsidRPr="00732EED">
              <w:rPr>
                <w:sz w:val="18"/>
                <w:szCs w:val="18"/>
              </w:rPr>
              <w:t xml:space="preserve">The study used a robust </w:t>
            </w:r>
            <w:r w:rsidRPr="00732EED">
              <w:rPr>
                <w:bCs/>
                <w:sz w:val="18"/>
                <w:szCs w:val="18"/>
              </w:rPr>
              <w:t>design thinking process</w:t>
            </w:r>
            <w:r w:rsidRPr="00732EED">
              <w:rPr>
                <w:sz w:val="18"/>
                <w:szCs w:val="18"/>
              </w:rPr>
              <w:t xml:space="preserve"> and </w:t>
            </w:r>
            <w:r w:rsidRPr="00732EED">
              <w:rPr>
                <w:bCs/>
                <w:sz w:val="18"/>
                <w:szCs w:val="18"/>
              </w:rPr>
              <w:t>stakeholder engagement</w:t>
            </w:r>
            <w:r w:rsidRPr="00732EED">
              <w:rPr>
                <w:sz w:val="18"/>
                <w:szCs w:val="18"/>
              </w:rPr>
              <w:t xml:space="preserve">. However, the researchers noted that the use of </w:t>
            </w:r>
            <w:r w:rsidRPr="00732EED">
              <w:rPr>
                <w:bCs/>
                <w:sz w:val="18"/>
                <w:szCs w:val="18"/>
              </w:rPr>
              <w:t>closed questions</w:t>
            </w:r>
            <w:r w:rsidRPr="00732EED">
              <w:rPr>
                <w:sz w:val="18"/>
                <w:szCs w:val="18"/>
              </w:rPr>
              <w:t xml:space="preserve"> and predefined options to accommodate severe physical limitations may have restricted the “creative nature” of the prototyping process. Additionally, the sample size for the pilot test was small (n=4).</w:t>
            </w:r>
          </w:p>
          <w:p w14:paraId="7149595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25F5F2CB" w14:textId="77777777" w:rsidR="00CF59AF" w:rsidRPr="00732EED" w:rsidRDefault="00CF59AF" w:rsidP="008E2192">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 xml:space="preserve">The findings are highly consistent across the different phases of the study. The preference for </w:t>
            </w:r>
            <w:r w:rsidRPr="00732EED">
              <w:rPr>
                <w:bCs/>
                <w:sz w:val="18"/>
                <w:szCs w:val="18"/>
              </w:rPr>
              <w:t>online settings</w:t>
            </w:r>
            <w:r w:rsidRPr="00732EED">
              <w:rPr>
                <w:sz w:val="18"/>
                <w:szCs w:val="18"/>
              </w:rPr>
              <w:t xml:space="preserve"> and </w:t>
            </w:r>
            <w:r w:rsidRPr="00732EED">
              <w:rPr>
                <w:bCs/>
                <w:sz w:val="18"/>
                <w:szCs w:val="18"/>
              </w:rPr>
              <w:t>short-term intervals</w:t>
            </w:r>
            <w:r w:rsidRPr="00732EED">
              <w:rPr>
                <w:sz w:val="18"/>
                <w:szCs w:val="18"/>
              </w:rPr>
              <w:t xml:space="preserve"> emerged in the “empathize” phase, was confirmed in the “ideate” workshop, and was validated by positive feedback during the “test” phase.</w:t>
            </w:r>
          </w:p>
          <w:p w14:paraId="67701D9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532C7E3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study provides rich qualitative data from 19 diverse stakeholders, including patients, relatives, and experts. While the qualitative depth is strong, the authors acknowledge that the data is limited to what could be realized within a </w:t>
            </w:r>
            <w:r w:rsidRPr="00732EED">
              <w:rPr>
                <w:bCs/>
                <w:color w:val="000000"/>
                <w:sz w:val="18"/>
                <w:szCs w:val="18"/>
              </w:rPr>
              <w:t>single clinic</w:t>
            </w:r>
            <w:r w:rsidRPr="00732EED">
              <w:rPr>
                <w:color w:val="000000"/>
                <w:sz w:val="18"/>
                <w:szCs w:val="18"/>
              </w:rPr>
              <w:t xml:space="preserve"> and that larger clinical trials are still needed to confirm effectiveness.</w:t>
            </w:r>
          </w:p>
        </w:tc>
        <w:tc>
          <w:tcPr>
            <w:tcW w:w="840" w:type="pct"/>
          </w:tcPr>
          <w:p w14:paraId="6CF261E3" w14:textId="2C223F65"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study directly addresses the unique needs of people with ALS by including participants across </w:t>
            </w:r>
            <w:r w:rsidRPr="00732EED">
              <w:rPr>
                <w:bCs/>
                <w:color w:val="000000"/>
                <w:sz w:val="18"/>
                <w:szCs w:val="18"/>
              </w:rPr>
              <w:t xml:space="preserve">all progression </w:t>
            </w:r>
            <w:r w:rsidR="00B93F1C" w:rsidRPr="00732EED">
              <w:rPr>
                <w:bCs/>
                <w:color w:val="000000"/>
                <w:sz w:val="18"/>
                <w:szCs w:val="18"/>
              </w:rPr>
              <w:t>Phase</w:t>
            </w:r>
            <w:r w:rsidRPr="00732EED">
              <w:rPr>
                <w:bCs/>
                <w:color w:val="000000"/>
                <w:sz w:val="18"/>
                <w:szCs w:val="18"/>
              </w:rPr>
              <w:t>s</w:t>
            </w:r>
            <w:r w:rsidRPr="00732EED">
              <w:rPr>
                <w:color w:val="000000"/>
                <w:sz w:val="18"/>
                <w:szCs w:val="18"/>
              </w:rPr>
              <w:t>, including those near a locked-in state. The focus on digital accessibility directly tackles the specific mobility and communication challenges inherent to this disease.</w:t>
            </w:r>
          </w:p>
        </w:tc>
      </w:tr>
      <w:tr w:rsidR="00EB4ED6" w:rsidRPr="00732EED" w14:paraId="01BEBFE4"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D069999" w14:textId="77777777" w:rsidR="00CF59AF" w:rsidRPr="00732EED" w:rsidRDefault="00CF59AF" w:rsidP="008E2192">
            <w:pPr>
              <w:jc w:val="right"/>
              <w:rPr>
                <w:color w:val="000000"/>
                <w:sz w:val="18"/>
                <w:szCs w:val="18"/>
              </w:rPr>
            </w:pPr>
            <w:r w:rsidRPr="00732EED">
              <w:rPr>
                <w:color w:val="000000"/>
                <w:sz w:val="18"/>
                <w:szCs w:val="18"/>
              </w:rPr>
              <w:t>6</w:t>
            </w:r>
          </w:p>
        </w:tc>
        <w:tc>
          <w:tcPr>
            <w:tcW w:w="1323" w:type="pct"/>
            <w:hideMark/>
          </w:tcPr>
          <w:p w14:paraId="113F7154"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73" w:tgtFrame="_new" w:history="1">
              <w:r w:rsidR="00CF59AF" w:rsidRPr="00732EED">
                <w:rPr>
                  <w:color w:val="467886"/>
                  <w:sz w:val="18"/>
                  <w:szCs w:val="18"/>
                </w:rPr>
                <w:t>Ciesielski TH, Aldrich MC, Marsit CJ et al (2017) Transdisciplinary approaches enhance the production of translational knowledge. Transl Res 182:123–134. https://doi.org/10.1016/j.trsl.2016.11.002</w:t>
              </w:r>
            </w:hyperlink>
          </w:p>
        </w:tc>
        <w:tc>
          <w:tcPr>
            <w:tcW w:w="893" w:type="pct"/>
          </w:tcPr>
          <w:p w14:paraId="49EB68D3"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is a peer-reviewed perspective article that clearly defines its scope, terminology, and logic-based framework (Explore, Assess, Intervene). It transparently states its purpose as a conversation-starter rather than a “rigid protocol,” which aligns with the nature of the transdisciplinary research it describes.</w:t>
            </w:r>
          </w:p>
        </w:tc>
        <w:tc>
          <w:tcPr>
            <w:tcW w:w="957" w:type="pct"/>
          </w:tcPr>
          <w:p w14:paraId="6721412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findings are consistently supported by a diverse array of “proof of principle” examples, such as </w:t>
            </w:r>
            <w:proofErr w:type="spellStart"/>
            <w:r w:rsidRPr="00732EED">
              <w:rPr>
                <w:color w:val="000000"/>
                <w:sz w:val="18"/>
                <w:szCs w:val="18"/>
              </w:rPr>
              <w:t>DiCE</w:t>
            </w:r>
            <w:proofErr w:type="spellEnd"/>
            <w:r w:rsidRPr="00732EED">
              <w:rPr>
                <w:color w:val="000000"/>
                <w:sz w:val="18"/>
                <w:szCs w:val="18"/>
              </w:rPr>
              <w:t xml:space="preserve"> in genetics, DAGs in computer science, and the Cochrane Collaboration in medicine, all of which show that integrating disparate perspectives resolves complex problems that </w:t>
            </w:r>
            <w:proofErr w:type="spellStart"/>
            <w:r w:rsidRPr="00732EED">
              <w:rPr>
                <w:color w:val="000000"/>
                <w:sz w:val="18"/>
                <w:szCs w:val="18"/>
              </w:rPr>
              <w:t>unidisciplinary</w:t>
            </w:r>
            <w:proofErr w:type="spellEnd"/>
            <w:r w:rsidRPr="00732EED">
              <w:rPr>
                <w:color w:val="000000"/>
                <w:sz w:val="18"/>
                <w:szCs w:val="18"/>
              </w:rPr>
              <w:t xml:space="preserve"> approaches fail to address.</w:t>
            </w:r>
          </w:p>
        </w:tc>
        <w:tc>
          <w:tcPr>
            <w:tcW w:w="841" w:type="pct"/>
          </w:tcPr>
          <w:p w14:paraId="01CDD24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draws from a rich quantity of high-quality data sources, including well-established frameworks from the Institute of Medicine (IOM), the International Agency for Research on Cancer (IARC), and advanced machine-learning methods like Multifactor Dimensionality Reduction (MDR).</w:t>
            </w:r>
          </w:p>
        </w:tc>
        <w:tc>
          <w:tcPr>
            <w:tcW w:w="840" w:type="pct"/>
          </w:tcPr>
          <w:p w14:paraId="5008EED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w:t>
            </w:r>
            <w:r w:rsidRPr="00732EED">
              <w:rPr>
                <w:rStyle w:val="citation-196"/>
                <w:rFonts w:eastAsia="SimSun"/>
                <w:sz w:val="18"/>
                <w:szCs w:val="18"/>
              </w:rPr>
              <w:t>The examples provided are directly applicable to the core context of the review: improving translational research in the face of etiologically heterogeneous complex diseases where standard epidemiologic techniques often fail</w:t>
            </w:r>
            <w:r w:rsidRPr="00732EED">
              <w:rPr>
                <w:sz w:val="18"/>
                <w:szCs w:val="18"/>
              </w:rPr>
              <w:t>.</w:t>
            </w:r>
          </w:p>
        </w:tc>
      </w:tr>
      <w:tr w:rsidR="00EB4ED6" w:rsidRPr="00732EED" w14:paraId="42C50A3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DD450E4" w14:textId="77777777" w:rsidR="00CF59AF" w:rsidRPr="00732EED" w:rsidRDefault="00CF59AF" w:rsidP="008E2192">
            <w:pPr>
              <w:jc w:val="right"/>
              <w:rPr>
                <w:color w:val="000000"/>
                <w:sz w:val="18"/>
                <w:szCs w:val="18"/>
              </w:rPr>
            </w:pPr>
            <w:r w:rsidRPr="00732EED">
              <w:rPr>
                <w:color w:val="000000"/>
                <w:sz w:val="18"/>
                <w:szCs w:val="18"/>
              </w:rPr>
              <w:t>7</w:t>
            </w:r>
          </w:p>
        </w:tc>
        <w:tc>
          <w:tcPr>
            <w:tcW w:w="1323" w:type="pct"/>
            <w:hideMark/>
          </w:tcPr>
          <w:p w14:paraId="2530041D"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74" w:tgtFrame="_new" w:history="1">
              <w:r w:rsidR="00CF59AF" w:rsidRPr="00732EED">
                <w:rPr>
                  <w:color w:val="467886"/>
                  <w:sz w:val="18"/>
                  <w:szCs w:val="18"/>
                </w:rPr>
                <w:t>Collins SE, Clifasefi SL, Stanton J S et al (2018) Community-based participatory research (CBPR): towards equitable involvement of community in psychology research. Am Psychol 73:884–898. https://doi.org/10.1037/amp0000167</w:t>
              </w:r>
            </w:hyperlink>
          </w:p>
        </w:tc>
        <w:tc>
          <w:tcPr>
            <w:tcW w:w="893" w:type="pct"/>
          </w:tcPr>
          <w:p w14:paraId="3E1A896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w:t>
            </w:r>
            <w:r w:rsidRPr="00732EED">
              <w:rPr>
                <w:rStyle w:val="citation-252"/>
                <w:rFonts w:eastAsia="SimSun"/>
                <w:sz w:val="18"/>
                <w:szCs w:val="18"/>
              </w:rPr>
              <w:t>The paper acknowledges that CBPR is a “flexible approach” that cannot be “entirely fixed at the start”</w:t>
            </w:r>
            <w:r w:rsidRPr="00732EED">
              <w:rPr>
                <w:sz w:val="18"/>
                <w:szCs w:val="18"/>
              </w:rPr>
              <w:t xml:space="preserve">. </w:t>
            </w:r>
            <w:r w:rsidRPr="00732EED">
              <w:rPr>
                <w:rStyle w:val="citation-251"/>
                <w:rFonts w:eastAsia="SimSun"/>
                <w:sz w:val="18"/>
                <w:szCs w:val="18"/>
              </w:rPr>
              <w:t>While this flexibility is a core tenet, it inherently limits the use of traditional standardized controls found in mainstream psychology</w:t>
            </w:r>
            <w:r w:rsidRPr="00732EED">
              <w:rPr>
                <w:sz w:val="18"/>
                <w:szCs w:val="18"/>
              </w:rPr>
              <w:t>.</w:t>
            </w:r>
          </w:p>
        </w:tc>
        <w:tc>
          <w:tcPr>
            <w:tcW w:w="957" w:type="pct"/>
          </w:tcPr>
          <w:p w14:paraId="1B15149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highly consistent across the “northern” and “southern” traditions described. The core principles, such as equitable involvement, </w:t>
            </w:r>
            <w:proofErr w:type="spellStart"/>
            <w:r w:rsidRPr="00732EED">
              <w:rPr>
                <w:color w:val="000000"/>
                <w:sz w:val="18"/>
                <w:szCs w:val="18"/>
              </w:rPr>
              <w:t>colearning</w:t>
            </w:r>
            <w:proofErr w:type="spellEnd"/>
            <w:r w:rsidRPr="00732EED">
              <w:rPr>
                <w:color w:val="000000"/>
                <w:sz w:val="18"/>
                <w:szCs w:val="18"/>
              </w:rPr>
              <w:t>, and social change, are presented as a unified framework supported by various academic and activist movements.</w:t>
            </w:r>
          </w:p>
          <w:p w14:paraId="12C3FA9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03703D02"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authors cite various established frameworks and evidence-based factors for successful partnerships. However, they also note that CBPR is significantly underutilized in psychology, accounting for only </w:t>
            </w:r>
            <w:r w:rsidRPr="00732EED">
              <w:rPr>
                <w:bCs/>
                <w:color w:val="000000"/>
                <w:sz w:val="18"/>
                <w:szCs w:val="18"/>
              </w:rPr>
              <w:t>0.1%</w:t>
            </w:r>
            <w:r w:rsidRPr="00732EED">
              <w:rPr>
                <w:color w:val="000000"/>
                <w:sz w:val="18"/>
                <w:szCs w:val="18"/>
              </w:rPr>
              <w:t xml:space="preserve"> of publications in peer-reviewed journals.</w:t>
            </w:r>
          </w:p>
          <w:p w14:paraId="03E12F47"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0" w:type="pct"/>
          </w:tcPr>
          <w:p w14:paraId="70DF5716"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High:  The paper is explicitly designed for a general psychology audience to address mental health disparities. It provides concrete, population-specific examples (e.g., American Indian, homeless, and LGBTQ communities) that directly apply to the field.</w:t>
            </w:r>
          </w:p>
          <w:p w14:paraId="431CCBD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EB4ED6" w:rsidRPr="00732EED" w14:paraId="237E2A2A"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C24C2C9" w14:textId="77777777" w:rsidR="00CF59AF" w:rsidRPr="00732EED" w:rsidRDefault="00CF59AF" w:rsidP="008E2192">
            <w:pPr>
              <w:jc w:val="right"/>
              <w:rPr>
                <w:color w:val="000000"/>
                <w:sz w:val="18"/>
                <w:szCs w:val="18"/>
              </w:rPr>
            </w:pPr>
            <w:r w:rsidRPr="00732EED">
              <w:rPr>
                <w:color w:val="000000"/>
                <w:sz w:val="18"/>
                <w:szCs w:val="18"/>
              </w:rPr>
              <w:lastRenderedPageBreak/>
              <w:t>8</w:t>
            </w:r>
          </w:p>
        </w:tc>
        <w:tc>
          <w:tcPr>
            <w:tcW w:w="1323" w:type="pct"/>
            <w:hideMark/>
          </w:tcPr>
          <w:p w14:paraId="49514959"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75" w:tgtFrame="_new" w:history="1">
              <w:r w:rsidR="00CF59AF" w:rsidRPr="00732EED">
                <w:rPr>
                  <w:color w:val="467886"/>
                  <w:sz w:val="18"/>
                  <w:szCs w:val="18"/>
                </w:rPr>
                <w:t>Dupré J (2017) The metaphysics of evolution. Interface Focus 7:20160148. https://doi.org/10.1098/rsfs.2016.0148</w:t>
              </w:r>
            </w:hyperlink>
          </w:p>
        </w:tc>
        <w:tc>
          <w:tcPr>
            <w:tcW w:w="893" w:type="pct"/>
          </w:tcPr>
          <w:p w14:paraId="4E77BB3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follows a rigorous philosophical method, identifying and exposing implicit metaphysical assumptions in science. It provides a consistent logical framework by contrasting “thing” vs. “process” ontologies using clear paradigms like the mountain and the storm.</w:t>
            </w:r>
          </w:p>
        </w:tc>
        <w:tc>
          <w:tcPr>
            <w:tcW w:w="957" w:type="pct"/>
          </w:tcPr>
          <w:p w14:paraId="6257002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highly coherent; the author successfully links process metaphysics across different biological scales, from the thermodynamic instability of organisms to the causal integration of sexual species.</w:t>
            </w:r>
          </w:p>
          <w:p w14:paraId="3EAEC99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41" w:type="pct"/>
          </w:tcPr>
          <w:p w14:paraId="527785E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While the paper cites a wide breadth of established biological phenomena (niche construction, epigenetics, lateral gene transfer) to support its claims, the “data” is qualitative and interpretive. It relies on the validity of the scientific studies it </w:t>
            </w:r>
            <w:proofErr w:type="gramStart"/>
            <w:r w:rsidRPr="00732EED">
              <w:rPr>
                <w:color w:val="000000"/>
                <w:sz w:val="18"/>
                <w:szCs w:val="18"/>
              </w:rPr>
              <w:t>synthesize</w:t>
            </w:r>
            <w:proofErr w:type="gramEnd"/>
            <w:r w:rsidRPr="00732EED">
              <w:rPr>
                <w:color w:val="000000"/>
                <w:sz w:val="18"/>
                <w:szCs w:val="18"/>
              </w:rPr>
              <w:t>.</w:t>
            </w:r>
          </w:p>
        </w:tc>
        <w:tc>
          <w:tcPr>
            <w:tcW w:w="840" w:type="pct"/>
          </w:tcPr>
          <w:p w14:paraId="4E58108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is directly relevant to the theme of “New trends in evolutionary biology”. It addresses fundamental questions about what evolves and the limitations of the Modern Synthesis in light of contemporary biological findings.</w:t>
            </w:r>
          </w:p>
        </w:tc>
      </w:tr>
      <w:tr w:rsidR="00EB4ED6" w:rsidRPr="00732EED" w14:paraId="1A3C765F"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A24460E" w14:textId="77777777" w:rsidR="00CF59AF" w:rsidRPr="00732EED" w:rsidRDefault="00CF59AF" w:rsidP="008E2192">
            <w:pPr>
              <w:jc w:val="right"/>
              <w:rPr>
                <w:color w:val="000000"/>
                <w:sz w:val="18"/>
                <w:szCs w:val="18"/>
              </w:rPr>
            </w:pPr>
            <w:r w:rsidRPr="00732EED">
              <w:rPr>
                <w:color w:val="000000"/>
                <w:sz w:val="18"/>
                <w:szCs w:val="18"/>
              </w:rPr>
              <w:t>9</w:t>
            </w:r>
          </w:p>
        </w:tc>
        <w:tc>
          <w:tcPr>
            <w:tcW w:w="1323" w:type="pct"/>
            <w:hideMark/>
          </w:tcPr>
          <w:p w14:paraId="1CA054CA"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76" w:tgtFrame="_new" w:history="1">
              <w:r w:rsidR="00CF59AF" w:rsidRPr="00732EED">
                <w:rPr>
                  <w:color w:val="467886"/>
                  <w:sz w:val="18"/>
                  <w:szCs w:val="18"/>
                </w:rPr>
                <w:t>Dupuis S, McAiney C, Loiselle L et al (2021) Use of participatory action research approach to develop a self-management resource for persons living with dementia. Dementia 20:2393–2411. https://doi.org/10.1177/1471301221997281</w:t>
              </w:r>
            </w:hyperlink>
          </w:p>
        </w:tc>
        <w:tc>
          <w:tcPr>
            <w:tcW w:w="893" w:type="pct"/>
          </w:tcPr>
          <w:p w14:paraId="4DE18AB8" w14:textId="77777777" w:rsidR="00CF59AF" w:rsidRPr="00732EED" w:rsidRDefault="00CF59AF" w:rsidP="008E2192">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The study employs a rigorous Participatory Action Research (PAR) design. It utilizes multiple data collection methods, including focus groups, interviews, and questionnaires with a large and diverse sample (e.g., 115 persons with dementia and care partners for the second questionnaire). The inclusion of "process consent" procedures specifically tailored for persons with dementia further strengthens the ethical and methodological conduct.</w:t>
            </w:r>
          </w:p>
        </w:tc>
        <w:tc>
          <w:tcPr>
            <w:tcW w:w="957" w:type="pct"/>
          </w:tcPr>
          <w:p w14:paraId="60939DA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well-supported by the underlying data and show strong consistency with existing literature on the information needs of persons with chronic illnesses. The themes identified, health care, care and support, living well, and planning ahead, emerged consistently across various data sources (interviews, focus groups, and questionnaires).</w:t>
            </w:r>
          </w:p>
        </w:tc>
        <w:tc>
          <w:tcPr>
            <w:tcW w:w="841" w:type="pct"/>
          </w:tcPr>
          <w:p w14:paraId="1A148762"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w:t>
            </w:r>
            <w:r w:rsidRPr="00732EED">
              <w:rPr>
                <w:sz w:val="18"/>
                <w:szCs w:val="18"/>
              </w:rPr>
              <w:t xml:space="preserve">The data is exceptionally rich and voluminous for a qualitative/participatory study. </w:t>
            </w:r>
            <w:r w:rsidRPr="00732EED">
              <w:rPr>
                <w:rStyle w:val="citation-371"/>
                <w:rFonts w:eastAsia="SimSun"/>
                <w:sz w:val="18"/>
                <w:szCs w:val="18"/>
              </w:rPr>
              <w:t xml:space="preserve">The researchers conducted an environmental scan of over 500 existing resources </w:t>
            </w:r>
            <w:r w:rsidRPr="00732EED">
              <w:rPr>
                <w:rStyle w:val="citation-370"/>
                <w:rFonts w:eastAsia="SimSun"/>
                <w:sz w:val="18"/>
                <w:szCs w:val="18"/>
              </w:rPr>
              <w:t>and gathered direct input from 115 stakeholders</w:t>
            </w:r>
            <w:r w:rsidRPr="00732EED">
              <w:rPr>
                <w:sz w:val="18"/>
                <w:szCs w:val="18"/>
              </w:rPr>
              <w:t xml:space="preserve">. </w:t>
            </w:r>
            <w:r w:rsidRPr="00732EED">
              <w:rPr>
                <w:rStyle w:val="citation-369"/>
                <w:rFonts w:eastAsia="SimSun"/>
                <w:sz w:val="18"/>
                <w:szCs w:val="18"/>
              </w:rPr>
              <w:t>The depth of the “storyboarding” process and the iterative assessment of content ensure the data provided a comprehensive foundation for the resulting resource</w:t>
            </w:r>
            <w:r w:rsidRPr="00732EED">
              <w:rPr>
                <w:sz w:val="18"/>
                <w:szCs w:val="18"/>
              </w:rPr>
              <w:t>.</w:t>
            </w:r>
          </w:p>
        </w:tc>
        <w:tc>
          <w:tcPr>
            <w:tcW w:w="840" w:type="pct"/>
          </w:tcPr>
          <w:p w14:paraId="209A8169" w14:textId="77777777" w:rsidR="00CF59AF" w:rsidRPr="00732EED" w:rsidRDefault="00CF59AF" w:rsidP="008E2192">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The study is directly applicable to the context of dementia self-management. It specifically addresses the “knowledge translation gap” for persons newly diagnosed with dementia. By including persons living with dementia as co-researchers throughout the entire process, the study ensures that the outcomes are highly relevant to the actual lived experience of the target population.</w:t>
            </w:r>
          </w:p>
          <w:p w14:paraId="62636592"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EB4ED6" w:rsidRPr="00732EED" w14:paraId="2C47C6D7"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C95D64F" w14:textId="77777777" w:rsidR="00CF59AF" w:rsidRPr="00732EED" w:rsidRDefault="00CF59AF" w:rsidP="008E2192">
            <w:pPr>
              <w:jc w:val="right"/>
              <w:rPr>
                <w:color w:val="000000"/>
                <w:sz w:val="18"/>
                <w:szCs w:val="18"/>
              </w:rPr>
            </w:pPr>
            <w:r w:rsidRPr="00732EED">
              <w:rPr>
                <w:color w:val="000000"/>
                <w:sz w:val="18"/>
                <w:szCs w:val="18"/>
              </w:rPr>
              <w:t>10</w:t>
            </w:r>
          </w:p>
        </w:tc>
        <w:tc>
          <w:tcPr>
            <w:tcW w:w="1323" w:type="pct"/>
            <w:hideMark/>
          </w:tcPr>
          <w:p w14:paraId="3B4B463A"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77" w:tgtFrame="_new" w:history="1">
              <w:r w:rsidR="00CF59AF" w:rsidRPr="00732EED">
                <w:rPr>
                  <w:color w:val="467886"/>
                  <w:sz w:val="18"/>
                  <w:szCs w:val="18"/>
                </w:rPr>
                <w:t>Dwarswaard J, Bakker EJM, van Staa A et al (2016) Self-management support from the perspective of patients with a chronic condition: a thematic synthesis of qualitative studies. Health Expect 21:194–208. https://doi.org/10.1111/hex.12346</w:t>
              </w:r>
            </w:hyperlink>
          </w:p>
        </w:tc>
        <w:tc>
          <w:tcPr>
            <w:tcW w:w="893" w:type="pct"/>
          </w:tcPr>
          <w:p w14:paraId="51D1FB62" w14:textId="77777777" w:rsidR="00CF59AF" w:rsidRPr="00732EED" w:rsidRDefault="00CF59AF" w:rsidP="008E2192">
            <w:pPr>
              <w:pStyle w:val="NormalWeb"/>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00000"/>
                <w:sz w:val="18"/>
                <w:szCs w:val="18"/>
              </w:rPr>
              <w:t xml:space="preserve">Moderate: </w:t>
            </w:r>
            <w:r w:rsidRPr="00732EED">
              <w:rPr>
                <w:sz w:val="18"/>
                <w:szCs w:val="18"/>
              </w:rPr>
              <w:t>The review used a rigorous thematic synthesis method and a comprehensive search across multiple databases. However, no studies were excluded based on quality flaws during the appraisal process, and the authors noted that original studies often lacked detailed participant characteristics, such as educational level.</w:t>
            </w:r>
          </w:p>
        </w:tc>
        <w:tc>
          <w:tcPr>
            <w:tcW w:w="957" w:type="pct"/>
          </w:tcPr>
          <w:p w14:paraId="7FA5B00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w:t>
            </w:r>
            <w:r w:rsidRPr="00732EED">
              <w:rPr>
                <w:rStyle w:val="citation-421"/>
                <w:rFonts w:eastAsia="SimSun"/>
                <w:sz w:val="18"/>
                <w:szCs w:val="18"/>
              </w:rPr>
              <w:t>The findings are well-supported by data from 37 included studies</w:t>
            </w:r>
            <w:r w:rsidRPr="00732EED">
              <w:rPr>
                <w:sz w:val="18"/>
                <w:szCs w:val="18"/>
              </w:rPr>
              <w:t xml:space="preserve">. </w:t>
            </w:r>
            <w:r w:rsidRPr="00732EED">
              <w:rPr>
                <w:rStyle w:val="citation-420"/>
                <w:rFonts w:eastAsia="SimSun"/>
                <w:sz w:val="18"/>
                <w:szCs w:val="18"/>
              </w:rPr>
              <w:t>The paper demonstrates strong consistency across these studies, identifying universal themes of instrumental, psychosocial, and relational support that were not dependent on the specific nature of the chronic condition</w:t>
            </w:r>
            <w:r w:rsidRPr="00732EED">
              <w:rPr>
                <w:sz w:val="18"/>
                <w:szCs w:val="18"/>
              </w:rPr>
              <w:t>.</w:t>
            </w:r>
          </w:p>
        </w:tc>
        <w:tc>
          <w:tcPr>
            <w:tcW w:w="841" w:type="pct"/>
          </w:tcPr>
          <w:p w14:paraId="125FA736" w14:textId="77777777" w:rsidR="00CF59AF" w:rsidRPr="00732EED" w:rsidRDefault="00CF59AF" w:rsidP="008E2192">
            <w:pPr>
              <w:pStyle w:val="NormalWeb"/>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The synthesis is based on a large sample size for qualitative research, including 992 patients across 37 studies. The data provides a rich, multi-dimensional view of support needs from various sources, including professionals, family, and fellow patients.</w:t>
            </w:r>
          </w:p>
        </w:tc>
        <w:tc>
          <w:tcPr>
            <w:tcW w:w="840" w:type="pct"/>
          </w:tcPr>
          <w:p w14:paraId="7A9E76F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w:t>
            </w:r>
            <w:r w:rsidRPr="00732EED">
              <w:rPr>
                <w:rStyle w:val="citation-417"/>
                <w:rFonts w:eastAsia="SimSun"/>
                <w:sz w:val="18"/>
                <w:szCs w:val="18"/>
              </w:rPr>
              <w:t>The studies are highly relevant to the question of patient-centered self-management support in Western contexts</w:t>
            </w:r>
            <w:r w:rsidRPr="00732EED">
              <w:rPr>
                <w:sz w:val="18"/>
                <w:szCs w:val="18"/>
              </w:rPr>
              <w:t xml:space="preserve">. </w:t>
            </w:r>
            <w:r w:rsidRPr="00732EED">
              <w:rPr>
                <w:rStyle w:val="citation-416"/>
                <w:rFonts w:eastAsia="SimSun"/>
                <w:sz w:val="18"/>
                <w:szCs w:val="18"/>
              </w:rPr>
              <w:t>However, the exclusion of non-English publications and the focus on only three specific chronic conditions (rheumatic diseases, cancer, and kidney disease) may limit direct applicability to other conditions or non-Western cultures</w:t>
            </w:r>
            <w:r w:rsidRPr="00732EED">
              <w:rPr>
                <w:sz w:val="18"/>
                <w:szCs w:val="18"/>
              </w:rPr>
              <w:t>.</w:t>
            </w:r>
          </w:p>
        </w:tc>
      </w:tr>
      <w:tr w:rsidR="00EB4ED6" w:rsidRPr="00732EED" w14:paraId="5F1C7A59"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8A3F48E" w14:textId="77777777" w:rsidR="00CF59AF" w:rsidRPr="00732EED" w:rsidRDefault="00CF59AF" w:rsidP="008E2192">
            <w:pPr>
              <w:jc w:val="right"/>
              <w:rPr>
                <w:color w:val="000000"/>
                <w:sz w:val="18"/>
                <w:szCs w:val="18"/>
              </w:rPr>
            </w:pPr>
            <w:r w:rsidRPr="00732EED">
              <w:rPr>
                <w:color w:val="000000"/>
                <w:sz w:val="18"/>
                <w:szCs w:val="18"/>
              </w:rPr>
              <w:t>11</w:t>
            </w:r>
          </w:p>
        </w:tc>
        <w:tc>
          <w:tcPr>
            <w:tcW w:w="1323" w:type="pct"/>
            <w:hideMark/>
          </w:tcPr>
          <w:p w14:paraId="24E9CC3F"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78" w:tgtFrame="_new" w:history="1">
              <w:r w:rsidR="00CF59AF" w:rsidRPr="00732EED">
                <w:rPr>
                  <w:color w:val="467886"/>
                  <w:sz w:val="18"/>
                  <w:szCs w:val="18"/>
                </w:rPr>
                <w:t xml:space="preserve">Fontana L, Fasano A, Chong YS et al (2021) Transdisciplinary research and clinical priorities for better health. PLoS Med </w:t>
              </w:r>
              <w:r w:rsidR="00CF59AF" w:rsidRPr="00732EED">
                <w:rPr>
                  <w:color w:val="467886"/>
                  <w:sz w:val="18"/>
                  <w:szCs w:val="18"/>
                </w:rPr>
                <w:lastRenderedPageBreak/>
                <w:t>18:e1003699. https://doi.org/10.1371/journal.pmed.1003699</w:t>
              </w:r>
            </w:hyperlink>
          </w:p>
        </w:tc>
        <w:tc>
          <w:tcPr>
            <w:tcW w:w="893" w:type="pct"/>
          </w:tcPr>
          <w:p w14:paraId="384D4C8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Moderate: As a Perspective article, it synthesizes existing literature rather than conducting new experimental </w:t>
            </w:r>
            <w:r w:rsidRPr="00732EED">
              <w:rPr>
                <w:color w:val="000000"/>
                <w:sz w:val="18"/>
                <w:szCs w:val="18"/>
              </w:rPr>
              <w:lastRenderedPageBreak/>
              <w:t>trials. While it relies on high-quality external references (like WHO reports and longitudinal studies), it lacks a formal “Methods” section to describe how these specific sources were selected or filtered for bias.</w:t>
            </w:r>
          </w:p>
        </w:tc>
        <w:tc>
          <w:tcPr>
            <w:tcW w:w="957" w:type="pct"/>
          </w:tcPr>
          <w:p w14:paraId="087CAC8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highly consistent across multiple scales of data. The paper successfully links metabolic substrates (like </w:t>
            </w:r>
            <w:r w:rsidRPr="00732EED">
              <w:rPr>
                <w:color w:val="000000"/>
                <w:sz w:val="18"/>
                <w:szCs w:val="18"/>
              </w:rPr>
              <w:lastRenderedPageBreak/>
              <w:t>abdominal obesity) to a variety of chronic diseases, a concept supported by both animal models and human epidemiological data cited within the text.</w:t>
            </w:r>
          </w:p>
        </w:tc>
        <w:tc>
          <w:tcPr>
            <w:tcW w:w="841" w:type="pct"/>
          </w:tcPr>
          <w:p w14:paraId="31F2C12F"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authors provide a rich dataset spanning multiple disciplines, including public health </w:t>
            </w:r>
            <w:r w:rsidRPr="00732EED">
              <w:rPr>
                <w:color w:val="000000"/>
                <w:sz w:val="18"/>
                <w:szCs w:val="18"/>
              </w:rPr>
              <w:lastRenderedPageBreak/>
              <w:t>statistics (WHO), clinical trial data on dietary restriction, environmental impact data (CO</w:t>
            </w:r>
            <w:r w:rsidRPr="00732EED">
              <w:rPr>
                <w:color w:val="000000"/>
                <w:sz w:val="18"/>
                <w:szCs w:val="18"/>
                <w:vertAlign w:val="subscript"/>
              </w:rPr>
              <w:t>2</w:t>
            </w:r>
            <w:r w:rsidRPr="00732EED">
              <w:rPr>
                <w:color w:val="000000"/>
                <w:sz w:val="18"/>
                <w:szCs w:val="18"/>
              </w:rPr>
              <w:t xml:space="preserve"> emissions and pharmaceutical residues), and epigenetic theories.</w:t>
            </w:r>
          </w:p>
        </w:tc>
        <w:tc>
          <w:tcPr>
            <w:tcW w:w="840" w:type="pct"/>
          </w:tcPr>
          <w:p w14:paraId="48E9E64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w:t>
            </w:r>
          </w:p>
          <w:p w14:paraId="65112DF2" w14:textId="273008AB" w:rsidR="00CF59AF" w:rsidRPr="00EB4ED6" w:rsidRDefault="00CF59AF" w:rsidP="00EB4ED6">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rStyle w:val="citation-461"/>
                <w:rFonts w:eastAsia="SimSun"/>
                <w:sz w:val="18"/>
                <w:szCs w:val="18"/>
              </w:rPr>
              <w:t xml:space="preserve">The data is directly applicable to the modern </w:t>
            </w:r>
            <w:r w:rsidRPr="00732EED">
              <w:rPr>
                <w:rStyle w:val="citation-461"/>
                <w:rFonts w:eastAsia="SimSun"/>
                <w:sz w:val="18"/>
                <w:szCs w:val="18"/>
              </w:rPr>
              <w:lastRenderedPageBreak/>
              <w:t>global context, addressing urgent current issues such as the rising cost of “sick-care,” planetary health, the COVID-19 pandemic, and the specific healthcare challenges of both high-income and low-income countries</w:t>
            </w:r>
            <w:r w:rsidRPr="00732EED">
              <w:rPr>
                <w:sz w:val="18"/>
                <w:szCs w:val="18"/>
              </w:rPr>
              <w:t>.</w:t>
            </w:r>
          </w:p>
        </w:tc>
      </w:tr>
      <w:tr w:rsidR="00EB4ED6" w:rsidRPr="00732EED" w14:paraId="3AA25070"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28E9593" w14:textId="77777777" w:rsidR="00CF59AF" w:rsidRPr="00732EED" w:rsidRDefault="00CF59AF" w:rsidP="008E2192">
            <w:pPr>
              <w:jc w:val="right"/>
              <w:rPr>
                <w:color w:val="000000"/>
                <w:sz w:val="18"/>
                <w:szCs w:val="18"/>
              </w:rPr>
            </w:pPr>
            <w:r w:rsidRPr="00732EED">
              <w:rPr>
                <w:color w:val="000000"/>
                <w:sz w:val="18"/>
                <w:szCs w:val="18"/>
              </w:rPr>
              <w:lastRenderedPageBreak/>
              <w:t>12</w:t>
            </w:r>
          </w:p>
        </w:tc>
        <w:tc>
          <w:tcPr>
            <w:tcW w:w="1323" w:type="pct"/>
            <w:hideMark/>
          </w:tcPr>
          <w:p w14:paraId="130D222A"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79" w:tgtFrame="_new" w:history="1">
              <w:r w:rsidR="00CF59AF" w:rsidRPr="00732EED">
                <w:rPr>
                  <w:color w:val="467886"/>
                  <w:sz w:val="18"/>
                  <w:szCs w:val="18"/>
                </w:rPr>
                <w:t>Guttinger S (2018) A process ontology for macromolecular biology. In: Nicholson DJ, Dupré J (eds) Everything flows: towards a processual philosophy of biology. Oxford University Press. https://doi.org/10.1093/oso/9780198779636.003.0015</w:t>
              </w:r>
            </w:hyperlink>
          </w:p>
        </w:tc>
        <w:tc>
          <w:tcPr>
            <w:tcW w:w="893" w:type="pct"/>
          </w:tcPr>
          <w:p w14:paraId="79E45F1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review follows a structured scoping review methodology (Arksey &amp; O’Malley) with dual-reviewer screening and thematic analysis. However, the search was limited to English-language articles from only three databases, and the final sample size is relatively small (n=16 studies). These limitations are appropriate for an emerging field but prevent a higher grade.</w:t>
            </w:r>
          </w:p>
        </w:tc>
        <w:tc>
          <w:tcPr>
            <w:tcW w:w="957" w:type="pct"/>
          </w:tcPr>
          <w:p w14:paraId="49214AF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well-supported by the underlying data. The authors successfully synthesize disparate definitions of Transdisciplinary (TD) and One Health (OH) across the 16 included studies to identify a core conceptual convergence, with nine themes emerging consistently from the literature.</w:t>
            </w:r>
          </w:p>
        </w:tc>
        <w:tc>
          <w:tcPr>
            <w:tcW w:w="841" w:type="pct"/>
          </w:tcPr>
          <w:p w14:paraId="1D462D44"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data (16 peer-reviewed articles) provide a rich thematic map and are adequate for a scoping review in an emerging field. However, the authors explicitly note a "paucity of peer-reviewed OH articles" that specifically evaluate implementation and added value. The quantity of data is sufficient for scoping but not for definitive conclusions.</w:t>
            </w:r>
          </w:p>
        </w:tc>
        <w:tc>
          <w:tcPr>
            <w:tcW w:w="840" w:type="pct"/>
          </w:tcPr>
          <w:p w14:paraId="2843586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studies are directly applicable to the review question: focusing on TD approaches to complex health issues at the human-animal-ecosystem interface. The review directly addresses the challenges and successes of applying these frameworks in practice, which is the specific context of the overall review question about academic institutions and One Health.</w:t>
            </w:r>
          </w:p>
        </w:tc>
      </w:tr>
      <w:tr w:rsidR="00EB4ED6" w:rsidRPr="00732EED" w14:paraId="41DB71FD"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7FF4B24C" w14:textId="77777777" w:rsidR="00CF59AF" w:rsidRPr="00732EED" w:rsidRDefault="00CF59AF" w:rsidP="008E2192">
            <w:pPr>
              <w:jc w:val="right"/>
              <w:rPr>
                <w:color w:val="000000"/>
                <w:sz w:val="18"/>
                <w:szCs w:val="18"/>
              </w:rPr>
            </w:pPr>
            <w:r w:rsidRPr="00732EED">
              <w:rPr>
                <w:color w:val="000000"/>
                <w:sz w:val="18"/>
                <w:szCs w:val="18"/>
              </w:rPr>
              <w:t>13</w:t>
            </w:r>
          </w:p>
        </w:tc>
        <w:tc>
          <w:tcPr>
            <w:tcW w:w="1323" w:type="pct"/>
            <w:hideMark/>
          </w:tcPr>
          <w:p w14:paraId="6969171A"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80" w:tgtFrame="_new" w:history="1">
              <w:r w:rsidR="00CF59AF" w:rsidRPr="00732EED">
                <w:rPr>
                  <w:color w:val="467886"/>
                  <w:sz w:val="18"/>
                  <w:szCs w:val="18"/>
                </w:rPr>
                <w:t>Harkin D, Coates V, Brown D (2022) Exploring ways to enhance pain management for older people with dementia in acute care settings using a participatory action research approach. Int J Older People Nurs 17:e12487. https://doi.org/10.1111/opn.12487</w:t>
              </w:r>
            </w:hyperlink>
          </w:p>
        </w:tc>
        <w:tc>
          <w:tcPr>
            <w:tcW w:w="893" w:type="pct"/>
          </w:tcPr>
          <w:p w14:paraId="7FA82645" w14:textId="77777777" w:rsidR="00CF59AF" w:rsidRPr="00732EED" w:rsidRDefault="00CF59AF" w:rsidP="008E2192">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Moderate: </w:t>
            </w:r>
            <w:r w:rsidRPr="00732EED">
              <w:rPr>
                <w:sz w:val="18"/>
                <w:szCs w:val="18"/>
              </w:rPr>
              <w:t>The study used a rigorous Participatory Action Research (PAR) approach with three distinct action cycles. However, the use of only two case studies as a primary data source is a limitation, potentially offering a narrow view of practice issues. The reliance on a convenience sample for case studies also introduces potential bias.</w:t>
            </w:r>
          </w:p>
        </w:tc>
        <w:tc>
          <w:tcPr>
            <w:tcW w:w="957" w:type="pct"/>
          </w:tcPr>
          <w:p w14:paraId="70D11F7F"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 xml:space="preserve">The findings are strongly supported by a variety of data sources, including an exploratory audit of 2,532 patients, non-participant observations, semi-structured interviews, and focus groups with 14 multidisciplinary staff members. The themes identified, such as “not knowing the patient” and “balancing competing priorities”, consistently emerge across different care settings (ED, AMU, SW). </w:t>
            </w:r>
          </w:p>
        </w:tc>
        <w:tc>
          <w:tcPr>
            <w:tcW w:w="841" w:type="pct"/>
          </w:tcPr>
          <w:p w14:paraId="21B243D9" w14:textId="77777777" w:rsidR="00CF59AF" w:rsidRPr="00732EED" w:rsidRDefault="00CF59AF" w:rsidP="008E2192">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 xml:space="preserve">The data is rich and multi-faceted, combining retrospective audit data, 20 hours of clinical observation per case study, and qualitative insights from staff and families. This variety of evidence provided an in-depth picture of the complexities involved in pain management for patients with dementia. </w:t>
            </w:r>
          </w:p>
        </w:tc>
        <w:tc>
          <w:tcPr>
            <w:tcW w:w="840" w:type="pct"/>
          </w:tcPr>
          <w:p w14:paraId="4EE1A749" w14:textId="77777777" w:rsidR="00CF59AF" w:rsidRPr="00732EED" w:rsidRDefault="00CF59AF" w:rsidP="008E2192">
            <w:pPr>
              <w:pStyle w:val="NormalWeb"/>
              <w:cnfStyle w:val="000000100000" w:firstRow="0" w:lastRow="0" w:firstColumn="0" w:lastColumn="0" w:oddVBand="0" w:evenVBand="0" w:oddHBand="1"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The study is highly applicable to its specific context: the acute care setting. It directly addresses the known gap in research regarding how patients with dementia transition from the emergency department to inpatient wards. The practical focus on helping staff improve real-world practice makes it very relevant to clinical nursing.</w:t>
            </w:r>
          </w:p>
        </w:tc>
      </w:tr>
      <w:tr w:rsidR="00EB4ED6" w:rsidRPr="00732EED" w14:paraId="1B033846"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AB0C1EA" w14:textId="77777777" w:rsidR="00CF59AF" w:rsidRPr="00732EED" w:rsidRDefault="00CF59AF" w:rsidP="008E2192">
            <w:pPr>
              <w:jc w:val="right"/>
              <w:rPr>
                <w:color w:val="000000"/>
                <w:sz w:val="18"/>
                <w:szCs w:val="18"/>
              </w:rPr>
            </w:pPr>
            <w:r w:rsidRPr="00732EED">
              <w:rPr>
                <w:color w:val="000000"/>
                <w:sz w:val="18"/>
                <w:szCs w:val="18"/>
              </w:rPr>
              <w:t>14</w:t>
            </w:r>
          </w:p>
        </w:tc>
        <w:tc>
          <w:tcPr>
            <w:tcW w:w="1323" w:type="pct"/>
            <w:hideMark/>
          </w:tcPr>
          <w:p w14:paraId="0A0C0108"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81" w:tgtFrame="_new" w:history="1">
              <w:r w:rsidR="00CF59AF" w:rsidRPr="00732EED">
                <w:rPr>
                  <w:color w:val="467886"/>
                  <w:sz w:val="18"/>
                  <w:szCs w:val="18"/>
                </w:rPr>
                <w:t>Hilton L, Hempel S, Ewing BA et al (2017) Mindfulness meditation for chronic pain: systematic review and meta-analysis. Ann Behav Med 51:199–213. https://doi.org/10.1007/s12160-016-9844-2</w:t>
              </w:r>
            </w:hyperlink>
          </w:p>
        </w:tc>
        <w:tc>
          <w:tcPr>
            <w:tcW w:w="893" w:type="pct"/>
          </w:tcPr>
          <w:p w14:paraId="09904D47"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Low: While the review included 38 RCTs, 13 were rated as </w:t>
            </w:r>
            <w:r w:rsidRPr="00732EED">
              <w:rPr>
                <w:bCs/>
                <w:color w:val="000000"/>
                <w:sz w:val="18"/>
                <w:szCs w:val="18"/>
              </w:rPr>
              <w:t>poor quality</w:t>
            </w:r>
            <w:r w:rsidRPr="00732EED">
              <w:rPr>
                <w:color w:val="000000"/>
                <w:sz w:val="18"/>
                <w:szCs w:val="18"/>
              </w:rPr>
              <w:t xml:space="preserve"> due to issues like missing intention-to-treat (ITT) analysis, less than 80% follow-up, or unclear methods. Only 11 studies were rated as “good”.</w:t>
            </w:r>
          </w:p>
          <w:p w14:paraId="7FF14733"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6645686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There was </w:t>
            </w:r>
            <w:r w:rsidRPr="00732EED">
              <w:rPr>
                <w:bCs/>
                <w:color w:val="000000"/>
                <w:sz w:val="18"/>
                <w:szCs w:val="18"/>
              </w:rPr>
              <w:t>substantial heterogeneity</w:t>
            </w:r>
            <w:r w:rsidRPr="00732EED">
              <w:rPr>
                <w:color w:val="000000"/>
                <w:sz w:val="18"/>
                <w:szCs w:val="18"/>
              </w:rPr>
              <w:t xml:space="preserve"> (I</w:t>
            </w:r>
            <w:r w:rsidRPr="00732EED">
              <w:rPr>
                <w:color w:val="000000"/>
                <w:sz w:val="18"/>
                <w:szCs w:val="18"/>
                <w:vertAlign w:val="superscript"/>
              </w:rPr>
              <w:t>2</w:t>
            </w:r>
            <w:r w:rsidRPr="00732EED">
              <w:rPr>
                <w:color w:val="000000"/>
                <w:sz w:val="18"/>
                <w:szCs w:val="18"/>
              </w:rPr>
              <w:t xml:space="preserve"> = 77.6%) in the pooled analysis of 30 RCTs. However, sensitivity analysis excluding poor-quality studies reduced heterogeneity (I</w:t>
            </w:r>
            <w:r w:rsidRPr="00732EED">
              <w:rPr>
                <w:color w:val="000000"/>
                <w:sz w:val="18"/>
                <w:szCs w:val="18"/>
                <w:vertAlign w:val="superscript"/>
              </w:rPr>
              <w:t xml:space="preserve">2 </w:t>
            </w:r>
            <w:r w:rsidRPr="00732EED">
              <w:rPr>
                <w:color w:val="000000"/>
                <w:sz w:val="18"/>
                <w:szCs w:val="18"/>
              </w:rPr>
              <w:t xml:space="preserve">= 50.5%) and the positive effect remained significant, suggesting </w:t>
            </w:r>
            <w:r w:rsidRPr="00732EED">
              <w:rPr>
                <w:color w:val="000000"/>
                <w:sz w:val="18"/>
                <w:szCs w:val="18"/>
              </w:rPr>
              <w:lastRenderedPageBreak/>
              <w:t>the core finding is relatively stable across higher-quality data.</w:t>
            </w:r>
          </w:p>
        </w:tc>
        <w:tc>
          <w:tcPr>
            <w:tcW w:w="841" w:type="pct"/>
          </w:tcPr>
          <w:p w14:paraId="0FC2775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review synthesized data from </w:t>
            </w:r>
            <w:r w:rsidRPr="00732EED">
              <w:rPr>
                <w:bCs/>
                <w:color w:val="000000"/>
                <w:sz w:val="18"/>
                <w:szCs w:val="18"/>
              </w:rPr>
              <w:t>3,536 participants</w:t>
            </w:r>
            <w:r w:rsidRPr="00732EED">
              <w:rPr>
                <w:color w:val="000000"/>
                <w:sz w:val="18"/>
                <w:szCs w:val="18"/>
              </w:rPr>
              <w:t xml:space="preserve"> across 38 RCTs, which is a relatively large volume of data. However, many individual studies had small sample sizes (as low as 19), and 10 </w:t>
            </w:r>
            <w:r w:rsidRPr="00732EED">
              <w:rPr>
                <w:color w:val="000000"/>
                <w:sz w:val="18"/>
                <w:szCs w:val="18"/>
              </w:rPr>
              <w:lastRenderedPageBreak/>
              <w:t>studies were considered “pilot” studies due to being underpowered.</w:t>
            </w:r>
          </w:p>
        </w:tc>
        <w:tc>
          <w:tcPr>
            <w:tcW w:w="840" w:type="pct"/>
          </w:tcPr>
          <w:p w14:paraId="3269AC4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studies directly addressed the review question by focusing on </w:t>
            </w:r>
            <w:r w:rsidRPr="00732EED">
              <w:rPr>
                <w:bCs/>
                <w:color w:val="000000"/>
                <w:sz w:val="18"/>
                <w:szCs w:val="18"/>
              </w:rPr>
              <w:t>adults with various chronic pain conditions</w:t>
            </w:r>
            <w:r w:rsidRPr="00732EED">
              <w:rPr>
                <w:color w:val="000000"/>
                <w:sz w:val="18"/>
                <w:szCs w:val="18"/>
              </w:rPr>
              <w:t xml:space="preserve"> (e.g., fibromyalgia, back pain, headaches) and standard mindfulness interventions </w:t>
            </w:r>
            <w:r w:rsidRPr="00732EED">
              <w:rPr>
                <w:color w:val="000000"/>
                <w:sz w:val="18"/>
                <w:szCs w:val="18"/>
              </w:rPr>
              <w:lastRenderedPageBreak/>
              <w:t>like MBSR and MBCT. The outcomes measured (pain, depression, QoL) are highly relevant to clinical practice.</w:t>
            </w:r>
          </w:p>
        </w:tc>
      </w:tr>
      <w:tr w:rsidR="00EB4ED6" w:rsidRPr="00732EED" w14:paraId="5E685968"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592A168" w14:textId="77777777" w:rsidR="00CF59AF" w:rsidRPr="00732EED" w:rsidRDefault="00CF59AF" w:rsidP="008E2192">
            <w:pPr>
              <w:jc w:val="right"/>
              <w:rPr>
                <w:color w:val="000000"/>
                <w:sz w:val="18"/>
                <w:szCs w:val="18"/>
              </w:rPr>
            </w:pPr>
            <w:r w:rsidRPr="00732EED">
              <w:rPr>
                <w:color w:val="000000"/>
                <w:sz w:val="18"/>
                <w:szCs w:val="18"/>
              </w:rPr>
              <w:lastRenderedPageBreak/>
              <w:t>15</w:t>
            </w:r>
          </w:p>
        </w:tc>
        <w:tc>
          <w:tcPr>
            <w:tcW w:w="1323" w:type="pct"/>
            <w:hideMark/>
          </w:tcPr>
          <w:p w14:paraId="4546F3AA"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82" w:tgtFrame="_new" w:history="1">
              <w:r w:rsidR="00CF59AF" w:rsidRPr="00732EED">
                <w:rPr>
                  <w:color w:val="467886"/>
                  <w:sz w:val="18"/>
                  <w:szCs w:val="18"/>
                </w:rPr>
                <w:t>Hoehndorf R, Schofield PN, Gkoutos GV (2015) The role of ontologies in biological and biomedical research: a functional perspective. Brief Bioinform 16:1069–1080. https://doi.org/10.1093/bib/bbv011</w:t>
              </w:r>
            </w:hyperlink>
          </w:p>
        </w:tc>
        <w:tc>
          <w:tcPr>
            <w:tcW w:w="893" w:type="pct"/>
          </w:tcPr>
          <w:p w14:paraId="4DFE9547"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Methodological Limitations: The extent to which studies supporting the finding have flaws in design or conduct. Coherence: How well the findings are supported by the underlying data and if the finding is consistent across studies. Adequacy of Data: The richness, quantity, and quality of data supporting the finding. Relevance: The extent to which the studies supporting the finding are applicable to the specific context of the review question. using the above domains evaluate the </w:t>
            </w:r>
            <w:proofErr w:type="spellStart"/>
            <w:r w:rsidRPr="00732EED">
              <w:rPr>
                <w:color w:val="000000"/>
                <w:sz w:val="18"/>
                <w:szCs w:val="18"/>
              </w:rPr>
              <w:t>confindence</w:t>
            </w:r>
            <w:proofErr w:type="spellEnd"/>
            <w:r w:rsidRPr="00732EED">
              <w:rPr>
                <w:color w:val="000000"/>
                <w:sz w:val="18"/>
                <w:szCs w:val="18"/>
              </w:rPr>
              <w:t xml:space="preserve"> of this paper by grading each domain as either the following high, moderate, low, or very low. include a brief justification or rationale. result should be in tabular form.</w:t>
            </w:r>
          </w:p>
        </w:tc>
        <w:tc>
          <w:tcPr>
            <w:tcW w:w="957" w:type="pct"/>
          </w:tcPr>
          <w:p w14:paraId="3AB19A7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strongly supported by the underlying data and consistent with established standards. It aligns with major coordinated efforts like the </w:t>
            </w:r>
            <w:r w:rsidRPr="00732EED">
              <w:rPr>
                <w:bCs/>
                <w:color w:val="000000"/>
                <w:sz w:val="18"/>
                <w:szCs w:val="18"/>
              </w:rPr>
              <w:t>OBO Foundry</w:t>
            </w:r>
            <w:r w:rsidRPr="00732EED">
              <w:rPr>
                <w:color w:val="000000"/>
                <w:sz w:val="18"/>
                <w:szCs w:val="18"/>
              </w:rPr>
              <w:t xml:space="preserve"> and the </w:t>
            </w:r>
            <w:r w:rsidRPr="00732EED">
              <w:rPr>
                <w:bCs/>
                <w:color w:val="000000"/>
                <w:sz w:val="18"/>
                <w:szCs w:val="18"/>
              </w:rPr>
              <w:t>Gene Ontology (GO)</w:t>
            </w:r>
            <w:r w:rsidRPr="00732EED">
              <w:rPr>
                <w:color w:val="000000"/>
                <w:sz w:val="18"/>
                <w:szCs w:val="18"/>
              </w:rPr>
              <w:t xml:space="preserve">, demonstrating a unified approach to biomedical data integration. </w:t>
            </w:r>
          </w:p>
        </w:tc>
        <w:tc>
          <w:tcPr>
            <w:tcW w:w="841" w:type="pct"/>
          </w:tcPr>
          <w:p w14:paraId="4A7E85C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paper draws from a rich and vast quantity of data, citing over </w:t>
            </w:r>
            <w:r w:rsidRPr="00732EED">
              <w:rPr>
                <w:bCs/>
                <w:color w:val="000000"/>
                <w:sz w:val="18"/>
                <w:szCs w:val="18"/>
              </w:rPr>
              <w:t>400 ontologies</w:t>
            </w:r>
            <w:r w:rsidRPr="00732EED">
              <w:rPr>
                <w:color w:val="000000"/>
                <w:sz w:val="18"/>
                <w:szCs w:val="18"/>
              </w:rPr>
              <w:t xml:space="preserve"> in repositories like </w:t>
            </w:r>
            <w:proofErr w:type="spellStart"/>
            <w:r w:rsidRPr="00732EED">
              <w:rPr>
                <w:color w:val="000000"/>
                <w:sz w:val="18"/>
                <w:szCs w:val="18"/>
              </w:rPr>
              <w:t>BioPortal</w:t>
            </w:r>
            <w:proofErr w:type="spellEnd"/>
            <w:r w:rsidRPr="00732EED">
              <w:rPr>
                <w:color w:val="000000"/>
                <w:sz w:val="18"/>
                <w:szCs w:val="18"/>
              </w:rPr>
              <w:t xml:space="preserve">, which contain 6 million classes. It uses comprehensive examples from well-established systems like the </w:t>
            </w:r>
            <w:r w:rsidRPr="00732EED">
              <w:rPr>
                <w:bCs/>
                <w:color w:val="000000"/>
                <w:sz w:val="18"/>
                <w:szCs w:val="18"/>
              </w:rPr>
              <w:t>Foundational Model of Anatomy</w:t>
            </w:r>
            <w:r w:rsidRPr="00732EED">
              <w:rPr>
                <w:color w:val="000000"/>
                <w:sz w:val="18"/>
                <w:szCs w:val="18"/>
              </w:rPr>
              <w:t>.</w:t>
            </w:r>
          </w:p>
        </w:tc>
        <w:tc>
          <w:tcPr>
            <w:tcW w:w="840" w:type="pct"/>
          </w:tcPr>
          <w:p w14:paraId="72DE8A3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directly applicable to the core challenge of modern bioinformatics: managing the </w:t>
            </w:r>
            <w:r w:rsidRPr="00732EED">
              <w:rPr>
                <w:bCs/>
                <w:color w:val="000000"/>
                <w:sz w:val="18"/>
                <w:szCs w:val="18"/>
              </w:rPr>
              <w:t>volume and complexity</w:t>
            </w:r>
            <w:r w:rsidRPr="00732EED">
              <w:rPr>
                <w:color w:val="000000"/>
                <w:sz w:val="18"/>
                <w:szCs w:val="18"/>
              </w:rPr>
              <w:t xml:space="preserve"> of life sciences data. It specifically addresses data integration, structured data mining, and machine learning. </w:t>
            </w:r>
          </w:p>
        </w:tc>
      </w:tr>
      <w:tr w:rsidR="00EB4ED6" w:rsidRPr="00732EED" w14:paraId="7405A8EF"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43AE24A" w14:textId="77777777" w:rsidR="00CF59AF" w:rsidRPr="00732EED" w:rsidRDefault="00CF59AF" w:rsidP="008E2192">
            <w:pPr>
              <w:jc w:val="right"/>
              <w:rPr>
                <w:color w:val="000000"/>
                <w:sz w:val="18"/>
                <w:szCs w:val="18"/>
              </w:rPr>
            </w:pPr>
            <w:r w:rsidRPr="00732EED">
              <w:rPr>
                <w:color w:val="000000"/>
                <w:sz w:val="18"/>
                <w:szCs w:val="18"/>
              </w:rPr>
              <w:t>16</w:t>
            </w:r>
          </w:p>
        </w:tc>
        <w:tc>
          <w:tcPr>
            <w:tcW w:w="1323" w:type="pct"/>
            <w:hideMark/>
          </w:tcPr>
          <w:p w14:paraId="42082639"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83" w:tgtFrame="_new" w:history="1">
              <w:r w:rsidR="00CF59AF" w:rsidRPr="00732EED">
                <w:rPr>
                  <w:color w:val="467886"/>
                  <w:sz w:val="18"/>
                  <w:szCs w:val="18"/>
                </w:rPr>
                <w:t>Holkup PA, Tripp-Reimer T, Salois EM (2004) Community-based participatory research: an approach to intervention research with a Native American community. ANS Adv Nurs Sci 27:162–175. https://doi.org/10.1097/00012272-200407000-00002</w:t>
              </w:r>
            </w:hyperlink>
          </w:p>
        </w:tc>
        <w:tc>
          <w:tcPr>
            <w:tcW w:w="893" w:type="pct"/>
          </w:tcPr>
          <w:p w14:paraId="4DAF1D6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study adheres to rigorous qualitative standards, including member checks, peer debriefing, and the use of software like N-Vivo to ensure a trackable analytic process. However, there were minor procedural deviations, such as obtaining verbal instead of written informed consent in one instance to maintain the natural flow of an elder group interview. Additionally, the intervention pilot was intentionally limited to a single, non-complex family to ensure a positive foundation, </w:t>
            </w:r>
            <w:r w:rsidRPr="00732EED">
              <w:rPr>
                <w:color w:val="000000"/>
                <w:sz w:val="18"/>
                <w:szCs w:val="18"/>
              </w:rPr>
              <w:lastRenderedPageBreak/>
              <w:t xml:space="preserve">which limits the initial breadth of the findings. </w:t>
            </w:r>
          </w:p>
        </w:tc>
        <w:tc>
          <w:tcPr>
            <w:tcW w:w="957" w:type="pct"/>
          </w:tcPr>
          <w:p w14:paraId="52085B00" w14:textId="77777777" w:rsidR="00CF59AF" w:rsidRPr="00732EED" w:rsidRDefault="00CF59AF" w:rsidP="008E2192">
            <w:pPr>
              <w:pStyle w:val="NormalWeb"/>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00000"/>
                <w:sz w:val="18"/>
                <w:szCs w:val="18"/>
              </w:rPr>
              <w:lastRenderedPageBreak/>
              <w:t xml:space="preserve">High: </w:t>
            </w:r>
            <w:r w:rsidRPr="00732EED">
              <w:rPr>
                <w:sz w:val="18"/>
                <w:szCs w:val="18"/>
              </w:rPr>
              <w:t xml:space="preserve">The findings are strongly supported by an underlying iterative and reflexive process known as the “action research spiral”. The authors demonstrate a high level of consistency by aligning their methodology with established social science theories (e.g., Lewin) and qualitative evaluative frameworks (e.g., Guba and Lincoln) to ensure the reconstruction of reality matches the participants' views. </w:t>
            </w:r>
          </w:p>
        </w:tc>
        <w:tc>
          <w:tcPr>
            <w:tcW w:w="841" w:type="pct"/>
          </w:tcPr>
          <w:p w14:paraId="2597F3A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project gathered data from 27 individual and focus group interviews, providing a solid foundation for understanding community perceptions of elder mistreatment. While this is a sufficient quantity for a qualitative pilot study, the intervention itself (the Family Care Conference) was only implemented and evaluated with one family during this phase, which limits the richness of the intervention-specific data. </w:t>
            </w:r>
          </w:p>
        </w:tc>
        <w:tc>
          <w:tcPr>
            <w:tcW w:w="840" w:type="pct"/>
          </w:tcPr>
          <w:p w14:paraId="516A3F27" w14:textId="77777777" w:rsidR="00CF59AF" w:rsidRPr="00732EED" w:rsidRDefault="00CF59AF" w:rsidP="008E2192">
            <w:pPr>
              <w:pStyle w:val="NormalWeb"/>
              <w:cnfStyle w:val="000000000000" w:firstRow="0" w:lastRow="0" w:firstColumn="0" w:lastColumn="0" w:oddVBand="0" w:evenVBand="0" w:oddHBand="0" w:evenHBand="0" w:firstRowFirstColumn="0" w:firstRowLastColumn="0" w:lastRowFirstColumn="0" w:lastRowLastColumn="0"/>
              <w:rPr>
                <w:sz w:val="18"/>
                <w:szCs w:val="18"/>
              </w:rPr>
            </w:pPr>
            <w:r w:rsidRPr="00732EED">
              <w:rPr>
                <w:color w:val="000000"/>
                <w:sz w:val="18"/>
                <w:szCs w:val="18"/>
              </w:rPr>
              <w:t xml:space="preserve">High: </w:t>
            </w:r>
            <w:r w:rsidRPr="00732EED">
              <w:rPr>
                <w:sz w:val="18"/>
                <w:szCs w:val="18"/>
              </w:rPr>
              <w:t>The paper is highly relevant to the context of health disparities and intervention research in minority populations. It provides a culturally specific and sensitive approach to a significant social issue (elder mistreatment) within a Native American community, making its findings directly applicable to researchers and practitioners working with similar vulnerable or marginalized groups.</w:t>
            </w:r>
          </w:p>
        </w:tc>
      </w:tr>
      <w:tr w:rsidR="00EB4ED6" w:rsidRPr="00732EED" w14:paraId="68AAB21D"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182EDD00" w14:textId="77777777" w:rsidR="00CF59AF" w:rsidRPr="00732EED" w:rsidRDefault="00CF59AF" w:rsidP="008E2192">
            <w:pPr>
              <w:jc w:val="right"/>
              <w:rPr>
                <w:color w:val="000000"/>
                <w:sz w:val="18"/>
                <w:szCs w:val="18"/>
              </w:rPr>
            </w:pPr>
            <w:r w:rsidRPr="00732EED">
              <w:rPr>
                <w:color w:val="000000"/>
                <w:sz w:val="18"/>
                <w:szCs w:val="18"/>
              </w:rPr>
              <w:lastRenderedPageBreak/>
              <w:t>17</w:t>
            </w:r>
          </w:p>
        </w:tc>
        <w:tc>
          <w:tcPr>
            <w:tcW w:w="1323" w:type="pct"/>
            <w:hideMark/>
          </w:tcPr>
          <w:p w14:paraId="58E10C5C"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84" w:tgtFrame="_new" w:history="1">
              <w:r w:rsidR="00CF59AF" w:rsidRPr="00732EED">
                <w:rPr>
                  <w:color w:val="467886"/>
                  <w:sz w:val="18"/>
                  <w:szCs w:val="18"/>
                </w:rPr>
                <w:t>Hudon C, Fortin M, Haggerty J (2012) Patient-centered care in chronic disease management: a thematic analysis of the literature in family medicine. Patient Educ Couns 88:170–176. https://doi.org/10.1016/j.pec.2012.01.009</w:t>
              </w:r>
            </w:hyperlink>
          </w:p>
        </w:tc>
        <w:tc>
          <w:tcPr>
            <w:tcW w:w="893" w:type="pct"/>
          </w:tcPr>
          <w:p w14:paraId="4CA40A9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authors used a rigorous, systematic approach including mixed codification and team triangulation to minimize bias. However, the review is limited to English and French articles and excludes unpublished material. Some new themes (e.g., “Offering realistic hope”) are supported only by non-empirical theory/opinion papers rather than original research.</w:t>
            </w:r>
          </w:p>
        </w:tc>
        <w:tc>
          <w:tcPr>
            <w:tcW w:w="957" w:type="pct"/>
          </w:tcPr>
          <w:p w14:paraId="4C368B7C"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Findings are strongly aligned with the established Stewart et al. model while logically extending it to fit chronic disease realities. The emergence of six major themes was consistent across various types of literature, and disagreements were resolved through a structured consensus process.</w:t>
            </w:r>
          </w:p>
        </w:tc>
        <w:tc>
          <w:tcPr>
            <w:tcW w:w="841" w:type="pct"/>
          </w:tcPr>
          <w:p w14:paraId="6391E4F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synthesis is based on a final sample of 32 articles retrieved from a large initial pool of 1,745 references. Major themes like “Starting from the patient's situation” (30 articles) and “Developing an ongoing partnership” (27 articles) are supported by a substantial quantity of data.</w:t>
            </w:r>
          </w:p>
        </w:tc>
        <w:tc>
          <w:tcPr>
            <w:tcW w:w="840" w:type="pct"/>
          </w:tcPr>
          <w:p w14:paraId="6F09DE86"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search strategy specifically targeted adult populations in family medicine and primary care settings. The findings directly address the review's objective of adapting PCC dimensions to the longitudinal, complex nature of chronic disease management.</w:t>
            </w:r>
          </w:p>
        </w:tc>
      </w:tr>
      <w:tr w:rsidR="00EB4ED6" w:rsidRPr="00732EED" w14:paraId="1EA6041F"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77FF10D" w14:textId="77777777" w:rsidR="00CF59AF" w:rsidRPr="00732EED" w:rsidRDefault="00CF59AF" w:rsidP="008E2192">
            <w:pPr>
              <w:jc w:val="right"/>
              <w:rPr>
                <w:color w:val="000000"/>
                <w:sz w:val="18"/>
                <w:szCs w:val="18"/>
              </w:rPr>
            </w:pPr>
            <w:r w:rsidRPr="00732EED">
              <w:rPr>
                <w:color w:val="000000"/>
                <w:sz w:val="18"/>
                <w:szCs w:val="18"/>
              </w:rPr>
              <w:t>18</w:t>
            </w:r>
          </w:p>
        </w:tc>
        <w:tc>
          <w:tcPr>
            <w:tcW w:w="1323" w:type="pct"/>
            <w:hideMark/>
          </w:tcPr>
          <w:p w14:paraId="024F7CDB"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85" w:tgtFrame="_new" w:history="1">
              <w:r w:rsidR="00CF59AF" w:rsidRPr="00732EED">
                <w:rPr>
                  <w:color w:val="467886"/>
                  <w:sz w:val="18"/>
                  <w:szCs w:val="18"/>
                </w:rPr>
                <w:t>Israel BA, Coombe CM, Cheezum RR et al (2010) Community-based participatory research: a capacity-building approach for policy advocacy aimed at eliminating health disparities. Am J Public Health 100:2094–2102. https://doi.org/10.2105/AJPH.2009.170506</w:t>
              </w:r>
            </w:hyperlink>
          </w:p>
        </w:tc>
        <w:tc>
          <w:tcPr>
            <w:tcW w:w="893" w:type="pct"/>
          </w:tcPr>
          <w:p w14:paraId="3E759E3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Low: The study highlights significant challenges in retention, with only </w:t>
            </w:r>
            <w:r w:rsidRPr="00732EED">
              <w:rPr>
                <w:bCs/>
                <w:color w:val="000000"/>
                <w:sz w:val="18"/>
                <w:szCs w:val="18"/>
              </w:rPr>
              <w:t>9.2%</w:t>
            </w:r>
            <w:r w:rsidRPr="00732EED">
              <w:rPr>
                <w:color w:val="000000"/>
                <w:sz w:val="18"/>
                <w:szCs w:val="18"/>
              </w:rPr>
              <w:t xml:space="preserve"> (21 of 228) of participants attending all four sessions. Additionally, there was a large gap between training attendance and completion of pre- and </w:t>
            </w:r>
            <w:proofErr w:type="spellStart"/>
            <w:r w:rsidRPr="00732EED">
              <w:rPr>
                <w:color w:val="000000"/>
                <w:sz w:val="18"/>
                <w:szCs w:val="18"/>
              </w:rPr>
              <w:t>postassessment</w:t>
            </w:r>
            <w:proofErr w:type="spellEnd"/>
            <w:r w:rsidRPr="00732EED">
              <w:rPr>
                <w:color w:val="000000"/>
                <w:sz w:val="18"/>
                <w:szCs w:val="18"/>
              </w:rPr>
              <w:t xml:space="preserve"> questionnaires, which were not tested for reliability. The knowledge questions were developed before the final curriculum, leading to some questions being less relevant or eliminated. </w:t>
            </w:r>
          </w:p>
          <w:p w14:paraId="4143C12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5F56F5B3"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findings generally align with the underlying data, showing significant increases in individual self-efficacy and reported policy change behaviors. However, there was a lack of significant change in knowledge items and collective efficacy, which the authors suggest may be due to high baseline scores (a “ceiling effect”).</w:t>
            </w:r>
          </w:p>
        </w:tc>
        <w:tc>
          <w:tcPr>
            <w:tcW w:w="841" w:type="pct"/>
          </w:tcPr>
          <w:p w14:paraId="261CB4C3"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study uses a mix of quantitative and qualitative data (surveys and open-ended questions) to provide a rich description of participant feedback. While the total number of participants was relatively high (228), the subset of data available for analyzing change over time was much smaller (e.g., only 48 participants completed both pre- and post-knowledge assessments).</w:t>
            </w:r>
          </w:p>
        </w:tc>
        <w:tc>
          <w:tcPr>
            <w:tcW w:w="840" w:type="pct"/>
          </w:tcPr>
          <w:p w14:paraId="364F636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project was specifically designed to address a gap in the literature: the lack of training models to enhance the capacity of community members in policy advocacy to eliminate health disparities. It is highly applicable to the context of community-based participatory research (CBPR) in low-income urban settings. </w:t>
            </w:r>
          </w:p>
        </w:tc>
      </w:tr>
      <w:tr w:rsidR="00EB4ED6" w:rsidRPr="00732EED" w14:paraId="3BB45175"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1F8E397" w14:textId="77777777" w:rsidR="00CF59AF" w:rsidRPr="00732EED" w:rsidRDefault="00CF59AF" w:rsidP="008E2192">
            <w:pPr>
              <w:jc w:val="right"/>
              <w:rPr>
                <w:color w:val="000000"/>
                <w:sz w:val="18"/>
                <w:szCs w:val="18"/>
              </w:rPr>
            </w:pPr>
            <w:r w:rsidRPr="00732EED">
              <w:rPr>
                <w:color w:val="000000"/>
                <w:sz w:val="18"/>
                <w:szCs w:val="18"/>
              </w:rPr>
              <w:t>19</w:t>
            </w:r>
          </w:p>
        </w:tc>
        <w:tc>
          <w:tcPr>
            <w:tcW w:w="1323" w:type="pct"/>
            <w:hideMark/>
          </w:tcPr>
          <w:p w14:paraId="243FF8E4"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86" w:tgtFrame="_new" w:history="1">
              <w:r w:rsidR="00CF59AF" w:rsidRPr="00732EED">
                <w:rPr>
                  <w:color w:val="467886"/>
                  <w:sz w:val="18"/>
                  <w:szCs w:val="18"/>
                </w:rPr>
                <w:t>Jing X, Min H, Gong Y et al (2023) Ontologies applied in clinical decision support system rules: systematic review. JMIR Med Inform 11:e43053. https://doi.org/10.2196/43053</w:t>
              </w:r>
            </w:hyperlink>
          </w:p>
        </w:tc>
        <w:tc>
          <w:tcPr>
            <w:tcW w:w="893" w:type="pct"/>
          </w:tcPr>
          <w:p w14:paraId="453BFEEC" w14:textId="08CFFBF9"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review followed established </w:t>
            </w:r>
            <w:r w:rsidRPr="00732EED">
              <w:rPr>
                <w:bCs/>
                <w:color w:val="000000"/>
                <w:sz w:val="18"/>
                <w:szCs w:val="18"/>
              </w:rPr>
              <w:t>PRISMA 2020 guidelines</w:t>
            </w:r>
            <w:r w:rsidRPr="00732EED">
              <w:rPr>
                <w:color w:val="000000"/>
                <w:sz w:val="18"/>
                <w:szCs w:val="18"/>
              </w:rPr>
              <w:t xml:space="preserve"> and employed </w:t>
            </w:r>
            <w:r w:rsidRPr="00732EED">
              <w:rPr>
                <w:bCs/>
                <w:color w:val="000000"/>
                <w:sz w:val="18"/>
                <w:szCs w:val="18"/>
              </w:rPr>
              <w:t>grounded theory</w:t>
            </w:r>
            <w:r w:rsidRPr="00732EED">
              <w:rPr>
                <w:color w:val="000000"/>
                <w:sz w:val="18"/>
                <w:szCs w:val="18"/>
              </w:rPr>
              <w:t xml:space="preserve"> for qualitative analysis. A robust, iterative screening and coding process was used, involving </w:t>
            </w:r>
            <w:r w:rsidRPr="00732EED">
              <w:rPr>
                <w:bCs/>
                <w:color w:val="000000"/>
                <w:sz w:val="18"/>
                <w:szCs w:val="18"/>
              </w:rPr>
              <w:t>independent validation by multiple authors</w:t>
            </w:r>
            <w:r w:rsidRPr="00732EED">
              <w:rPr>
                <w:color w:val="000000"/>
                <w:sz w:val="18"/>
                <w:szCs w:val="18"/>
              </w:rPr>
              <w:t xml:space="preserve"> at every </w:t>
            </w:r>
            <w:r w:rsidR="00B93F1C" w:rsidRPr="00732EED">
              <w:rPr>
                <w:color w:val="000000"/>
                <w:sz w:val="18"/>
                <w:szCs w:val="18"/>
              </w:rPr>
              <w:t>Phase</w:t>
            </w:r>
            <w:r w:rsidRPr="00732EED">
              <w:rPr>
                <w:color w:val="000000"/>
                <w:sz w:val="18"/>
                <w:szCs w:val="18"/>
              </w:rPr>
              <w:t xml:space="preserve"> to minimize bias</w:t>
            </w:r>
          </w:p>
          <w:p w14:paraId="29AF712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4A94178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findings are clearly supported by the analysis of 81 included publications. However, the authors note </w:t>
            </w:r>
            <w:r w:rsidRPr="00732EED">
              <w:rPr>
                <w:bCs/>
                <w:color w:val="000000"/>
                <w:sz w:val="18"/>
                <w:szCs w:val="18"/>
              </w:rPr>
              <w:t>inconsistent or missing technical details</w:t>
            </w:r>
            <w:r w:rsidRPr="00732EED">
              <w:rPr>
                <w:color w:val="000000"/>
                <w:sz w:val="18"/>
                <w:szCs w:val="18"/>
              </w:rPr>
              <w:t xml:space="preserve"> in the underlying literature (e.g., lack of rule engine specifications or architecture diagrams), which occasionally limited the depth of synthesis across studies. </w:t>
            </w:r>
          </w:p>
        </w:tc>
        <w:tc>
          <w:tcPr>
            <w:tcW w:w="841" w:type="pct"/>
          </w:tcPr>
          <w:p w14:paraId="2E58027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study analyzed a substantial dataset of </w:t>
            </w:r>
            <w:r w:rsidRPr="00732EED">
              <w:rPr>
                <w:bCs/>
                <w:color w:val="000000"/>
                <w:sz w:val="18"/>
                <w:szCs w:val="18"/>
              </w:rPr>
              <w:t>81 peer-reviewed publications</w:t>
            </w:r>
            <w:r w:rsidRPr="00732EED">
              <w:rPr>
                <w:color w:val="000000"/>
                <w:sz w:val="18"/>
                <w:szCs w:val="18"/>
              </w:rPr>
              <w:t xml:space="preserve"> retrieved from three major databases (PubMed, ACM Digital Library, and NAHD). The coding was rigorous, resulting in </w:t>
            </w:r>
            <w:r w:rsidRPr="00732EED">
              <w:rPr>
                <w:bCs/>
                <w:color w:val="000000"/>
                <w:sz w:val="18"/>
                <w:szCs w:val="18"/>
              </w:rPr>
              <w:t>30 code groups and 221 final codes</w:t>
            </w:r>
            <w:r w:rsidRPr="00732EED">
              <w:rPr>
                <w:color w:val="000000"/>
                <w:sz w:val="18"/>
                <w:szCs w:val="18"/>
              </w:rPr>
              <w:t xml:space="preserve"> to synthesize the data. </w:t>
            </w:r>
          </w:p>
        </w:tc>
        <w:tc>
          <w:tcPr>
            <w:tcW w:w="840" w:type="pct"/>
          </w:tcPr>
          <w:p w14:paraId="016285D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review is highly applicable to the field of medical informatics, specifically addressing the </w:t>
            </w:r>
            <w:r w:rsidRPr="00732EED">
              <w:rPr>
                <w:bCs/>
                <w:color w:val="000000"/>
                <w:sz w:val="18"/>
                <w:szCs w:val="18"/>
              </w:rPr>
              <w:t>interoperability and reuse of CDSS rules</w:t>
            </w:r>
            <w:r w:rsidRPr="00732EED">
              <w:rPr>
                <w:color w:val="000000"/>
                <w:sz w:val="18"/>
                <w:szCs w:val="18"/>
              </w:rPr>
              <w:t xml:space="preserve">. It provides a comprehensive knowledge framework that directly informs the design and improvement of clinical decision support systems. </w:t>
            </w:r>
          </w:p>
        </w:tc>
      </w:tr>
      <w:tr w:rsidR="00EB4ED6" w:rsidRPr="00732EED" w14:paraId="03F8749F"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0FA5C7A1" w14:textId="77777777" w:rsidR="00CF59AF" w:rsidRPr="00732EED" w:rsidRDefault="00CF59AF" w:rsidP="008E2192">
            <w:pPr>
              <w:jc w:val="right"/>
              <w:rPr>
                <w:color w:val="000000"/>
                <w:sz w:val="18"/>
                <w:szCs w:val="18"/>
              </w:rPr>
            </w:pPr>
            <w:r w:rsidRPr="00732EED">
              <w:rPr>
                <w:color w:val="000000"/>
                <w:sz w:val="18"/>
                <w:szCs w:val="18"/>
              </w:rPr>
              <w:t>20</w:t>
            </w:r>
          </w:p>
        </w:tc>
        <w:tc>
          <w:tcPr>
            <w:tcW w:w="1323" w:type="pct"/>
            <w:hideMark/>
          </w:tcPr>
          <w:p w14:paraId="65E82D6C"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87" w:tgtFrame="_new" w:history="1">
              <w:r w:rsidR="00CF59AF" w:rsidRPr="00732EED">
                <w:rPr>
                  <w:color w:val="467886"/>
                  <w:sz w:val="18"/>
                  <w:szCs w:val="18"/>
                </w:rPr>
                <w:t xml:space="preserve">Johnson MI, Page K, Woodall J (2024) Perspectives on community-based system change for people living with persistent pain: </w:t>
              </w:r>
              <w:r w:rsidR="00CF59AF" w:rsidRPr="00732EED">
                <w:rPr>
                  <w:color w:val="467886"/>
                  <w:sz w:val="18"/>
                  <w:szCs w:val="18"/>
                </w:rPr>
                <w:lastRenderedPageBreak/>
                <w:t>insights from developing the “Rethinking Pain service”. Front Pain Res 5:1299027. https://doi.org/10.3389/fpain.2024.1299027</w:t>
              </w:r>
            </w:hyperlink>
          </w:p>
        </w:tc>
        <w:tc>
          <w:tcPr>
            <w:tcW w:w="893" w:type="pct"/>
          </w:tcPr>
          <w:p w14:paraId="17238272" w14:textId="28120DD9"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Low: The findings are primarily based on a single, two-hour focus group with the </w:t>
            </w:r>
            <w:r w:rsidRPr="00732EED">
              <w:rPr>
                <w:color w:val="000000"/>
                <w:sz w:val="18"/>
                <w:szCs w:val="18"/>
              </w:rPr>
              <w:lastRenderedPageBreak/>
              <w:t xml:space="preserve">service team itself rather than patients. While underpinned by Theory of Change, the lack of objective clinical outcomes or a control group at this </w:t>
            </w:r>
            <w:r w:rsidR="00B93F1C" w:rsidRPr="00732EED">
              <w:rPr>
                <w:color w:val="000000"/>
                <w:sz w:val="18"/>
                <w:szCs w:val="18"/>
              </w:rPr>
              <w:t>Phase</w:t>
            </w:r>
            <w:r w:rsidRPr="00732EED">
              <w:rPr>
                <w:color w:val="000000"/>
                <w:sz w:val="18"/>
                <w:szCs w:val="18"/>
              </w:rPr>
              <w:t xml:space="preserve"> limits the robustness of the perspective.</w:t>
            </w:r>
          </w:p>
        </w:tc>
        <w:tc>
          <w:tcPr>
            <w:tcW w:w="957" w:type="pct"/>
          </w:tcPr>
          <w:p w14:paraId="48500CB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findings are highly consistent with existing literature cited in the paper, such </w:t>
            </w:r>
            <w:r w:rsidRPr="00732EED">
              <w:rPr>
                <w:color w:val="000000"/>
                <w:sz w:val="18"/>
                <w:szCs w:val="18"/>
              </w:rPr>
              <w:lastRenderedPageBreak/>
              <w:t xml:space="preserve">as Cochrane reviews on </w:t>
            </w:r>
            <w:proofErr w:type="spellStart"/>
            <w:r w:rsidRPr="00732EED">
              <w:rPr>
                <w:color w:val="000000"/>
                <w:sz w:val="18"/>
                <w:szCs w:val="18"/>
              </w:rPr>
              <w:t>personalised</w:t>
            </w:r>
            <w:proofErr w:type="spellEnd"/>
            <w:r w:rsidRPr="00732EED">
              <w:rPr>
                <w:color w:val="000000"/>
                <w:sz w:val="18"/>
                <w:szCs w:val="18"/>
              </w:rPr>
              <w:t xml:space="preserve"> care and NICE recommendations for community-based support. The internal logic of the “Tiered” pathway aligns with the goal of “whole-person” care. </w:t>
            </w:r>
          </w:p>
        </w:tc>
        <w:tc>
          <w:tcPr>
            <w:tcW w:w="841" w:type="pct"/>
          </w:tcPr>
          <w:p w14:paraId="4204458F" w14:textId="30A63253"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Low: The data is currently “thin.” It relies on anonymized quotes from a </w:t>
            </w:r>
            <w:r w:rsidRPr="00732EED">
              <w:rPr>
                <w:color w:val="000000"/>
                <w:sz w:val="18"/>
                <w:szCs w:val="18"/>
              </w:rPr>
              <w:lastRenderedPageBreak/>
              <w:t>small team of providers. While the paper mentions an ongoing formal evaluation, the specific evidence provided in this article is qualitative and limited to early-</w:t>
            </w:r>
            <w:r w:rsidR="00B93F1C" w:rsidRPr="00732EED">
              <w:rPr>
                <w:color w:val="000000"/>
                <w:sz w:val="18"/>
                <w:szCs w:val="18"/>
              </w:rPr>
              <w:t>Phase</w:t>
            </w:r>
            <w:r w:rsidRPr="00732EED">
              <w:rPr>
                <w:color w:val="000000"/>
                <w:sz w:val="18"/>
                <w:szCs w:val="18"/>
              </w:rPr>
              <w:t xml:space="preserve"> implementation.</w:t>
            </w:r>
          </w:p>
        </w:tc>
        <w:tc>
          <w:tcPr>
            <w:tcW w:w="840" w:type="pct"/>
          </w:tcPr>
          <w:p w14:paraId="38ED559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paper is directly applicable to the current UK health landscape. It </w:t>
            </w:r>
            <w:r w:rsidRPr="00732EED">
              <w:rPr>
                <w:color w:val="000000"/>
                <w:sz w:val="18"/>
                <w:szCs w:val="18"/>
              </w:rPr>
              <w:lastRenderedPageBreak/>
              <w:t>addresses the NHS Long Term Plan, integrated care systems, and the specific socio-cultural needs of a diverse population like Bradford. It speaks directly to “real-world” clinical pressures.</w:t>
            </w:r>
          </w:p>
        </w:tc>
      </w:tr>
      <w:tr w:rsidR="00EB4ED6" w:rsidRPr="00732EED" w14:paraId="6A805B2E"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D9E9C2D" w14:textId="77777777" w:rsidR="00CF59AF" w:rsidRPr="00732EED" w:rsidRDefault="00CF59AF" w:rsidP="008E2192">
            <w:pPr>
              <w:jc w:val="right"/>
              <w:rPr>
                <w:color w:val="000000"/>
                <w:sz w:val="18"/>
                <w:szCs w:val="18"/>
              </w:rPr>
            </w:pPr>
            <w:r w:rsidRPr="00732EED">
              <w:rPr>
                <w:color w:val="000000"/>
                <w:sz w:val="18"/>
                <w:szCs w:val="18"/>
              </w:rPr>
              <w:lastRenderedPageBreak/>
              <w:t>21</w:t>
            </w:r>
          </w:p>
        </w:tc>
        <w:tc>
          <w:tcPr>
            <w:tcW w:w="1323" w:type="pct"/>
            <w:hideMark/>
          </w:tcPr>
          <w:p w14:paraId="78DA4ED3"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88" w:tgtFrame="_new" w:history="1">
              <w:r w:rsidR="00CF59AF" w:rsidRPr="00732EED">
                <w:rPr>
                  <w:color w:val="467886"/>
                  <w:sz w:val="18"/>
                  <w:szCs w:val="18"/>
                </w:rPr>
                <w:t>Kearney M, Rieppel O (2023) A process ontology of organisms and its connection to biological individuality concepts. Org Divers Evol 23:1–6. https://doi.org/10.1007/s13127-022-00584-6</w:t>
              </w:r>
            </w:hyperlink>
          </w:p>
        </w:tc>
        <w:tc>
          <w:tcPr>
            <w:tcW w:w="893" w:type="pct"/>
          </w:tcPr>
          <w:p w14:paraId="6A0EE4D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exhibits robust theoretical rigor by synthesizing classical biological theories with contemporary empirical discoveries (e.g., symbiotic associations and horizontal gene transfer). It actively addresses and incorporates counter-arguments from critics of the “individuality thesis” to refine its own processual framework.</w:t>
            </w:r>
          </w:p>
          <w:p w14:paraId="586D22F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6DE3D717"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internally consistent, logically bridging the gap between “homeostatic property clusters” and “historical individuals” through the lens of process ontology. The authors provide a clear, unified explanation of how organisms “become” individuals through their actions and interactions.</w:t>
            </w:r>
          </w:p>
          <w:p w14:paraId="58BF7A6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44C699CE"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Although no new empirical datasets were generated, the review draws upon an extensive and diverse body of literature (over 80 sources), ranging from foundational 19th-century biology to modern genomic and philosophical studies. This provides a rich and high-quality foundation for the theoretical claims made. </w:t>
            </w:r>
          </w:p>
        </w:tc>
        <w:tc>
          <w:tcPr>
            <w:tcW w:w="840" w:type="pct"/>
          </w:tcPr>
          <w:p w14:paraId="1207410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directly applicable to current biological debates regarding the nature of the “holobiont” or “</w:t>
            </w:r>
            <w:proofErr w:type="spellStart"/>
            <w:r w:rsidRPr="00732EED">
              <w:rPr>
                <w:color w:val="000000"/>
                <w:sz w:val="18"/>
                <w:szCs w:val="18"/>
              </w:rPr>
              <w:t>metaorganism</w:t>
            </w:r>
            <w:proofErr w:type="spellEnd"/>
            <w:r w:rsidRPr="00732EED">
              <w:rPr>
                <w:color w:val="000000"/>
                <w:sz w:val="18"/>
                <w:szCs w:val="18"/>
              </w:rPr>
              <w:t>”. It provides a necessary conceptual framework for researchers struggling to define organismal boundaries in the face of complex symbiotic and genetic exchanges.</w:t>
            </w:r>
          </w:p>
          <w:p w14:paraId="3B55ED6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EB4ED6" w:rsidRPr="00732EED" w14:paraId="42E2FDCE"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5936F5B6" w14:textId="77777777" w:rsidR="00CF59AF" w:rsidRPr="00732EED" w:rsidRDefault="00CF59AF" w:rsidP="008E2192">
            <w:pPr>
              <w:jc w:val="right"/>
              <w:rPr>
                <w:color w:val="000000"/>
                <w:sz w:val="18"/>
                <w:szCs w:val="18"/>
              </w:rPr>
            </w:pPr>
            <w:r w:rsidRPr="00732EED">
              <w:rPr>
                <w:color w:val="000000"/>
                <w:sz w:val="18"/>
                <w:szCs w:val="18"/>
              </w:rPr>
              <w:t>22</w:t>
            </w:r>
          </w:p>
        </w:tc>
        <w:tc>
          <w:tcPr>
            <w:tcW w:w="1323" w:type="pct"/>
            <w:hideMark/>
          </w:tcPr>
          <w:p w14:paraId="2C7D2694"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89" w:tgtFrame="_new" w:history="1">
              <w:r w:rsidR="00CF59AF" w:rsidRPr="00732EED">
                <w:rPr>
                  <w:color w:val="467886"/>
                  <w:sz w:val="18"/>
                  <w:szCs w:val="18"/>
                </w:rPr>
                <w:t>Keng SL, Smoski MJ, Robins CJ (2011) Effects of mindfulness on psychological health: a review of empirical studies. Clin Psychol Rev 31:1041–1056. https://doi.org/10.1016/j.cpr.2011.04.006</w:t>
              </w:r>
            </w:hyperlink>
          </w:p>
        </w:tc>
        <w:tc>
          <w:tcPr>
            <w:tcW w:w="893" w:type="pct"/>
          </w:tcPr>
          <w:p w14:paraId="583DBEF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review acknowledges existing methodological limitations within each body of literature. Many laboratory studies failed to explicitly assess if participants were actually mindfully aware during inductions (manipulation checks focused on adherence only). Additionally, much of the foundational data is correlational, necessitating experimental studies to clarify directional and causal links. </w:t>
            </w:r>
          </w:p>
        </w:tc>
        <w:tc>
          <w:tcPr>
            <w:tcW w:w="957" w:type="pct"/>
          </w:tcPr>
          <w:p w14:paraId="53D4540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There is a “clear convergence of findings” across three distinct methodologies: correlational studies, clinical intervention studies, and laboratory-based experimental research. Findings consistently point to positive associations between mindfulness and psychological health markers like subjective well-being and reduced emotional reactivity.</w:t>
            </w:r>
          </w:p>
        </w:tc>
        <w:tc>
          <w:tcPr>
            <w:tcW w:w="841" w:type="pct"/>
          </w:tcPr>
          <w:p w14:paraId="13A8C799" w14:textId="66EA911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While there is a “surge of interest” and “burgeoning evidence” including neurobiological and performance-based measures, the review notes that research is still in its “early </w:t>
            </w:r>
            <w:r w:rsidR="00B93F1C" w:rsidRPr="00732EED">
              <w:rPr>
                <w:color w:val="000000"/>
                <w:sz w:val="18"/>
                <w:szCs w:val="18"/>
              </w:rPr>
              <w:t>Phase</w:t>
            </w:r>
            <w:r w:rsidRPr="00732EED">
              <w:rPr>
                <w:color w:val="000000"/>
                <w:sz w:val="18"/>
                <w:szCs w:val="18"/>
              </w:rPr>
              <w:t>s of development”. There is also a recognized lack of agreement on how to define and measure the construct of mindfulness itself.</w:t>
            </w:r>
          </w:p>
        </w:tc>
        <w:tc>
          <w:tcPr>
            <w:tcW w:w="840" w:type="pct"/>
          </w:tcPr>
          <w:p w14:paraId="4CFDE264"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review specifically targets the integration of mindfulness into Western medicine and psychology. It evaluates diverse, highly relevant clinical interventions (MBSR, MBCT, DBT, ACT) and focuses on psychological health outcomes in adult populations, directly addressing the core review question.</w:t>
            </w:r>
          </w:p>
        </w:tc>
      </w:tr>
      <w:tr w:rsidR="00EB4ED6" w:rsidRPr="00732EED" w14:paraId="7F6676AB"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192F9BC2" w14:textId="77777777" w:rsidR="00CF59AF" w:rsidRPr="00732EED" w:rsidRDefault="00CF59AF" w:rsidP="008E2192">
            <w:pPr>
              <w:jc w:val="right"/>
              <w:rPr>
                <w:color w:val="000000"/>
                <w:sz w:val="18"/>
                <w:szCs w:val="18"/>
              </w:rPr>
            </w:pPr>
            <w:r w:rsidRPr="00732EED">
              <w:rPr>
                <w:color w:val="000000"/>
                <w:sz w:val="18"/>
                <w:szCs w:val="18"/>
              </w:rPr>
              <w:t>23</w:t>
            </w:r>
          </w:p>
        </w:tc>
        <w:tc>
          <w:tcPr>
            <w:tcW w:w="1323" w:type="pct"/>
            <w:hideMark/>
          </w:tcPr>
          <w:p w14:paraId="527725BC"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90" w:tgtFrame="_new" w:history="1">
              <w:r w:rsidR="00CF59AF" w:rsidRPr="00732EED">
                <w:rPr>
                  <w:color w:val="467886"/>
                  <w:sz w:val="18"/>
                  <w:szCs w:val="18"/>
                </w:rPr>
                <w:t>Knudsen RK, Skovbjerg S, Pedersen EL et al (2024) Factors affecting implementation of mindfulness in hospital settings: a qualitative meta-synthesis of healthcare professionals’ experiences. Int J Nurs Stud Adv 6:100192. https://doi.org/10.1016/j.ijnsa.2024.100192</w:t>
              </w:r>
            </w:hyperlink>
          </w:p>
        </w:tc>
        <w:tc>
          <w:tcPr>
            <w:tcW w:w="893" w:type="pct"/>
          </w:tcPr>
          <w:p w14:paraId="3FEF895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authors conducted a rigorous quality assessment using the </w:t>
            </w:r>
            <w:r w:rsidRPr="00732EED">
              <w:rPr>
                <w:bCs/>
                <w:color w:val="000000"/>
                <w:sz w:val="18"/>
                <w:szCs w:val="18"/>
              </w:rPr>
              <w:t>CASP</w:t>
            </w:r>
            <w:r w:rsidRPr="00732EED">
              <w:rPr>
                <w:color w:val="000000"/>
                <w:sz w:val="18"/>
                <w:szCs w:val="18"/>
              </w:rPr>
              <w:t xml:space="preserve"> tool for all 18 included studies. Scores ranged from </w:t>
            </w:r>
            <w:r w:rsidRPr="00732EED">
              <w:rPr>
                <w:bCs/>
                <w:color w:val="000000"/>
                <w:sz w:val="18"/>
                <w:szCs w:val="18"/>
              </w:rPr>
              <w:t>6.5 to 9.5 out of 10</w:t>
            </w:r>
            <w:r w:rsidRPr="00732EED">
              <w:rPr>
                <w:color w:val="000000"/>
                <w:sz w:val="18"/>
                <w:szCs w:val="18"/>
              </w:rPr>
              <w:t xml:space="preserve">, with the majority of studies scoring above 8, indicating high methodological quality and low risk of flaws in design or </w:t>
            </w:r>
            <w:r w:rsidRPr="00732EED">
              <w:rPr>
                <w:color w:val="000000"/>
                <w:sz w:val="18"/>
                <w:szCs w:val="18"/>
              </w:rPr>
              <w:lastRenderedPageBreak/>
              <w:t>conduct in the supporting literature.</w:t>
            </w:r>
          </w:p>
          <w:p w14:paraId="6374CBF5"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12C171C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were consistent across diverse hospital settings and professional groups. Key themes like “Buying In” and “Allocating time and space” were supported by multiple independent studies, showing a high degree of harmony </w:t>
            </w:r>
            <w:r w:rsidRPr="00732EED">
              <w:rPr>
                <w:color w:val="000000"/>
                <w:sz w:val="18"/>
                <w:szCs w:val="18"/>
              </w:rPr>
              <w:lastRenderedPageBreak/>
              <w:t>between the underlying data and the final synthesized themes.</w:t>
            </w:r>
          </w:p>
        </w:tc>
        <w:tc>
          <w:tcPr>
            <w:tcW w:w="841" w:type="pct"/>
          </w:tcPr>
          <w:p w14:paraId="2237088F"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review synthesized data from </w:t>
            </w:r>
            <w:r w:rsidRPr="00732EED">
              <w:rPr>
                <w:bCs/>
                <w:color w:val="000000"/>
                <w:sz w:val="18"/>
                <w:szCs w:val="18"/>
              </w:rPr>
              <w:t>18 studies</w:t>
            </w:r>
            <w:r w:rsidRPr="00732EED">
              <w:rPr>
                <w:color w:val="000000"/>
                <w:sz w:val="18"/>
                <w:szCs w:val="18"/>
              </w:rPr>
              <w:t xml:space="preserve"> involving various healthcare professionals (nurses, physicians, midwives, etc.). While the themes were well-supported, the authors noted that more research is needed where </w:t>
            </w:r>
            <w:r w:rsidRPr="00732EED">
              <w:rPr>
                <w:bCs/>
                <w:color w:val="000000"/>
                <w:sz w:val="18"/>
                <w:szCs w:val="18"/>
              </w:rPr>
              <w:t xml:space="preserve">mindfulness </w:t>
            </w:r>
            <w:r w:rsidRPr="00732EED">
              <w:rPr>
                <w:bCs/>
                <w:color w:val="000000"/>
                <w:sz w:val="18"/>
                <w:szCs w:val="18"/>
              </w:rPr>
              <w:lastRenderedPageBreak/>
              <w:t>implementation is the primary aim</w:t>
            </w:r>
            <w:r w:rsidRPr="00732EED">
              <w:rPr>
                <w:color w:val="000000"/>
                <w:sz w:val="18"/>
                <w:szCs w:val="18"/>
              </w:rPr>
              <w:t xml:space="preserve">, as many included studies focused more on the </w:t>
            </w:r>
            <w:r w:rsidRPr="00732EED">
              <w:rPr>
                <w:iCs/>
                <w:color w:val="000000"/>
                <w:sz w:val="18"/>
                <w:szCs w:val="18"/>
              </w:rPr>
              <w:t>effects</w:t>
            </w:r>
            <w:r w:rsidRPr="00732EED">
              <w:rPr>
                <w:color w:val="000000"/>
                <w:sz w:val="18"/>
                <w:szCs w:val="18"/>
              </w:rPr>
              <w:t xml:space="preserve"> rather than the </w:t>
            </w:r>
            <w:r w:rsidRPr="00732EED">
              <w:rPr>
                <w:iCs/>
                <w:color w:val="000000"/>
                <w:sz w:val="18"/>
                <w:szCs w:val="18"/>
              </w:rPr>
              <w:t>process</w:t>
            </w:r>
            <w:r w:rsidRPr="00732EED">
              <w:rPr>
                <w:color w:val="000000"/>
                <w:sz w:val="18"/>
                <w:szCs w:val="18"/>
              </w:rPr>
              <w:t xml:space="preserve"> of implementation.</w:t>
            </w:r>
          </w:p>
        </w:tc>
        <w:tc>
          <w:tcPr>
            <w:tcW w:w="840" w:type="pct"/>
          </w:tcPr>
          <w:p w14:paraId="345015F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studies were highly applicable to the specific context, as the inclusion criteria strictly required </w:t>
            </w:r>
            <w:r w:rsidRPr="00732EED">
              <w:rPr>
                <w:bCs/>
                <w:color w:val="000000"/>
                <w:sz w:val="18"/>
                <w:szCs w:val="18"/>
              </w:rPr>
              <w:t>healthcare professionals engaged in patient care in hospital settings</w:t>
            </w:r>
            <w:r w:rsidRPr="00732EED">
              <w:rPr>
                <w:color w:val="000000"/>
                <w:sz w:val="18"/>
                <w:szCs w:val="18"/>
              </w:rPr>
              <w:t xml:space="preserve">. This direct alignment ensures that the findings are specifically </w:t>
            </w:r>
            <w:r w:rsidRPr="00732EED">
              <w:rPr>
                <w:color w:val="000000"/>
                <w:sz w:val="18"/>
                <w:szCs w:val="18"/>
              </w:rPr>
              <w:lastRenderedPageBreak/>
              <w:t>tailored to the challenges of the hospital environment.</w:t>
            </w:r>
          </w:p>
        </w:tc>
      </w:tr>
      <w:tr w:rsidR="00EB4ED6" w:rsidRPr="00732EED" w14:paraId="2919FC1B"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8E38033" w14:textId="77777777" w:rsidR="00CF59AF" w:rsidRPr="00732EED" w:rsidRDefault="00CF59AF" w:rsidP="008E2192">
            <w:pPr>
              <w:jc w:val="right"/>
              <w:rPr>
                <w:color w:val="000000"/>
                <w:sz w:val="18"/>
                <w:szCs w:val="18"/>
              </w:rPr>
            </w:pPr>
            <w:r w:rsidRPr="00732EED">
              <w:rPr>
                <w:color w:val="000000"/>
                <w:sz w:val="18"/>
                <w:szCs w:val="18"/>
              </w:rPr>
              <w:lastRenderedPageBreak/>
              <w:t>24</w:t>
            </w:r>
          </w:p>
        </w:tc>
        <w:tc>
          <w:tcPr>
            <w:tcW w:w="1323" w:type="pct"/>
            <w:hideMark/>
          </w:tcPr>
          <w:p w14:paraId="6AB9E497"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91" w:tgtFrame="_new" w:history="1">
              <w:r w:rsidR="00CF59AF" w:rsidRPr="00732EED">
                <w:rPr>
                  <w:color w:val="467886"/>
                  <w:sz w:val="18"/>
                  <w:szCs w:val="18"/>
                </w:rPr>
                <w:t>Koutroufinis SA (2017) Organism, machine, process: towards a process ontology for organismic dynamics. Organisms J Biol Sci 1:23–44. https://doi.org/10.13133/2532-5876/13878</w:t>
              </w:r>
            </w:hyperlink>
          </w:p>
        </w:tc>
        <w:tc>
          <w:tcPr>
            <w:tcW w:w="893" w:type="pct"/>
          </w:tcPr>
          <w:p w14:paraId="78835A4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As a philosophical and theoretical treatise, the “methodology” consists of logical argumentation and synthesis of existing scientific models rather than empirical experimentation. The paper is limited by its reliance on the “abstract definition” of machines to critique biological modeling, which may not capture the practical nuances of all systems biology research. </w:t>
            </w:r>
          </w:p>
        </w:tc>
        <w:tc>
          <w:tcPr>
            <w:tcW w:w="957" w:type="pct"/>
          </w:tcPr>
          <w:p w14:paraId="622C604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 that organisms and machines obey incompatible logics, is strongly supported by the internal data provided. The author systematically demonstrates how current mathematical formalisms (like ODEs and cellular automata) require fixed parameters and state spaces, which contrasts with the dynamic, dimension-adding nature of real organisms.</w:t>
            </w:r>
          </w:p>
        </w:tc>
        <w:tc>
          <w:tcPr>
            <w:tcW w:w="841" w:type="pct"/>
          </w:tcPr>
          <w:p w14:paraId="5B76DDC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paper provides a rich quantity of theoretical “data” by reviewing diverse modeling frameworks, including genetic toggle switches, metabolic pathways, and whole-cell models like </w:t>
            </w:r>
            <w:r w:rsidRPr="00732EED">
              <w:rPr>
                <w:iCs/>
                <w:color w:val="000000"/>
                <w:sz w:val="18"/>
                <w:szCs w:val="18"/>
              </w:rPr>
              <w:t xml:space="preserve">Mycoplasma </w:t>
            </w:r>
            <w:proofErr w:type="spellStart"/>
            <w:r w:rsidRPr="00732EED">
              <w:rPr>
                <w:iCs/>
                <w:color w:val="000000"/>
                <w:sz w:val="18"/>
                <w:szCs w:val="18"/>
              </w:rPr>
              <w:t>genitalium</w:t>
            </w:r>
            <w:proofErr w:type="spellEnd"/>
            <w:r w:rsidRPr="00732EED">
              <w:rPr>
                <w:color w:val="000000"/>
                <w:sz w:val="18"/>
                <w:szCs w:val="18"/>
              </w:rPr>
              <w:t>. It cites over 900 publications for specific parameters used in these models to establish the “mechanistic” nature of current biology.</w:t>
            </w:r>
          </w:p>
        </w:tc>
        <w:tc>
          <w:tcPr>
            <w:tcW w:w="840" w:type="pct"/>
          </w:tcPr>
          <w:p w14:paraId="7A26445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studies and models analyzed (e.g., Turing machines, von Foerster’s non-trivial machines, and systems biology models) are directly applicable to the review question regarding the limits of mechanistic ontology in understanding organismic dynamics. The examples chosen are considered “milestones” or “paradigms” in the field. </w:t>
            </w:r>
          </w:p>
        </w:tc>
      </w:tr>
      <w:tr w:rsidR="00EB4ED6" w:rsidRPr="00732EED" w14:paraId="713CD1E2"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4E95A91" w14:textId="77777777" w:rsidR="00CF59AF" w:rsidRPr="00732EED" w:rsidRDefault="00CF59AF" w:rsidP="008E2192">
            <w:pPr>
              <w:jc w:val="right"/>
              <w:rPr>
                <w:color w:val="000000"/>
                <w:sz w:val="18"/>
                <w:szCs w:val="18"/>
              </w:rPr>
            </w:pPr>
            <w:r w:rsidRPr="00732EED">
              <w:rPr>
                <w:color w:val="000000"/>
                <w:sz w:val="18"/>
                <w:szCs w:val="18"/>
              </w:rPr>
              <w:t>25</w:t>
            </w:r>
          </w:p>
        </w:tc>
        <w:tc>
          <w:tcPr>
            <w:tcW w:w="1323" w:type="pct"/>
            <w:hideMark/>
          </w:tcPr>
          <w:p w14:paraId="674466CF"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92" w:tgtFrame="_new" w:history="1">
              <w:r w:rsidR="00CF59AF" w:rsidRPr="00732EED">
                <w:rPr>
                  <w:color w:val="467886"/>
                  <w:sz w:val="18"/>
                  <w:szCs w:val="18"/>
                </w:rPr>
                <w:t>Lachal J, Revah-Levy A, Orri M et al (2017) Metasynthesis: an original method to synthesize qualitative literature in psychiatry. Front Psychiatry 8:269. https://doi.org/10.3389/fpsyt.2017.00269</w:t>
              </w:r>
            </w:hyperlink>
          </w:p>
        </w:tc>
        <w:tc>
          <w:tcPr>
            <w:tcW w:w="893" w:type="pct"/>
          </w:tcPr>
          <w:p w14:paraId="4628EFE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paper utilizes a rigorous quality assessment tool, the </w:t>
            </w:r>
            <w:r w:rsidRPr="00732EED">
              <w:rPr>
                <w:bCs/>
                <w:color w:val="000000"/>
                <w:sz w:val="18"/>
                <w:szCs w:val="18"/>
              </w:rPr>
              <w:t>Critical Appraisal Skills Program (CASP)</w:t>
            </w:r>
            <w:r w:rsidRPr="00732EED">
              <w:rPr>
                <w:color w:val="000000"/>
                <w:sz w:val="18"/>
                <w:szCs w:val="18"/>
              </w:rPr>
              <w:t>, which is one of the most frequently used instruments for evaluating the design and conduct of qualitative studies. The authors applied a detailed three-point weighting scale to each criterion and published the full results of their assessment to ensure transparency and rigor.</w:t>
            </w:r>
          </w:p>
        </w:tc>
        <w:tc>
          <w:tcPr>
            <w:tcW w:w="957" w:type="pct"/>
          </w:tcPr>
          <w:p w14:paraId="2B87A56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supported through a </w:t>
            </w:r>
            <w:r w:rsidRPr="00732EED">
              <w:rPr>
                <w:bCs/>
                <w:color w:val="000000"/>
                <w:sz w:val="18"/>
                <w:szCs w:val="18"/>
              </w:rPr>
              <w:t>triangulation of analyses</w:t>
            </w:r>
            <w:r w:rsidRPr="00732EED">
              <w:rPr>
                <w:color w:val="000000"/>
                <w:sz w:val="18"/>
                <w:szCs w:val="18"/>
              </w:rPr>
              <w:t xml:space="preserve"> where researchers with diverse backgrounds considered the same data set. The analysis followed a clear, three-step process: active reading, line-by-line coding (inspired by Smith's IPA), and grouping codes into a hierarchical structure to match themes across different studies.</w:t>
            </w:r>
          </w:p>
        </w:tc>
        <w:tc>
          <w:tcPr>
            <w:tcW w:w="841" w:type="pct"/>
          </w:tcPr>
          <w:p w14:paraId="0DE0C39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synthesis is based on an </w:t>
            </w:r>
            <w:r w:rsidRPr="00732EED">
              <w:rPr>
                <w:bCs/>
                <w:color w:val="000000"/>
                <w:sz w:val="18"/>
                <w:szCs w:val="18"/>
              </w:rPr>
              <w:t>exhaustive systematic search</w:t>
            </w:r>
            <w:r w:rsidRPr="00732EED">
              <w:rPr>
                <w:color w:val="000000"/>
                <w:sz w:val="18"/>
                <w:szCs w:val="18"/>
              </w:rPr>
              <w:t xml:space="preserve"> across five major electronic databases (MEDLINE, EMBASE, CINAHL, PsycINFO, and SSCI). The final selection included 44 studies, representing a rich and substantial quantity of data that is consistent with the standards of major </w:t>
            </w:r>
            <w:proofErr w:type="spellStart"/>
            <w:r w:rsidRPr="00732EED">
              <w:rPr>
                <w:color w:val="000000"/>
                <w:sz w:val="18"/>
                <w:szCs w:val="18"/>
              </w:rPr>
              <w:t>metasyntheses</w:t>
            </w:r>
            <w:proofErr w:type="spellEnd"/>
            <w:r w:rsidRPr="00732EED">
              <w:rPr>
                <w:color w:val="000000"/>
                <w:sz w:val="18"/>
                <w:szCs w:val="18"/>
              </w:rPr>
              <w:t>.</w:t>
            </w:r>
          </w:p>
        </w:tc>
        <w:tc>
          <w:tcPr>
            <w:tcW w:w="840" w:type="pct"/>
          </w:tcPr>
          <w:p w14:paraId="02BB948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studies were selected based on highly specific inclusion criteria that directly addressed the review question concerning </w:t>
            </w:r>
            <w:r w:rsidRPr="00732EED">
              <w:rPr>
                <w:bCs/>
                <w:color w:val="000000"/>
                <w:sz w:val="18"/>
                <w:szCs w:val="18"/>
              </w:rPr>
              <w:t>suicidal behaviors in adolescents and young adults</w:t>
            </w:r>
            <w:r w:rsidRPr="00732EED">
              <w:rPr>
                <w:color w:val="000000"/>
                <w:sz w:val="18"/>
                <w:szCs w:val="18"/>
              </w:rPr>
              <w:t>. The scope was carefully defined to include the most relevant populations (youths, parents, and healthcare professionals) and recent findings (published since 1990) to ensure the results remain applicable to current clinical practice.</w:t>
            </w:r>
          </w:p>
        </w:tc>
      </w:tr>
      <w:tr w:rsidR="00EB4ED6" w:rsidRPr="00732EED" w14:paraId="52819D34"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54CADB6" w14:textId="77777777" w:rsidR="00CF59AF" w:rsidRPr="00732EED" w:rsidRDefault="00CF59AF" w:rsidP="008E2192">
            <w:pPr>
              <w:jc w:val="right"/>
              <w:rPr>
                <w:color w:val="000000"/>
                <w:sz w:val="18"/>
                <w:szCs w:val="18"/>
              </w:rPr>
            </w:pPr>
            <w:r w:rsidRPr="00732EED">
              <w:rPr>
                <w:color w:val="000000"/>
                <w:sz w:val="18"/>
                <w:szCs w:val="18"/>
              </w:rPr>
              <w:t>26</w:t>
            </w:r>
          </w:p>
        </w:tc>
        <w:tc>
          <w:tcPr>
            <w:tcW w:w="1323" w:type="pct"/>
            <w:hideMark/>
          </w:tcPr>
          <w:p w14:paraId="29B0EB2C"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93" w:tgtFrame="_new" w:history="1">
              <w:r w:rsidR="00CF59AF" w:rsidRPr="00732EED">
                <w:rPr>
                  <w:color w:val="467886"/>
                  <w:sz w:val="18"/>
                  <w:szCs w:val="18"/>
                </w:rPr>
                <w:t>Lawless MT, Tieu M, Archibald MM et al (2025) From promise to practice: how health researchers understand and promote transdisciplinary collaboration. Qual Health Res 35:3–16. https://doi.org/10.1177/10497323241235882</w:t>
              </w:r>
            </w:hyperlink>
          </w:p>
        </w:tc>
        <w:tc>
          <w:tcPr>
            <w:tcW w:w="893" w:type="pct"/>
          </w:tcPr>
          <w:p w14:paraId="033AB87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study used a qualitative descriptive design with rigorous reflexive strategies (journaling, team reflections, member checking) and independent data analysis by two researchers to enhance transparency and mitigate bias. However, the sample </w:t>
            </w:r>
            <w:r w:rsidRPr="00732EED">
              <w:rPr>
                <w:color w:val="000000"/>
                <w:sz w:val="18"/>
                <w:szCs w:val="18"/>
              </w:rPr>
              <w:lastRenderedPageBreak/>
              <w:t>was purposively drawn from a single Center (CRE in Transdisciplinary Frailty Research), which may limit the breadth of perspectives outside of that specific funded environment.</w:t>
            </w:r>
          </w:p>
        </w:tc>
        <w:tc>
          <w:tcPr>
            <w:tcW w:w="957" w:type="pct"/>
          </w:tcPr>
          <w:p w14:paraId="7EC3CA5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Findings are strongly supported by direct participant quotes and thematic analysis that clearly aligns with the study’s objectives. The data consistently shows a recurring theme where participants value transdisciplinary research but lack a shared, formal definition, using terms like </w:t>
            </w:r>
            <w:r w:rsidRPr="00732EED">
              <w:rPr>
                <w:color w:val="000000"/>
                <w:sz w:val="18"/>
                <w:szCs w:val="18"/>
              </w:rPr>
              <w:lastRenderedPageBreak/>
              <w:t>“interdisciplinary” interchangeably.</w:t>
            </w:r>
          </w:p>
        </w:tc>
        <w:tc>
          <w:tcPr>
            <w:tcW w:w="841" w:type="pct"/>
          </w:tcPr>
          <w:p w14:paraId="3836DB14" w14:textId="09DC12A9"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study included 13 participants representing a diverse range of disciplines (e.g., geriatric medicine, nursing, health economics) and career </w:t>
            </w:r>
            <w:r w:rsidR="00B93F1C" w:rsidRPr="00732EED">
              <w:rPr>
                <w:color w:val="000000"/>
                <w:sz w:val="18"/>
                <w:szCs w:val="18"/>
              </w:rPr>
              <w:t>Phase</w:t>
            </w:r>
            <w:r w:rsidRPr="00732EED">
              <w:rPr>
                <w:color w:val="000000"/>
                <w:sz w:val="18"/>
                <w:szCs w:val="18"/>
              </w:rPr>
              <w:t xml:space="preserve">s (chief investigators to research fellows). While the data provided rich, “low-inference” accounts, </w:t>
            </w:r>
            <w:r w:rsidRPr="00732EED">
              <w:rPr>
                <w:color w:val="000000"/>
                <w:sz w:val="18"/>
                <w:szCs w:val="18"/>
              </w:rPr>
              <w:lastRenderedPageBreak/>
              <w:t>the small sample size (n=13) is typical for qualitative research but limits the quantity of data compared to larger mixed-methods studies.</w:t>
            </w:r>
          </w:p>
        </w:tc>
        <w:tc>
          <w:tcPr>
            <w:tcW w:w="840" w:type="pct"/>
          </w:tcPr>
          <w:p w14:paraId="2B7F6CE7"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study is highly applicable to the specific context of understanding how health researchers operationalize complex collaboration. It directly addresses the “practice gap” by exploring lived experiences and identifying practical barriers like time </w:t>
            </w:r>
            <w:r w:rsidRPr="00732EED">
              <w:rPr>
                <w:color w:val="000000"/>
                <w:sz w:val="18"/>
                <w:szCs w:val="18"/>
              </w:rPr>
              <w:lastRenderedPageBreak/>
              <w:t>constraints and geographical distance in a real-world research setting.</w:t>
            </w:r>
          </w:p>
        </w:tc>
      </w:tr>
      <w:tr w:rsidR="00EB4ED6" w:rsidRPr="00732EED" w14:paraId="569E7877"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178B213" w14:textId="77777777" w:rsidR="00CF59AF" w:rsidRPr="00732EED" w:rsidRDefault="00CF59AF" w:rsidP="008E2192">
            <w:pPr>
              <w:jc w:val="right"/>
              <w:rPr>
                <w:color w:val="000000"/>
                <w:sz w:val="18"/>
                <w:szCs w:val="18"/>
              </w:rPr>
            </w:pPr>
            <w:r w:rsidRPr="00732EED">
              <w:rPr>
                <w:color w:val="000000"/>
                <w:sz w:val="18"/>
                <w:szCs w:val="18"/>
              </w:rPr>
              <w:lastRenderedPageBreak/>
              <w:t>27</w:t>
            </w:r>
          </w:p>
        </w:tc>
        <w:tc>
          <w:tcPr>
            <w:tcW w:w="1323" w:type="pct"/>
            <w:hideMark/>
          </w:tcPr>
          <w:p w14:paraId="1E54691B"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94" w:tgtFrame="_new" w:history="1">
              <w:r w:rsidR="00CF59AF" w:rsidRPr="00732EED">
                <w:rPr>
                  <w:color w:val="467886"/>
                  <w:sz w:val="18"/>
                  <w:szCs w:val="18"/>
                </w:rPr>
                <w:t>Li S, Miles K, George RE et al (2023) A critical review of cultural competence frameworks and models in medical and health professional education: a meta-ethnographic synthesis. Med Teach 45:1085–1107. https://doi.org/10.1080/0142159X.2023.2174419</w:t>
              </w:r>
            </w:hyperlink>
          </w:p>
        </w:tc>
        <w:tc>
          <w:tcPr>
            <w:tcW w:w="893" w:type="pct"/>
          </w:tcPr>
          <w:p w14:paraId="2751015C"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review follows a rigorous meta-ethnographic approach and the </w:t>
            </w:r>
            <w:proofErr w:type="spellStart"/>
            <w:r w:rsidRPr="00732EED">
              <w:rPr>
                <w:bCs/>
                <w:color w:val="000000"/>
                <w:sz w:val="18"/>
                <w:szCs w:val="18"/>
              </w:rPr>
              <w:t>eMERGe</w:t>
            </w:r>
            <w:proofErr w:type="spellEnd"/>
            <w:r w:rsidRPr="00732EED">
              <w:rPr>
                <w:color w:val="000000"/>
                <w:sz w:val="18"/>
                <w:szCs w:val="18"/>
              </w:rPr>
              <w:t xml:space="preserve"> reporting guidance. However, the authors admit to a potential bias by being </w:t>
            </w:r>
            <w:r w:rsidRPr="00732EED">
              <w:rPr>
                <w:bCs/>
                <w:color w:val="000000"/>
                <w:sz w:val="18"/>
                <w:szCs w:val="18"/>
              </w:rPr>
              <w:t>selective of “actionable” concepts</w:t>
            </w:r>
            <w:r w:rsidRPr="00732EED">
              <w:rPr>
                <w:color w:val="000000"/>
                <w:sz w:val="18"/>
                <w:szCs w:val="18"/>
              </w:rPr>
              <w:t xml:space="preserve"> due to their use of critical theory. Additionally, the inclusion of </w:t>
            </w:r>
            <w:r w:rsidRPr="00732EED">
              <w:rPr>
                <w:bCs/>
                <w:color w:val="000000"/>
                <w:sz w:val="18"/>
                <w:szCs w:val="18"/>
              </w:rPr>
              <w:t>21 opinion pieces</w:t>
            </w:r>
            <w:r w:rsidRPr="00732EED">
              <w:rPr>
                <w:color w:val="000000"/>
                <w:sz w:val="18"/>
                <w:szCs w:val="18"/>
              </w:rPr>
              <w:t xml:space="preserve"> (non-empirical) may limit the robustness of the synthesis.</w:t>
            </w:r>
          </w:p>
        </w:tc>
        <w:tc>
          <w:tcPr>
            <w:tcW w:w="957" w:type="pct"/>
          </w:tcPr>
          <w:p w14:paraId="69ADE40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supported by a systematic, seven-phase interpretive process. The authors used </w:t>
            </w:r>
            <w:r w:rsidRPr="00732EED">
              <w:rPr>
                <w:bCs/>
                <w:color w:val="000000"/>
                <w:sz w:val="18"/>
                <w:szCs w:val="18"/>
              </w:rPr>
              <w:t>reciprocal translation</w:t>
            </w:r>
            <w:r w:rsidRPr="00732EED">
              <w:rPr>
                <w:color w:val="000000"/>
                <w:sz w:val="18"/>
                <w:szCs w:val="18"/>
              </w:rPr>
              <w:t xml:space="preserve"> to compare concepts across studies chronologically and geographically, ensuring the resulting “ACT” model is logically derived from recurring themes in the data.</w:t>
            </w:r>
          </w:p>
        </w:tc>
        <w:tc>
          <w:tcPr>
            <w:tcW w:w="841" w:type="pct"/>
          </w:tcPr>
          <w:p w14:paraId="4F112CC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synthesis is based on a substantial quantity of data, including </w:t>
            </w:r>
            <w:r w:rsidRPr="00732EED">
              <w:rPr>
                <w:bCs/>
                <w:color w:val="000000"/>
                <w:sz w:val="18"/>
                <w:szCs w:val="18"/>
              </w:rPr>
              <w:t>59 articles</w:t>
            </w:r>
            <w:r w:rsidRPr="00732EED">
              <w:rPr>
                <w:color w:val="000000"/>
                <w:sz w:val="18"/>
                <w:szCs w:val="18"/>
              </w:rPr>
              <w:t xml:space="preserve"> selected from an initial pool of </w:t>
            </w:r>
            <w:r w:rsidRPr="00732EED">
              <w:rPr>
                <w:bCs/>
                <w:color w:val="000000"/>
                <w:sz w:val="18"/>
                <w:szCs w:val="18"/>
              </w:rPr>
              <w:t>1,364 publications</w:t>
            </w:r>
            <w:r w:rsidRPr="00732EED">
              <w:rPr>
                <w:color w:val="000000"/>
                <w:sz w:val="18"/>
                <w:szCs w:val="18"/>
              </w:rPr>
              <w:t xml:space="preserve"> across five major databases. The data spans over three decades (1990–2022) and covers multiple disciplines like nursing, medicine, and psychiatry.</w:t>
            </w:r>
          </w:p>
        </w:tc>
        <w:tc>
          <w:tcPr>
            <w:tcW w:w="840" w:type="pct"/>
          </w:tcPr>
          <w:p w14:paraId="60EF47B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While highly applicable to the review's goal of conceptualizing cultural competence in health education, the authors note that the data is heavily skewed toward </w:t>
            </w:r>
            <w:r w:rsidRPr="00732EED">
              <w:rPr>
                <w:bCs/>
                <w:color w:val="000000"/>
                <w:sz w:val="18"/>
                <w:szCs w:val="18"/>
              </w:rPr>
              <w:t>North America (30 studies)</w:t>
            </w:r>
            <w:r w:rsidRPr="00732EED">
              <w:rPr>
                <w:color w:val="000000"/>
                <w:sz w:val="18"/>
                <w:szCs w:val="18"/>
              </w:rPr>
              <w:t xml:space="preserve"> and developed regions. This limits the model’s </w:t>
            </w:r>
            <w:r w:rsidRPr="00732EED">
              <w:rPr>
                <w:bCs/>
                <w:color w:val="000000"/>
                <w:sz w:val="18"/>
                <w:szCs w:val="18"/>
              </w:rPr>
              <w:t>international relevance</w:t>
            </w:r>
            <w:r w:rsidRPr="00732EED">
              <w:rPr>
                <w:color w:val="000000"/>
                <w:sz w:val="18"/>
                <w:szCs w:val="18"/>
              </w:rPr>
              <w:t xml:space="preserve"> and global perspective.</w:t>
            </w:r>
          </w:p>
        </w:tc>
      </w:tr>
      <w:tr w:rsidR="00EB4ED6" w:rsidRPr="00732EED" w14:paraId="6DECA56C"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880504A" w14:textId="77777777" w:rsidR="00CF59AF" w:rsidRPr="00732EED" w:rsidRDefault="00CF59AF" w:rsidP="008E2192">
            <w:pPr>
              <w:jc w:val="right"/>
              <w:rPr>
                <w:color w:val="000000"/>
                <w:sz w:val="18"/>
                <w:szCs w:val="18"/>
              </w:rPr>
            </w:pPr>
            <w:r w:rsidRPr="00732EED">
              <w:rPr>
                <w:color w:val="000000"/>
                <w:sz w:val="18"/>
                <w:szCs w:val="18"/>
              </w:rPr>
              <w:t>28</w:t>
            </w:r>
          </w:p>
        </w:tc>
        <w:tc>
          <w:tcPr>
            <w:tcW w:w="1323" w:type="pct"/>
            <w:hideMark/>
          </w:tcPr>
          <w:p w14:paraId="0D94DF4F"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95" w:tgtFrame="_new" w:history="1">
              <w:r w:rsidR="00CF59AF" w:rsidRPr="00732EED">
                <w:rPr>
                  <w:color w:val="467886"/>
                  <w:sz w:val="18"/>
                  <w:szCs w:val="18"/>
                </w:rPr>
                <w:t>Liaw ST, Rahimi A, Ray P et al (2013) Towards an ontology for data quality in integrated chronic disease management: a realist review of the literature. Int J Med Inform 82:10–24. https://doi.org/10.1016/j.ijmedinf.2012.10.001</w:t>
              </w:r>
            </w:hyperlink>
          </w:p>
        </w:tc>
        <w:tc>
          <w:tcPr>
            <w:tcW w:w="893" w:type="pct"/>
          </w:tcPr>
          <w:p w14:paraId="2347848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paper follows a structured realist review methodology with a clear conceptual framework (Context-Mechanism-Impact). While it used a comprehensive search strategy across seven databases and employed dual-reviewer screening and appraisal, the authors acknowledge that the DQ and ontology research field is “relatively immature”.</w:t>
            </w:r>
          </w:p>
          <w:p w14:paraId="09B537E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082E0CC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findings are internally coherent, demonstrating that DQ is widely accepted as a multidimensional construct (completeness, accuracy, etc.). However, the paper explicitly notes a lack of “consensus conceptual framework and definition” for DQ across the literature, which limits the overall coherence of findings across the 61 reviewed studies.</w:t>
            </w:r>
          </w:p>
        </w:tc>
        <w:tc>
          <w:tcPr>
            <w:tcW w:w="841" w:type="pct"/>
          </w:tcPr>
          <w:p w14:paraId="69AD1E2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Low: The review identified 61 relevant papers out of 245 screened. While the quantity of papers is reasonable, the “quality” of data is limited because 80% of studies focused only on tool design/development, with very few (15%) providing descriptive evaluations and only one study offering a comparative evaluation.</w:t>
            </w:r>
          </w:p>
        </w:tc>
        <w:tc>
          <w:tcPr>
            <w:tcW w:w="840" w:type="pct"/>
          </w:tcPr>
          <w:p w14:paraId="316AEC0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studies reviewed are highly applicable to the specific context of the review question (integrated chronic disease management). The majority of the 61 papers (54%) specifically examined ontologies within CDM, focusing on prevalent conditions like diabetes, cardiovascular, and respiratory diseases.</w:t>
            </w:r>
          </w:p>
        </w:tc>
      </w:tr>
      <w:tr w:rsidR="00EB4ED6" w:rsidRPr="00732EED" w14:paraId="489ED6DC"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2A930FE1" w14:textId="77777777" w:rsidR="00CF59AF" w:rsidRPr="00732EED" w:rsidRDefault="00CF59AF" w:rsidP="008E2192">
            <w:pPr>
              <w:jc w:val="right"/>
              <w:rPr>
                <w:color w:val="000000"/>
                <w:sz w:val="18"/>
                <w:szCs w:val="18"/>
              </w:rPr>
            </w:pPr>
            <w:r w:rsidRPr="00732EED">
              <w:rPr>
                <w:color w:val="000000"/>
                <w:sz w:val="18"/>
                <w:szCs w:val="18"/>
              </w:rPr>
              <w:t>29</w:t>
            </w:r>
          </w:p>
        </w:tc>
        <w:tc>
          <w:tcPr>
            <w:tcW w:w="1323" w:type="pct"/>
            <w:hideMark/>
          </w:tcPr>
          <w:p w14:paraId="66D4F717"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96" w:tgtFrame="_new" w:history="1">
              <w:r w:rsidR="00CF59AF" w:rsidRPr="00732EED">
                <w:rPr>
                  <w:color w:val="467886"/>
                  <w:sz w:val="18"/>
                  <w:szCs w:val="18"/>
                </w:rPr>
                <w:t>Liu J, Li S (2023) An ethnographic investigation of medical students’ cultural competence development in clinical placements. Adv Health Sci Educ Theory Pract 28:705–739. https://doi.org/10.1007/s10459-022-10179-7</w:t>
              </w:r>
            </w:hyperlink>
          </w:p>
        </w:tc>
        <w:tc>
          <w:tcPr>
            <w:tcW w:w="893" w:type="pct"/>
          </w:tcPr>
          <w:p w14:paraId="13180AB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study uses a robust ethnographic approach combining participant observation, shadowing, interviews, and focus groups for triangulation. However, the observation was limited to a single clinical block in one hospital, which the authors acknowledge may not represent other specialist blocks. There was also a </w:t>
            </w:r>
            <w:r w:rsidRPr="00732EED">
              <w:rPr>
                <w:color w:val="000000"/>
                <w:sz w:val="18"/>
                <w:szCs w:val="18"/>
              </w:rPr>
              <w:lastRenderedPageBreak/>
              <w:t>potential for recruitment bias toward participants sharing the lead researcher’s cultural background, though steps were taken to mitigate this.</w:t>
            </w:r>
          </w:p>
        </w:tc>
        <w:tc>
          <w:tcPr>
            <w:tcW w:w="957" w:type="pct"/>
          </w:tcPr>
          <w:p w14:paraId="1C5FF4C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strongly supported by the underlying data, with “thick descriptions” from fieldnotes and direct quotes from participants used to illustrate the four learning avenues (immersion, observation, interaction, and reflection). The results are also theoretically consistent with established experiential learning </w:t>
            </w:r>
            <w:r w:rsidRPr="00732EED">
              <w:rPr>
                <w:color w:val="000000"/>
                <w:sz w:val="18"/>
                <w:szCs w:val="18"/>
              </w:rPr>
              <w:lastRenderedPageBreak/>
              <w:t xml:space="preserve">theories (e.g., Kolb) and workplace training models. </w:t>
            </w:r>
          </w:p>
        </w:tc>
        <w:tc>
          <w:tcPr>
            <w:tcW w:w="841" w:type="pct"/>
          </w:tcPr>
          <w:p w14:paraId="283D8DFF"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researchers collected extensive data, including 68 hours of general observation, 25 hours of shadowing, 732 minutes of interview recordings from 25 participants, and a member-checking focus group. This provided a rich, multi-layered dataset covering students from different year </w:t>
            </w:r>
            <w:r w:rsidRPr="00732EED">
              <w:rPr>
                <w:color w:val="000000"/>
                <w:sz w:val="18"/>
                <w:szCs w:val="18"/>
              </w:rPr>
              <w:lastRenderedPageBreak/>
              <w:t>groups and diverse demographic backgrounds.</w:t>
            </w:r>
          </w:p>
        </w:tc>
        <w:tc>
          <w:tcPr>
            <w:tcW w:w="840" w:type="pct"/>
          </w:tcPr>
          <w:p w14:paraId="5C7D291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studies and literature cited are highly applicable to the specific context of medical education and clinical placements. The findings directly address the identified research gap regarding how the informal and hidden curricula in clinical settings influence </w:t>
            </w:r>
            <w:r w:rsidRPr="00732EED">
              <w:rPr>
                <w:color w:val="000000"/>
                <w:sz w:val="18"/>
                <w:szCs w:val="18"/>
              </w:rPr>
              <w:lastRenderedPageBreak/>
              <w:t>cultural competence development.</w:t>
            </w:r>
          </w:p>
        </w:tc>
      </w:tr>
      <w:tr w:rsidR="00EB4ED6" w:rsidRPr="00732EED" w14:paraId="037B217E"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0A59EE6" w14:textId="77777777" w:rsidR="00CF59AF" w:rsidRPr="00732EED" w:rsidRDefault="00CF59AF" w:rsidP="008E2192">
            <w:pPr>
              <w:jc w:val="right"/>
              <w:rPr>
                <w:color w:val="000000"/>
                <w:sz w:val="18"/>
                <w:szCs w:val="18"/>
              </w:rPr>
            </w:pPr>
            <w:r w:rsidRPr="00732EED">
              <w:rPr>
                <w:color w:val="000000"/>
                <w:sz w:val="18"/>
                <w:szCs w:val="18"/>
              </w:rPr>
              <w:lastRenderedPageBreak/>
              <w:t>30</w:t>
            </w:r>
          </w:p>
        </w:tc>
        <w:tc>
          <w:tcPr>
            <w:tcW w:w="1323" w:type="pct"/>
            <w:hideMark/>
          </w:tcPr>
          <w:p w14:paraId="3CCDA363"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97" w:tgtFrame="_new" w:history="1">
              <w:r w:rsidR="00CF59AF" w:rsidRPr="00732EED">
                <w:rPr>
                  <w:color w:val="467886"/>
                  <w:sz w:val="18"/>
                  <w:szCs w:val="18"/>
                </w:rPr>
                <w:t>Loughlin M, Bluhm R, Fuller J et al (2015) Diseases, patients and the epistemology of practice: mapping the borders of health, medicine and care. J Eval Clin Pract 21:357–364. https://doi.org/10.1111/jep.12370</w:t>
              </w:r>
            </w:hyperlink>
          </w:p>
        </w:tc>
        <w:tc>
          <w:tcPr>
            <w:tcW w:w="893" w:type="pct"/>
          </w:tcPr>
          <w:p w14:paraId="3801F1E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Low: As an editorial and literature summary, the paper does not employ a rigorous, standardized systematic review methodology or a formal qualitative synthesis like </w:t>
            </w:r>
            <w:proofErr w:type="spellStart"/>
            <w:r w:rsidRPr="00732EED">
              <w:rPr>
                <w:color w:val="000000"/>
                <w:sz w:val="18"/>
                <w:szCs w:val="18"/>
              </w:rPr>
              <w:t>CERQual</w:t>
            </w:r>
            <w:proofErr w:type="spellEnd"/>
            <w:r w:rsidRPr="00732EED">
              <w:rPr>
                <w:color w:val="000000"/>
                <w:sz w:val="18"/>
                <w:szCs w:val="18"/>
              </w:rPr>
              <w:t>. It serves as a curated introduction to other peer-reviewed works rather than a primary research study with a transparently defined search and selection protocol.</w:t>
            </w:r>
          </w:p>
        </w:tc>
        <w:tc>
          <w:tcPr>
            <w:tcW w:w="957" w:type="pct"/>
          </w:tcPr>
          <w:p w14:paraId="3DA9AB5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highly coherent as they consistently highlight the interdependence of ethics, metaphysics, and epistemology across various clinical contexts. The editorial successfully maps how diverse contributors, from surgeons to philosophers, arrive at the same conclusion: underlying assumptions dictate clinical outcomes.</w:t>
            </w:r>
          </w:p>
        </w:tc>
        <w:tc>
          <w:tcPr>
            <w:tcW w:w="841" w:type="pct"/>
          </w:tcPr>
          <w:p w14:paraId="3120126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data consists of a broad “sampling” of 21 distinct papers, book reviews, and conference reports. While the variety is high, the “richness” is limited by the editorial format, which provides brief summaries of complex arguments rather than exhaustive data sets or deep-dive analyses.</w:t>
            </w:r>
          </w:p>
        </w:tc>
        <w:tc>
          <w:tcPr>
            <w:tcW w:w="840" w:type="pct"/>
          </w:tcPr>
          <w:p w14:paraId="36700BA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is directly relevant to its target audience of health care providers and researchers. It addresses immediate “front-line” practice concerns, such as clinical reasoning, patient dignity, and the limitations of Evidence-Based Medicine (EBM) in individual patient care.</w:t>
            </w:r>
          </w:p>
        </w:tc>
      </w:tr>
      <w:tr w:rsidR="00EB4ED6" w:rsidRPr="00732EED" w14:paraId="5CC99C14"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25C097DF" w14:textId="77777777" w:rsidR="00CF59AF" w:rsidRPr="00732EED" w:rsidRDefault="00CF59AF" w:rsidP="008E2192">
            <w:pPr>
              <w:jc w:val="right"/>
              <w:rPr>
                <w:color w:val="000000"/>
                <w:sz w:val="18"/>
                <w:szCs w:val="18"/>
              </w:rPr>
            </w:pPr>
            <w:r w:rsidRPr="00732EED">
              <w:rPr>
                <w:color w:val="000000"/>
                <w:sz w:val="18"/>
                <w:szCs w:val="18"/>
              </w:rPr>
              <w:t>31</w:t>
            </w:r>
          </w:p>
        </w:tc>
        <w:tc>
          <w:tcPr>
            <w:tcW w:w="1323" w:type="pct"/>
            <w:hideMark/>
          </w:tcPr>
          <w:p w14:paraId="688F0938"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98" w:tgtFrame="_new" w:history="1">
              <w:r w:rsidR="00CF59AF" w:rsidRPr="00732EED">
                <w:rPr>
                  <w:color w:val="467886"/>
                  <w:sz w:val="18"/>
                  <w:szCs w:val="18"/>
                </w:rPr>
                <w:t>Ma Y, Xiang Q, Yan C et al (2021) Relationship between chronic diseases and depression: the mediating effect of pain. BMC Psychiatry 21:436. https://doi.org/10.1186/s12888-021-03428-3</w:t>
              </w:r>
            </w:hyperlink>
          </w:p>
        </w:tc>
        <w:tc>
          <w:tcPr>
            <w:tcW w:w="893" w:type="pct"/>
          </w:tcPr>
          <w:p w14:paraId="5261A6EC"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study uses a large, nationally representative sample (n=15,213) and robust statistical methods (binary logistic regression and Sobel tests). However, its </w:t>
            </w:r>
            <w:r w:rsidRPr="00732EED">
              <w:rPr>
                <w:bCs/>
                <w:color w:val="000000"/>
                <w:sz w:val="18"/>
                <w:szCs w:val="18"/>
              </w:rPr>
              <w:t>cross-sectional design</w:t>
            </w:r>
            <w:r w:rsidRPr="00732EED">
              <w:rPr>
                <w:color w:val="000000"/>
                <w:sz w:val="18"/>
                <w:szCs w:val="18"/>
              </w:rPr>
              <w:t xml:space="preserve"> is a major limitation as it cannot establish causality; chronic diseases may lead to depression, but depression may also aggravate chronic conditions.</w:t>
            </w:r>
          </w:p>
        </w:tc>
        <w:tc>
          <w:tcPr>
            <w:tcW w:w="957" w:type="pct"/>
          </w:tcPr>
          <w:p w14:paraId="074D961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well-supported by the underlying data, showing clear positive correlations between the number of chronic diseases, pain severity, and depression incidence. The result that pain partially mediates the relationship between chronic disease and depression is internally consistent across multiple models.</w:t>
            </w:r>
          </w:p>
        </w:tc>
        <w:tc>
          <w:tcPr>
            <w:tcW w:w="841" w:type="pct"/>
          </w:tcPr>
          <w:p w14:paraId="46828D9F"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study utilizes the 2015 China Health and Retirement Longitudinal Study (CHARLS), providing a high quantity of data (over 15,000 participants). It uses validated instruments like the CESD-10 for depression and comprehensive categorization for 14 types of chronic diseases.</w:t>
            </w:r>
          </w:p>
        </w:tc>
        <w:tc>
          <w:tcPr>
            <w:tcW w:w="840" w:type="pct"/>
          </w:tcPr>
          <w:p w14:paraId="197FF43E"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study is highly relevant to the context of aging and public health in China. While the findings regarding the mediating effect of pain are likely applicable globally, the specific socio-demographic findings (e.g., rural vs. urban differences) are context-specific to the Chinese middle-aged and elderly population.</w:t>
            </w:r>
          </w:p>
        </w:tc>
      </w:tr>
      <w:tr w:rsidR="00EB4ED6" w:rsidRPr="00732EED" w14:paraId="36DEBC66"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3D7595E4" w14:textId="77777777" w:rsidR="00CF59AF" w:rsidRPr="00732EED" w:rsidRDefault="00CF59AF" w:rsidP="008E2192">
            <w:pPr>
              <w:jc w:val="right"/>
              <w:rPr>
                <w:color w:val="000000"/>
                <w:sz w:val="18"/>
                <w:szCs w:val="18"/>
              </w:rPr>
            </w:pPr>
            <w:r w:rsidRPr="00732EED">
              <w:rPr>
                <w:color w:val="000000"/>
                <w:sz w:val="18"/>
                <w:szCs w:val="18"/>
              </w:rPr>
              <w:t>32</w:t>
            </w:r>
          </w:p>
        </w:tc>
        <w:tc>
          <w:tcPr>
            <w:tcW w:w="1323" w:type="pct"/>
            <w:hideMark/>
          </w:tcPr>
          <w:p w14:paraId="63041182"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99" w:tgtFrame="_new" w:history="1">
              <w:r w:rsidR="00CF59AF" w:rsidRPr="00732EED">
                <w:rPr>
                  <w:color w:val="467886"/>
                  <w:sz w:val="18"/>
                  <w:szCs w:val="18"/>
                </w:rPr>
                <w:t>Maitra A, Kamdar MR, Zulman DM et al (2021) Using ethnographic methods to classify the human experience in medicine: a case study of the presence ontology. J Am Med Inform Assoc 28:1900–1909. https://doi.org/10.1093/jamia/ocab091</w:t>
              </w:r>
            </w:hyperlink>
          </w:p>
        </w:tc>
        <w:tc>
          <w:tcPr>
            <w:tcW w:w="893" w:type="pct"/>
          </w:tcPr>
          <w:p w14:paraId="2E20A59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study used a robust, iterative mixed-methods approach, including a massive systematic literature review (&gt;20,000 articles), relational ethnography, and transdisciplinary interviews. However, limitations exist: the research team was physician-heavy, which may bias the perspective, and the authors acknowledge that some categories lack specificity due to the broad scope. Additionally, patient </w:t>
            </w:r>
            <w:r w:rsidRPr="00732EED">
              <w:rPr>
                <w:color w:val="000000"/>
                <w:sz w:val="18"/>
                <w:szCs w:val="18"/>
              </w:rPr>
              <w:lastRenderedPageBreak/>
              <w:t xml:space="preserve">feedback on the final ontology was not elicited. </w:t>
            </w:r>
          </w:p>
          <w:p w14:paraId="357D1A8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1B704966"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well-supported by the underlying data, with concepts emerging from the literature survey being validated and refined through real-world observations and interviews. The evaluation via the </w:t>
            </w:r>
            <w:proofErr w:type="spellStart"/>
            <w:r w:rsidRPr="00732EED">
              <w:rPr>
                <w:color w:val="000000"/>
                <w:sz w:val="18"/>
                <w:szCs w:val="18"/>
              </w:rPr>
              <w:t>BioPortal</w:t>
            </w:r>
            <w:proofErr w:type="spellEnd"/>
            <w:r w:rsidRPr="00732EED">
              <w:rPr>
                <w:color w:val="000000"/>
                <w:sz w:val="18"/>
                <w:szCs w:val="18"/>
              </w:rPr>
              <w:t xml:space="preserve"> Annotator demonstrated that the ontology successfully identified and classified key concepts (e.g., “patient-centered care,” “stress,” “confidence”) consistently mentioned across a corpus of 77 abstracts.</w:t>
            </w:r>
          </w:p>
        </w:tc>
        <w:tc>
          <w:tcPr>
            <w:tcW w:w="841" w:type="pct"/>
          </w:tcPr>
          <w:p w14:paraId="3DBC8E0B"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data supporting the ontology is both rich and extensive. It includes qualitative data from 32 total clinical encounter observations (5 pilot, 27 full) and 40 interviews with medical and non-medical professionals. This was supplemented by a massive systematic review of 21,835 articles, providing a deep pool of conceptual language to draw from. </w:t>
            </w:r>
          </w:p>
        </w:tc>
        <w:tc>
          <w:tcPr>
            <w:tcW w:w="840" w:type="pct"/>
          </w:tcPr>
          <w:p w14:paraId="05A21A7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is highly applicable to its stated goal of classifying interpersonal data in medicine to improve healthcare processes. By moving beyond simple provider-centric models to a “relational” framework, it directly addresses current informatics gaps in capturing subjective, social, and environmental factors central to patient-provider interactions.</w:t>
            </w:r>
          </w:p>
        </w:tc>
      </w:tr>
      <w:tr w:rsidR="00EB4ED6" w:rsidRPr="00732EED" w14:paraId="7657EFFD"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19EE551F" w14:textId="77777777" w:rsidR="00CF59AF" w:rsidRPr="00732EED" w:rsidRDefault="00CF59AF" w:rsidP="008E2192">
            <w:pPr>
              <w:jc w:val="right"/>
              <w:rPr>
                <w:color w:val="000000"/>
                <w:sz w:val="18"/>
                <w:szCs w:val="18"/>
              </w:rPr>
            </w:pPr>
            <w:r w:rsidRPr="00732EED">
              <w:rPr>
                <w:color w:val="000000"/>
                <w:sz w:val="18"/>
                <w:szCs w:val="18"/>
              </w:rPr>
              <w:lastRenderedPageBreak/>
              <w:t>33</w:t>
            </w:r>
          </w:p>
        </w:tc>
        <w:tc>
          <w:tcPr>
            <w:tcW w:w="1323" w:type="pct"/>
            <w:hideMark/>
          </w:tcPr>
          <w:p w14:paraId="67444559"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00" w:tgtFrame="_new" w:history="1">
              <w:r w:rsidR="00CF59AF" w:rsidRPr="00732EED">
                <w:rPr>
                  <w:color w:val="467886"/>
                  <w:sz w:val="18"/>
                  <w:szCs w:val="18"/>
                </w:rPr>
                <w:t>Marikar Bawa FL, Mercer SW, Sutton JW et al (2023) Mindfulness for people with chronic pain: factors affecting engagement and suggestions for programme optimization. Health Expect 26:1287–1307. https://doi.org/10.1111/hex.13745</w:t>
              </w:r>
            </w:hyperlink>
          </w:p>
        </w:tc>
        <w:tc>
          <w:tcPr>
            <w:tcW w:w="893" w:type="pct"/>
          </w:tcPr>
          <w:p w14:paraId="4125654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study used rigorous qualitative methods, including </w:t>
            </w:r>
            <w:r w:rsidRPr="00732EED">
              <w:rPr>
                <w:bCs/>
                <w:color w:val="000000"/>
                <w:sz w:val="18"/>
                <w:szCs w:val="18"/>
              </w:rPr>
              <w:t>Interpretative</w:t>
            </w:r>
            <w:r w:rsidRPr="00732EED">
              <w:rPr>
                <w:b/>
                <w:bCs/>
                <w:color w:val="000000"/>
                <w:sz w:val="18"/>
                <w:szCs w:val="18"/>
              </w:rPr>
              <w:t xml:space="preserve"> </w:t>
            </w:r>
            <w:r w:rsidRPr="00732EED">
              <w:rPr>
                <w:bCs/>
                <w:color w:val="000000"/>
                <w:sz w:val="18"/>
                <w:szCs w:val="18"/>
              </w:rPr>
              <w:t>Phenomenological Analysis (IPA)</w:t>
            </w:r>
            <w:r w:rsidRPr="00732EED">
              <w:rPr>
                <w:color w:val="000000"/>
                <w:sz w:val="18"/>
                <w:szCs w:val="18"/>
              </w:rPr>
              <w:t xml:space="preserve"> and consensus techniques like </w:t>
            </w:r>
            <w:r w:rsidRPr="00732EED">
              <w:rPr>
                <w:bCs/>
                <w:color w:val="000000"/>
                <w:sz w:val="18"/>
                <w:szCs w:val="18"/>
              </w:rPr>
              <w:t>nominal groups</w:t>
            </w:r>
            <w:r w:rsidRPr="00732EED">
              <w:rPr>
                <w:color w:val="000000"/>
                <w:sz w:val="18"/>
                <w:szCs w:val="18"/>
              </w:rPr>
              <w:t xml:space="preserve">. However, there was a significant </w:t>
            </w:r>
            <w:r w:rsidRPr="00732EED">
              <w:rPr>
                <w:bCs/>
                <w:color w:val="000000"/>
                <w:sz w:val="18"/>
                <w:szCs w:val="18"/>
              </w:rPr>
              <w:t>nine-year delay</w:t>
            </w:r>
            <w:r w:rsidRPr="00732EED">
              <w:rPr>
                <w:color w:val="000000"/>
                <w:sz w:val="18"/>
                <w:szCs w:val="18"/>
              </w:rPr>
              <w:t xml:space="preserve"> between data collection (2013-2014) and publication (2023), which the authors acknowledge may affect the current relevance of the findings. Additionally, the lead researcher’s role as a mindfulness practitioner introduced a risk of </w:t>
            </w:r>
            <w:r w:rsidRPr="00732EED">
              <w:rPr>
                <w:bCs/>
                <w:color w:val="000000"/>
                <w:sz w:val="18"/>
                <w:szCs w:val="18"/>
              </w:rPr>
              <w:t>bias</w:t>
            </w:r>
            <w:r w:rsidRPr="00732EED">
              <w:rPr>
                <w:color w:val="000000"/>
                <w:sz w:val="18"/>
                <w:szCs w:val="18"/>
              </w:rPr>
              <w:t>.</w:t>
            </w:r>
          </w:p>
          <w:p w14:paraId="52AB8852"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199993B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strongly supported by the underlying interview data, which used </w:t>
            </w:r>
            <w:r w:rsidRPr="00732EED">
              <w:rPr>
                <w:bCs/>
                <w:color w:val="000000"/>
                <w:sz w:val="18"/>
                <w:szCs w:val="18"/>
              </w:rPr>
              <w:t>verbatim transcriptions</w:t>
            </w:r>
            <w:r w:rsidRPr="00732EED">
              <w:rPr>
                <w:color w:val="000000"/>
                <w:sz w:val="18"/>
                <w:szCs w:val="18"/>
              </w:rPr>
              <w:t xml:space="preserve"> and </w:t>
            </w:r>
            <w:r w:rsidRPr="00732EED">
              <w:rPr>
                <w:bCs/>
                <w:color w:val="000000"/>
                <w:sz w:val="18"/>
                <w:szCs w:val="18"/>
              </w:rPr>
              <w:t>double-coding</w:t>
            </w:r>
            <w:r w:rsidRPr="00732EED">
              <w:rPr>
                <w:color w:val="000000"/>
                <w:sz w:val="18"/>
                <w:szCs w:val="18"/>
              </w:rPr>
              <w:t xml:space="preserve"> to ensure accuracy. The findings also showed high consistency with existing theoretical models of engagement, such as those by Holdsworth and Banerjee.</w:t>
            </w:r>
          </w:p>
          <w:p w14:paraId="33C4E332"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234CB77A" w14:textId="43BCB840"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While the initial interview data was rich (34 participants), the final </w:t>
            </w:r>
            <w:r w:rsidR="00B93F1C" w:rsidRPr="00732EED">
              <w:rPr>
                <w:color w:val="000000"/>
                <w:sz w:val="18"/>
                <w:szCs w:val="18"/>
              </w:rPr>
              <w:t>Phase</w:t>
            </w:r>
            <w:r w:rsidRPr="00732EED">
              <w:rPr>
                <w:color w:val="000000"/>
                <w:sz w:val="18"/>
                <w:szCs w:val="18"/>
              </w:rPr>
              <w:t xml:space="preserve"> of generating modifications suffered from </w:t>
            </w:r>
            <w:r w:rsidRPr="00732EED">
              <w:rPr>
                <w:bCs/>
                <w:color w:val="000000"/>
                <w:sz w:val="18"/>
                <w:szCs w:val="18"/>
              </w:rPr>
              <w:t>low participation</w:t>
            </w:r>
            <w:r w:rsidRPr="00732EED">
              <w:rPr>
                <w:color w:val="000000"/>
                <w:sz w:val="18"/>
                <w:szCs w:val="18"/>
              </w:rPr>
              <w:t xml:space="preserve">. Only </w:t>
            </w:r>
            <w:r w:rsidRPr="00732EED">
              <w:rPr>
                <w:bCs/>
                <w:color w:val="000000"/>
                <w:sz w:val="18"/>
                <w:szCs w:val="18"/>
              </w:rPr>
              <w:t>17% of invited service users</w:t>
            </w:r>
            <w:r w:rsidRPr="00732EED">
              <w:rPr>
                <w:color w:val="000000"/>
                <w:sz w:val="18"/>
                <w:szCs w:val="18"/>
              </w:rPr>
              <w:t xml:space="preserve"> (4 individuals) participated in the focus group or provided feedback, which limits the breadth of the data supporting the final recommendations. </w:t>
            </w:r>
          </w:p>
        </w:tc>
        <w:tc>
          <w:tcPr>
            <w:tcW w:w="840" w:type="pct"/>
          </w:tcPr>
          <w:p w14:paraId="512793A5"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study is directly applicable to the review question as it specifically investigates </w:t>
            </w:r>
            <w:r w:rsidRPr="00732EED">
              <w:rPr>
                <w:bCs/>
                <w:color w:val="000000"/>
                <w:sz w:val="18"/>
                <w:szCs w:val="18"/>
              </w:rPr>
              <w:t>people with chronic pain</w:t>
            </w:r>
            <w:r w:rsidRPr="00732EED">
              <w:rPr>
                <w:color w:val="000000"/>
                <w:sz w:val="18"/>
                <w:szCs w:val="18"/>
              </w:rPr>
              <w:t xml:space="preserve"> and focuses on </w:t>
            </w:r>
            <w:r w:rsidRPr="00732EED">
              <w:rPr>
                <w:bCs/>
                <w:color w:val="000000"/>
                <w:sz w:val="18"/>
                <w:szCs w:val="18"/>
              </w:rPr>
              <w:t>engagement barriers</w:t>
            </w:r>
            <w:r w:rsidRPr="00732EED">
              <w:rPr>
                <w:color w:val="000000"/>
                <w:sz w:val="18"/>
                <w:szCs w:val="18"/>
              </w:rPr>
              <w:t xml:space="preserve"> and </w:t>
            </w:r>
            <w:r w:rsidRPr="00732EED">
              <w:rPr>
                <w:bCs/>
                <w:color w:val="000000"/>
                <w:sz w:val="18"/>
                <w:szCs w:val="18"/>
              </w:rPr>
              <w:t>program optimization</w:t>
            </w:r>
            <w:r w:rsidRPr="00732EED">
              <w:rPr>
                <w:color w:val="000000"/>
                <w:sz w:val="18"/>
                <w:szCs w:val="18"/>
              </w:rPr>
              <w:t>. The recruitment from general medical practices ensures the context is highly relevant to primary care pain management.</w:t>
            </w:r>
          </w:p>
        </w:tc>
      </w:tr>
      <w:tr w:rsidR="00EB4ED6" w:rsidRPr="00732EED" w14:paraId="406879A1"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269EAEF4" w14:textId="77777777" w:rsidR="00CF59AF" w:rsidRPr="00732EED" w:rsidRDefault="00CF59AF" w:rsidP="008E2192">
            <w:pPr>
              <w:jc w:val="right"/>
              <w:rPr>
                <w:color w:val="000000"/>
                <w:sz w:val="18"/>
                <w:szCs w:val="18"/>
              </w:rPr>
            </w:pPr>
            <w:r w:rsidRPr="00732EED">
              <w:rPr>
                <w:color w:val="000000"/>
                <w:sz w:val="18"/>
                <w:szCs w:val="18"/>
              </w:rPr>
              <w:t>34</w:t>
            </w:r>
          </w:p>
        </w:tc>
        <w:tc>
          <w:tcPr>
            <w:tcW w:w="1323" w:type="pct"/>
            <w:hideMark/>
          </w:tcPr>
          <w:p w14:paraId="30AA8BCD"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01" w:tgtFrame="_new" w:history="1">
              <w:r w:rsidR="00CF59AF" w:rsidRPr="00732EED">
                <w:rPr>
                  <w:color w:val="467886"/>
                  <w:sz w:val="18"/>
                  <w:szCs w:val="18"/>
                </w:rPr>
                <w:t>Min B, Allen-Scott LK, Buntain B (2013) Transdisciplinary research for complex One Health issues: a scoping review of key concepts. Prev Vet Med 112:222–229. https://doi.org/10.1016/j.prevetmed.2013.09.010</w:t>
              </w:r>
            </w:hyperlink>
          </w:p>
        </w:tc>
        <w:tc>
          <w:tcPr>
            <w:tcW w:w="893" w:type="pct"/>
          </w:tcPr>
          <w:p w14:paraId="19C2040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review employed a structured scoping review methodology, including dual-reviewer data charting and thematic analysis. However, the search was limited to English-language peer-reviewed articles from only three databases, and the study selection resulted in a relatively small sample size (n=16).</w:t>
            </w:r>
          </w:p>
          <w:p w14:paraId="432232A0"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11FCFE0B"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well-supported by the underlying data, with nine themes emerging consistently across the included literature. The authors effectively synthesized disparate definitions of Transdisciplinary (TD) and One Health (OH) to identify a core conceptual convergence.</w:t>
            </w:r>
          </w:p>
        </w:tc>
        <w:tc>
          <w:tcPr>
            <w:tcW w:w="841" w:type="pct"/>
          </w:tcPr>
          <w:p w14:paraId="31AA9E46"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While the data provided a rich thematic map, the authors noted a “paucity of peer-reviewed OH articles” that specifically evaluate the implementation and added value of TD approaches. The small number of included studies (n=16) reflects the emerging nature of the field rather than a failure of the search.</w:t>
            </w:r>
          </w:p>
        </w:tc>
        <w:tc>
          <w:tcPr>
            <w:tcW w:w="840" w:type="pct"/>
          </w:tcPr>
          <w:p w14:paraId="7986B8B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studies included were highly applicable to the review question, specifically focusing on TD approaches to complex health issues at the human-animal-ecosystem interface. The review directly addresses the challenges and successes of applying these frameworks in practice.</w:t>
            </w:r>
          </w:p>
        </w:tc>
      </w:tr>
      <w:tr w:rsidR="00EB4ED6" w:rsidRPr="00732EED" w14:paraId="591898DD"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30EDDCC" w14:textId="77777777" w:rsidR="00CF59AF" w:rsidRPr="00732EED" w:rsidRDefault="00CF59AF" w:rsidP="008E2192">
            <w:pPr>
              <w:jc w:val="right"/>
              <w:rPr>
                <w:color w:val="000000"/>
                <w:sz w:val="18"/>
                <w:szCs w:val="18"/>
              </w:rPr>
            </w:pPr>
            <w:r w:rsidRPr="00732EED">
              <w:rPr>
                <w:color w:val="000000"/>
                <w:sz w:val="18"/>
                <w:szCs w:val="18"/>
              </w:rPr>
              <w:t>35</w:t>
            </w:r>
          </w:p>
        </w:tc>
        <w:tc>
          <w:tcPr>
            <w:tcW w:w="1323" w:type="pct"/>
            <w:hideMark/>
          </w:tcPr>
          <w:p w14:paraId="6C5F9973"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02" w:tgtFrame="_new" w:history="1">
              <w:r w:rsidR="00CF59AF" w:rsidRPr="00732EED">
                <w:rPr>
                  <w:color w:val="467886"/>
                  <w:sz w:val="18"/>
                  <w:szCs w:val="18"/>
                </w:rPr>
                <w:t>Mooney R, Dempsey C, Brown BJ et al (2023) Using participatory action research methods to address epistemic injustice within mental health research and the mental health system. Front Public Health 11:1075363. https://doi.org/10.3389/fpubh.2023.1075363</w:t>
              </w:r>
            </w:hyperlink>
          </w:p>
        </w:tc>
        <w:tc>
          <w:tcPr>
            <w:tcW w:w="893" w:type="pct"/>
          </w:tcPr>
          <w:p w14:paraId="2A8EAF6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paper is a perspective piece, not a clinical trial. While it clearly outlines the </w:t>
            </w:r>
            <w:r w:rsidRPr="00732EED">
              <w:rPr>
                <w:bCs/>
                <w:color w:val="000000"/>
                <w:sz w:val="18"/>
                <w:szCs w:val="18"/>
              </w:rPr>
              <w:t>photovoice methodology</w:t>
            </w:r>
            <w:r w:rsidRPr="00732EED">
              <w:rPr>
                <w:color w:val="000000"/>
                <w:sz w:val="18"/>
                <w:szCs w:val="18"/>
              </w:rPr>
              <w:t xml:space="preserve"> and ethics, the authors admit to limitations in co-facilitation due to restricted resources and time. </w:t>
            </w:r>
          </w:p>
          <w:p w14:paraId="3EEC4FCC"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0ABE1A3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highly consistent with the theoretical framework of </w:t>
            </w:r>
            <w:r w:rsidRPr="00732EED">
              <w:rPr>
                <w:bCs/>
                <w:color w:val="000000"/>
                <w:sz w:val="18"/>
                <w:szCs w:val="18"/>
              </w:rPr>
              <w:t>epistemic injustice</w:t>
            </w:r>
            <w:r w:rsidRPr="00732EED">
              <w:rPr>
                <w:color w:val="000000"/>
                <w:sz w:val="18"/>
                <w:szCs w:val="18"/>
              </w:rPr>
              <w:t>. The use of creative methods like photo-elicitation directly supports the goal of capturing authentic “experience data” that traditional methods might miss.</w:t>
            </w:r>
          </w:p>
          <w:p w14:paraId="3A010A1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54ED318E"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paper provides a rich description of the </w:t>
            </w:r>
            <w:r w:rsidRPr="00732EED">
              <w:rPr>
                <w:bCs/>
                <w:color w:val="000000"/>
                <w:sz w:val="18"/>
                <w:szCs w:val="18"/>
              </w:rPr>
              <w:t>three-workshop process</w:t>
            </w:r>
            <w:r w:rsidRPr="00732EED">
              <w:rPr>
                <w:color w:val="000000"/>
                <w:sz w:val="18"/>
                <w:szCs w:val="18"/>
              </w:rPr>
              <w:t xml:space="preserve"> and team structure. However, it explicitly states it does </w:t>
            </w:r>
            <w:r w:rsidRPr="00732EED">
              <w:rPr>
                <w:bCs/>
                <w:color w:val="000000"/>
                <w:sz w:val="18"/>
                <w:szCs w:val="18"/>
              </w:rPr>
              <w:t>not</w:t>
            </w:r>
            <w:r w:rsidRPr="00732EED">
              <w:rPr>
                <w:color w:val="000000"/>
                <w:sz w:val="18"/>
                <w:szCs w:val="18"/>
              </w:rPr>
              <w:t xml:space="preserve"> discuss the actual research findings/results, focusing instead on the procedural “how-to” of the methodology.</w:t>
            </w:r>
          </w:p>
          <w:p w14:paraId="2A92F19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0" w:type="pct"/>
          </w:tcPr>
          <w:p w14:paraId="624A57D6"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paper is directly relevant to its stated goal: addressing </w:t>
            </w:r>
            <w:r w:rsidRPr="00732EED">
              <w:rPr>
                <w:bCs/>
                <w:color w:val="000000"/>
                <w:sz w:val="18"/>
                <w:szCs w:val="18"/>
              </w:rPr>
              <w:t>epistemic injustice</w:t>
            </w:r>
            <w:r w:rsidRPr="00732EED">
              <w:rPr>
                <w:color w:val="000000"/>
                <w:sz w:val="18"/>
                <w:szCs w:val="18"/>
              </w:rPr>
              <w:t xml:space="preserve"> in mental health. It focuses specifically on racialized communities and those detained under the </w:t>
            </w:r>
            <w:r w:rsidRPr="00732EED">
              <w:rPr>
                <w:bCs/>
                <w:color w:val="000000"/>
                <w:sz w:val="18"/>
                <w:szCs w:val="18"/>
              </w:rPr>
              <w:t>Mental Health Act</w:t>
            </w:r>
            <w:r w:rsidRPr="00732EED">
              <w:rPr>
                <w:color w:val="000000"/>
                <w:sz w:val="18"/>
                <w:szCs w:val="18"/>
              </w:rPr>
              <w:t>, a group historically marginalized in research.</w:t>
            </w:r>
          </w:p>
        </w:tc>
      </w:tr>
      <w:tr w:rsidR="00EB4ED6" w:rsidRPr="00732EED" w14:paraId="355D26CD"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FAD343F" w14:textId="77777777" w:rsidR="00CF59AF" w:rsidRPr="00732EED" w:rsidRDefault="00CF59AF" w:rsidP="008E2192">
            <w:pPr>
              <w:jc w:val="right"/>
              <w:rPr>
                <w:color w:val="000000"/>
                <w:sz w:val="18"/>
                <w:szCs w:val="18"/>
              </w:rPr>
            </w:pPr>
            <w:r w:rsidRPr="00732EED">
              <w:rPr>
                <w:color w:val="000000"/>
                <w:sz w:val="18"/>
                <w:szCs w:val="18"/>
              </w:rPr>
              <w:lastRenderedPageBreak/>
              <w:t>36</w:t>
            </w:r>
          </w:p>
        </w:tc>
        <w:tc>
          <w:tcPr>
            <w:tcW w:w="1323" w:type="pct"/>
            <w:hideMark/>
          </w:tcPr>
          <w:p w14:paraId="52BA262F"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03" w:tgtFrame="_new" w:history="1">
              <w:r w:rsidR="00CF59AF" w:rsidRPr="00732EED">
                <w:rPr>
                  <w:color w:val="467886"/>
                  <w:sz w:val="18"/>
                  <w:szCs w:val="18"/>
                </w:rPr>
                <w:t>Murtagh S, McCombe G, Broughan J et al (2021) Integrating primary and secondary care to enhance chronic disease management: a scoping review. Int J Integr Care 21:4. https://doi.org/10.5334/ijic.5508</w:t>
              </w:r>
            </w:hyperlink>
          </w:p>
        </w:tc>
        <w:tc>
          <w:tcPr>
            <w:tcW w:w="893" w:type="pct"/>
          </w:tcPr>
          <w:p w14:paraId="4A57B5F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Low: The authors explicitly stated that, consistent with scoping review methodology, an assessment of methodological quality (or quality of evidence) was not performed for the included studies. </w:t>
            </w:r>
          </w:p>
          <w:p w14:paraId="21ED676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2BA3BE1F" w14:textId="1218C7FF"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findings are supported by a clear iterative six-</w:t>
            </w:r>
            <w:r w:rsidR="00B93F1C" w:rsidRPr="00732EED">
              <w:rPr>
                <w:color w:val="000000"/>
                <w:sz w:val="18"/>
                <w:szCs w:val="18"/>
              </w:rPr>
              <w:t>Phase</w:t>
            </w:r>
            <w:r w:rsidRPr="00732EED">
              <w:rPr>
                <w:color w:val="000000"/>
                <w:sz w:val="18"/>
                <w:szCs w:val="18"/>
              </w:rPr>
              <w:t xml:space="preserve"> framework. However, the paper acknowledges that results across the 22 included studies were mixed regarding clinical outcomes and cost-effectiveness, leading to uncertainty about the universal benefits of integrated care.</w:t>
            </w:r>
          </w:p>
        </w:tc>
        <w:tc>
          <w:tcPr>
            <w:tcW w:w="841" w:type="pct"/>
          </w:tcPr>
          <w:p w14:paraId="43C1627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review started with a large initial pool of 1,014 records, eventually narrowing down to 22 relevant studies after rigorous screening. These studies represent a wide range of healthcare systems (UK, Australia, Netherlands) and methodologies (RCTs, case studies, qualitative studies). </w:t>
            </w:r>
          </w:p>
        </w:tc>
        <w:tc>
          <w:tcPr>
            <w:tcW w:w="840" w:type="pct"/>
          </w:tcPr>
          <w:p w14:paraId="6CEC03D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studies were specifically selected based on their applicability to two-tiered healthcare systems similar to Ireland (EU, Canada, Australia) and focused precisely on the review's core question: the integration of primary and secondary care for chronic disease management. </w:t>
            </w:r>
          </w:p>
        </w:tc>
      </w:tr>
      <w:tr w:rsidR="00EB4ED6" w:rsidRPr="00732EED" w14:paraId="08D0741C"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1A66781" w14:textId="77777777" w:rsidR="00CF59AF" w:rsidRPr="00732EED" w:rsidRDefault="00CF59AF" w:rsidP="008E2192">
            <w:pPr>
              <w:jc w:val="right"/>
              <w:rPr>
                <w:color w:val="000000"/>
                <w:sz w:val="18"/>
                <w:szCs w:val="18"/>
              </w:rPr>
            </w:pPr>
            <w:r w:rsidRPr="00732EED">
              <w:rPr>
                <w:color w:val="000000"/>
                <w:sz w:val="18"/>
                <w:szCs w:val="18"/>
              </w:rPr>
              <w:t>37</w:t>
            </w:r>
          </w:p>
        </w:tc>
        <w:tc>
          <w:tcPr>
            <w:tcW w:w="1323" w:type="pct"/>
            <w:hideMark/>
          </w:tcPr>
          <w:p w14:paraId="77DDA251" w14:textId="77777777" w:rsidR="00CF59AF" w:rsidRPr="00732EED" w:rsidRDefault="00CF59AF" w:rsidP="00EB4ED6">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Nicolescu B (2010) </w:t>
            </w:r>
            <w:r w:rsidRPr="00732EED">
              <w:rPr>
                <w:i/>
                <w:iCs/>
                <w:color w:val="000000"/>
                <w:sz w:val="18"/>
                <w:szCs w:val="18"/>
              </w:rPr>
              <w:t xml:space="preserve">Methodology of </w:t>
            </w:r>
            <w:proofErr w:type="spellStart"/>
            <w:r w:rsidRPr="00732EED">
              <w:rPr>
                <w:i/>
                <w:iCs/>
                <w:color w:val="000000"/>
                <w:sz w:val="18"/>
                <w:szCs w:val="18"/>
              </w:rPr>
              <w:t>transdisciplinarity</w:t>
            </w:r>
            <w:proofErr w:type="spellEnd"/>
            <w:r w:rsidRPr="00732EED">
              <w:rPr>
                <w:i/>
                <w:iCs/>
                <w:color w:val="000000"/>
                <w:sz w:val="18"/>
                <w:szCs w:val="18"/>
              </w:rPr>
              <w:t>: levels of reality, logic of the included middle and complexity</w:t>
            </w:r>
            <w:r w:rsidRPr="00732EED">
              <w:rPr>
                <w:color w:val="000000"/>
                <w:sz w:val="18"/>
                <w:szCs w:val="18"/>
              </w:rPr>
              <w:t xml:space="preserve">. </w:t>
            </w:r>
            <w:proofErr w:type="spellStart"/>
            <w:r w:rsidRPr="00732EED">
              <w:rPr>
                <w:color w:val="000000"/>
                <w:sz w:val="18"/>
                <w:szCs w:val="18"/>
              </w:rPr>
              <w:t>Transdiscipl</w:t>
            </w:r>
            <w:proofErr w:type="spellEnd"/>
            <w:r w:rsidRPr="00732EED">
              <w:rPr>
                <w:color w:val="000000"/>
                <w:sz w:val="18"/>
                <w:szCs w:val="18"/>
              </w:rPr>
              <w:t xml:space="preserve"> J Eng Sci 1:17–32. (No DOI available)</w:t>
            </w:r>
          </w:p>
        </w:tc>
        <w:tc>
          <w:tcPr>
            <w:tcW w:w="893" w:type="pct"/>
          </w:tcPr>
          <w:p w14:paraId="0CA8F132"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paper is primarily a theoretical and philosophical treatise that establishes an axiomatic framework (Ontological, Logical, and Complexity axioms). While it identifies clear axioms derived from quantum physics and </w:t>
            </w:r>
            <w:proofErr w:type="spellStart"/>
            <w:r w:rsidRPr="00732EED">
              <w:rPr>
                <w:color w:val="000000"/>
                <w:sz w:val="18"/>
                <w:szCs w:val="18"/>
              </w:rPr>
              <w:t>Gödelian</w:t>
            </w:r>
            <w:proofErr w:type="spellEnd"/>
            <w:r w:rsidRPr="00732EED">
              <w:rPr>
                <w:color w:val="000000"/>
                <w:sz w:val="18"/>
                <w:szCs w:val="18"/>
              </w:rPr>
              <w:t xml:space="preserve"> logic, it explicitly states that these axioms cannot be demonstrated through formal deduction or mathematical proof. The “design” is robust for a philosophical model but lacks the empirical testing protocols typical of experimental papers. </w:t>
            </w:r>
          </w:p>
        </w:tc>
        <w:tc>
          <w:tcPr>
            <w:tcW w:w="957" w:type="pct"/>
          </w:tcPr>
          <w:p w14:paraId="4839B0B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highly coherent within the established transdisciplinary framework. The author demonstrates how the three axioms work together to create a unified, multi-referential structure of Reality. The logic is internally consistent, using the concept of the “Hidden Third” to resolve the Subject-Object binary of classical realism. It also aligns with external scientific findings like quantum mechanics and Gödel’s theorem.</w:t>
            </w:r>
          </w:p>
        </w:tc>
        <w:tc>
          <w:tcPr>
            <w:tcW w:w="841" w:type="pct"/>
          </w:tcPr>
          <w:p w14:paraId="683CC34D"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As a theoretical paper, the “data” consists of historical scientific developments, philosophical precedents, and logic. The author provides extensive references to quantum physics (Heisenberg) and philosophy (Husserl, Piaget) to support the levels of Reality concept. However, it does not present new “experimental” data, categorizing itself as “theoretical </w:t>
            </w:r>
            <w:proofErr w:type="spellStart"/>
            <w:r w:rsidRPr="00732EED">
              <w:rPr>
                <w:color w:val="000000"/>
                <w:sz w:val="18"/>
                <w:szCs w:val="18"/>
              </w:rPr>
              <w:t>transdisciplinarity</w:t>
            </w:r>
            <w:proofErr w:type="spellEnd"/>
            <w:r w:rsidRPr="00732EED">
              <w:rPr>
                <w:color w:val="000000"/>
                <w:sz w:val="18"/>
                <w:szCs w:val="18"/>
              </w:rPr>
              <w:t>” rather than “experimental”.</w:t>
            </w:r>
          </w:p>
          <w:p w14:paraId="7E1D5FF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0" w:type="pct"/>
          </w:tcPr>
          <w:p w14:paraId="47F7CF17"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highly relevant to its stated goal of understanding the “present world” and the “unity of knowledge”. It addresses critical contemporary issues such as the “war of definitions” between disciplines and the limitations of objective scientism in social and spiritual contexts. It provides a new taxonomy for academic disciplines that is applicable across both exact and human sciences.</w:t>
            </w:r>
          </w:p>
        </w:tc>
      </w:tr>
      <w:tr w:rsidR="00EB4ED6" w:rsidRPr="00732EED" w14:paraId="794C539E"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00305FA" w14:textId="77777777" w:rsidR="00CF59AF" w:rsidRPr="00732EED" w:rsidRDefault="00CF59AF" w:rsidP="008E2192">
            <w:pPr>
              <w:jc w:val="right"/>
              <w:rPr>
                <w:color w:val="000000"/>
                <w:sz w:val="18"/>
                <w:szCs w:val="18"/>
              </w:rPr>
            </w:pPr>
            <w:r w:rsidRPr="00732EED">
              <w:rPr>
                <w:color w:val="000000"/>
                <w:sz w:val="18"/>
                <w:szCs w:val="18"/>
              </w:rPr>
              <w:t>38</w:t>
            </w:r>
          </w:p>
        </w:tc>
        <w:tc>
          <w:tcPr>
            <w:tcW w:w="1323" w:type="pct"/>
            <w:hideMark/>
          </w:tcPr>
          <w:p w14:paraId="4F091D50"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04" w:tgtFrame="_new" w:history="1">
              <w:r w:rsidR="00CF59AF" w:rsidRPr="00732EED">
                <w:rPr>
                  <w:color w:val="467886"/>
                  <w:sz w:val="18"/>
                  <w:szCs w:val="18"/>
                </w:rPr>
                <w:t>Niño de Guzmán Quispe E, Martínez García L, Orrego Villagrán C et al (2021) The perspectives of patients with chronic diseases and their caregivers on self-management interventions: a scoping review of reviews. Patient 14:719–740. https://doi.org/10.1007/s40271-021-00514-2</w:t>
              </w:r>
            </w:hyperlink>
          </w:p>
        </w:tc>
        <w:tc>
          <w:tcPr>
            <w:tcW w:w="893" w:type="pct"/>
          </w:tcPr>
          <w:p w14:paraId="2BB6699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review followed established scoping review methodologies (Arksey and O’Malley) and PRISMA-</w:t>
            </w:r>
            <w:proofErr w:type="spellStart"/>
            <w:r w:rsidRPr="00732EED">
              <w:rPr>
                <w:color w:val="000000"/>
                <w:sz w:val="18"/>
                <w:szCs w:val="18"/>
              </w:rPr>
              <w:t>ScR</w:t>
            </w:r>
            <w:proofErr w:type="spellEnd"/>
            <w:r w:rsidRPr="00732EED">
              <w:rPr>
                <w:color w:val="000000"/>
                <w:sz w:val="18"/>
                <w:szCs w:val="18"/>
              </w:rPr>
              <w:t xml:space="preserve"> reporting guidelines. However, screening and data extraction were </w:t>
            </w:r>
            <w:r w:rsidRPr="00732EED">
              <w:rPr>
                <w:bCs/>
                <w:color w:val="000000"/>
                <w:sz w:val="18"/>
                <w:szCs w:val="18"/>
              </w:rPr>
              <w:t>not</w:t>
            </w:r>
            <w:r w:rsidRPr="00732EED">
              <w:rPr>
                <w:color w:val="000000"/>
                <w:sz w:val="18"/>
                <w:szCs w:val="18"/>
              </w:rPr>
              <w:t xml:space="preserve"> conducted by two reviewers independently, and the search was limited to English-language publications.</w:t>
            </w:r>
          </w:p>
          <w:p w14:paraId="0FFCC1E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6EA7C023"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Themes identified (e.g., social support, interaction with professionals) were </w:t>
            </w:r>
            <w:r w:rsidRPr="00732EED">
              <w:rPr>
                <w:bCs/>
                <w:color w:val="000000"/>
                <w:sz w:val="18"/>
                <w:szCs w:val="18"/>
              </w:rPr>
              <w:t>consistently identified across all four chronic diseases</w:t>
            </w:r>
            <w:r w:rsidRPr="00732EED">
              <w:rPr>
                <w:color w:val="000000"/>
                <w:sz w:val="18"/>
                <w:szCs w:val="18"/>
              </w:rPr>
              <w:t>. Findings remained robust regardless of the specific synthesis method (meta-ethnography, thematic analysis, etc.) used in the underlying reviews.</w:t>
            </w:r>
          </w:p>
        </w:tc>
        <w:tc>
          <w:tcPr>
            <w:tcW w:w="841" w:type="pct"/>
          </w:tcPr>
          <w:p w14:paraId="3482FD4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review included a very large volume of data, </w:t>
            </w:r>
            <w:proofErr w:type="spellStart"/>
            <w:r w:rsidRPr="00732EED">
              <w:rPr>
                <w:color w:val="000000"/>
                <w:sz w:val="18"/>
                <w:szCs w:val="18"/>
              </w:rPr>
              <w:t>synthesising</w:t>
            </w:r>
            <w:proofErr w:type="spellEnd"/>
            <w:r w:rsidRPr="00732EED">
              <w:rPr>
                <w:color w:val="000000"/>
                <w:sz w:val="18"/>
                <w:szCs w:val="18"/>
              </w:rPr>
              <w:t xml:space="preserve"> </w:t>
            </w:r>
            <w:r w:rsidRPr="00732EED">
              <w:rPr>
                <w:bCs/>
                <w:color w:val="000000"/>
                <w:sz w:val="18"/>
                <w:szCs w:val="18"/>
              </w:rPr>
              <w:t>148 reviews</w:t>
            </w:r>
            <w:r w:rsidRPr="00732EED">
              <w:rPr>
                <w:color w:val="000000"/>
                <w:sz w:val="18"/>
                <w:szCs w:val="18"/>
              </w:rPr>
              <w:t>. This provided a rich dataset covering various stakeholder perspectives (patients, informal caregivers, and healthcare professionals) across four high-priority conditions.</w:t>
            </w:r>
          </w:p>
          <w:p w14:paraId="203B11F7"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40" w:type="pct"/>
          </w:tcPr>
          <w:p w14:paraId="152CF8A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studies specifically addressed the review’s core question regarding </w:t>
            </w:r>
            <w:r w:rsidRPr="00732EED">
              <w:rPr>
                <w:bCs/>
                <w:color w:val="000000"/>
                <w:sz w:val="18"/>
                <w:szCs w:val="18"/>
              </w:rPr>
              <w:t>self-management (SM) perspectives</w:t>
            </w:r>
            <w:r w:rsidRPr="00732EED">
              <w:rPr>
                <w:color w:val="000000"/>
                <w:sz w:val="18"/>
                <w:szCs w:val="18"/>
              </w:rPr>
              <w:t>. The findings were directly applicable to the COMPAR-EU project’s goal of identifying patient-important outcomes and informing SM intervention design.</w:t>
            </w:r>
          </w:p>
        </w:tc>
      </w:tr>
      <w:tr w:rsidR="00EB4ED6" w:rsidRPr="00732EED" w14:paraId="6659BD4E"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030C7A4" w14:textId="77777777" w:rsidR="00CF59AF" w:rsidRPr="00732EED" w:rsidRDefault="00CF59AF" w:rsidP="008E2192">
            <w:pPr>
              <w:jc w:val="right"/>
              <w:rPr>
                <w:color w:val="000000"/>
                <w:sz w:val="18"/>
                <w:szCs w:val="18"/>
              </w:rPr>
            </w:pPr>
            <w:r w:rsidRPr="00732EED">
              <w:rPr>
                <w:color w:val="000000"/>
                <w:sz w:val="18"/>
                <w:szCs w:val="18"/>
              </w:rPr>
              <w:t>39</w:t>
            </w:r>
          </w:p>
        </w:tc>
        <w:tc>
          <w:tcPr>
            <w:tcW w:w="1323" w:type="pct"/>
            <w:hideMark/>
          </w:tcPr>
          <w:p w14:paraId="6A67A023"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05" w:tgtFrame="_new" w:history="1">
              <w:r w:rsidR="00CF59AF" w:rsidRPr="00732EED">
                <w:rPr>
                  <w:color w:val="467886"/>
                  <w:sz w:val="18"/>
                  <w:szCs w:val="18"/>
                </w:rPr>
                <w:t xml:space="preserve">Nizza IE, Smith JA, Kirkham JA (2022) Portraying improvement in the management of chronic pain: a multi-modal longitudinal </w:t>
              </w:r>
              <w:r w:rsidR="00CF59AF" w:rsidRPr="00732EED">
                <w:rPr>
                  <w:color w:val="467886"/>
                  <w:sz w:val="18"/>
                  <w:szCs w:val="18"/>
                </w:rPr>
                <w:lastRenderedPageBreak/>
                <w:t>interpretative phenomenological analysis study. Front Pain Res 3:901271. https://doi.org/10.3389/fpain.2022.901271</w:t>
              </w:r>
            </w:hyperlink>
          </w:p>
        </w:tc>
        <w:tc>
          <w:tcPr>
            <w:tcW w:w="893" w:type="pct"/>
          </w:tcPr>
          <w:p w14:paraId="24775C7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study uses a robust longitudinal Interpretative </w:t>
            </w:r>
            <w:r w:rsidRPr="00732EED">
              <w:rPr>
                <w:color w:val="000000"/>
                <w:sz w:val="18"/>
                <w:szCs w:val="18"/>
              </w:rPr>
              <w:lastRenderedPageBreak/>
              <w:t xml:space="preserve">Phenomenological Analysis (IPA) design with clear ethical approval and reflexive practices. However, the sample is small (3 specific cases highlighted for this trajectory) and limited to a specific demographic (women, aged 40-60, unemployed), which may limit broader generalizability. </w:t>
            </w:r>
          </w:p>
        </w:tc>
        <w:tc>
          <w:tcPr>
            <w:tcW w:w="957" w:type="pct"/>
          </w:tcPr>
          <w:p w14:paraId="122261B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strongly supported by multi-modal data, including participant-generated </w:t>
            </w:r>
            <w:r w:rsidRPr="00732EED">
              <w:rPr>
                <w:color w:val="000000"/>
                <w:sz w:val="18"/>
                <w:szCs w:val="18"/>
              </w:rPr>
              <w:lastRenderedPageBreak/>
              <w:t>drawings and verbatim interview transcripts. The “upward trajectory” is consistently demonstrated across all three cases (Olga, Monica, and Jane) through evolving imagery and narratives of regaining control.</w:t>
            </w:r>
          </w:p>
        </w:tc>
        <w:tc>
          <w:tcPr>
            <w:tcW w:w="841" w:type="pct"/>
          </w:tcPr>
          <w:p w14:paraId="4C0AD32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data is exceptionally rich, gathered at three distinct timepoints </w:t>
            </w:r>
            <w:r w:rsidRPr="00732EED">
              <w:rPr>
                <w:color w:val="000000"/>
                <w:sz w:val="18"/>
                <w:szCs w:val="18"/>
              </w:rPr>
              <w:lastRenderedPageBreak/>
              <w:t>over several months (longitudinal). Each interview lasted an average of 78 minutes, and the use of visual methods (drawings) provided deep experiential insights that narratives alone might miss.</w:t>
            </w:r>
          </w:p>
        </w:tc>
        <w:tc>
          <w:tcPr>
            <w:tcW w:w="840" w:type="pct"/>
          </w:tcPr>
          <w:p w14:paraId="5653C28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findings are highly applicable to clinical settings involving Pain </w:t>
            </w:r>
            <w:r w:rsidRPr="00732EED">
              <w:rPr>
                <w:color w:val="000000"/>
                <w:sz w:val="18"/>
                <w:szCs w:val="18"/>
              </w:rPr>
              <w:lastRenderedPageBreak/>
              <w:t>Management Programs (PMPs). However, because the study focuses on a very specific subset of participants who “wholeheartedly embraced” the program, it may be less relevant to patients who are resistant to such interventions or who fall into different “trajectories” not detailed in this specific paper.</w:t>
            </w:r>
          </w:p>
        </w:tc>
      </w:tr>
      <w:tr w:rsidR="00EB4ED6" w:rsidRPr="00732EED" w14:paraId="11249809"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BC04F80" w14:textId="77777777" w:rsidR="00CF59AF" w:rsidRPr="00732EED" w:rsidRDefault="00CF59AF" w:rsidP="008E2192">
            <w:pPr>
              <w:jc w:val="right"/>
              <w:rPr>
                <w:color w:val="000000"/>
                <w:sz w:val="18"/>
                <w:szCs w:val="18"/>
              </w:rPr>
            </w:pPr>
            <w:r w:rsidRPr="00732EED">
              <w:rPr>
                <w:color w:val="000000"/>
                <w:sz w:val="18"/>
                <w:szCs w:val="18"/>
              </w:rPr>
              <w:lastRenderedPageBreak/>
              <w:t>40</w:t>
            </w:r>
          </w:p>
        </w:tc>
        <w:tc>
          <w:tcPr>
            <w:tcW w:w="1323" w:type="pct"/>
            <w:hideMark/>
          </w:tcPr>
          <w:p w14:paraId="3BB6A623"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06" w:tgtFrame="_new" w:history="1">
              <w:r w:rsidR="00CF59AF" w:rsidRPr="00732EED">
                <w:rPr>
                  <w:color w:val="467886"/>
                  <w:sz w:val="18"/>
                  <w:szCs w:val="18"/>
                </w:rPr>
                <w:t>Pathiraja Rathnayaka Hitige N, Song T, Craig SJ et al (2024) An ontology-based approach for understanding appendicectomy processes and associated resources. Healthcare (Basel) 13:10. https://doi.org/10.3390/healthcare13010010</w:t>
              </w:r>
            </w:hyperlink>
          </w:p>
        </w:tc>
        <w:tc>
          <w:tcPr>
            <w:tcW w:w="893" w:type="pct"/>
          </w:tcPr>
          <w:p w14:paraId="69104EE0"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study employed the well-established </w:t>
            </w:r>
            <w:proofErr w:type="spellStart"/>
            <w:r w:rsidRPr="00732EED">
              <w:rPr>
                <w:bCs/>
                <w:color w:val="000000"/>
                <w:sz w:val="18"/>
                <w:szCs w:val="18"/>
              </w:rPr>
              <w:t>NeON</w:t>
            </w:r>
            <w:proofErr w:type="spellEnd"/>
            <w:r w:rsidRPr="00732EED">
              <w:rPr>
                <w:bCs/>
                <w:color w:val="000000"/>
                <w:sz w:val="18"/>
                <w:szCs w:val="18"/>
              </w:rPr>
              <w:t xml:space="preserve"> methodology</w:t>
            </w:r>
            <w:r w:rsidRPr="00732EED">
              <w:rPr>
                <w:color w:val="000000"/>
                <w:sz w:val="18"/>
                <w:szCs w:val="18"/>
              </w:rPr>
              <w:t xml:space="preserve"> for ontology development, which emphasizes collaboration and the reuse of existing resources. It included rigorous validation steps: </w:t>
            </w:r>
            <w:r w:rsidRPr="00732EED">
              <w:rPr>
                <w:bCs/>
                <w:color w:val="000000"/>
                <w:sz w:val="18"/>
                <w:szCs w:val="18"/>
              </w:rPr>
              <w:t>expert reviews</w:t>
            </w:r>
            <w:r w:rsidRPr="00732EED">
              <w:rPr>
                <w:color w:val="000000"/>
                <w:sz w:val="18"/>
                <w:szCs w:val="18"/>
              </w:rPr>
              <w:t xml:space="preserve">, technical checks via the </w:t>
            </w:r>
            <w:r w:rsidRPr="00732EED">
              <w:rPr>
                <w:bCs/>
                <w:color w:val="000000"/>
                <w:sz w:val="18"/>
                <w:szCs w:val="18"/>
              </w:rPr>
              <w:t>Ontology Pitfall Scanner</w:t>
            </w:r>
            <w:r w:rsidRPr="00732EED">
              <w:rPr>
                <w:color w:val="000000"/>
                <w:sz w:val="18"/>
                <w:szCs w:val="18"/>
              </w:rPr>
              <w:t xml:space="preserve">, and testing against </w:t>
            </w:r>
            <w:r w:rsidRPr="00732EED">
              <w:rPr>
                <w:bCs/>
                <w:color w:val="000000"/>
                <w:sz w:val="18"/>
                <w:szCs w:val="18"/>
              </w:rPr>
              <w:t>11 competency questions</w:t>
            </w:r>
            <w:r w:rsidRPr="00732EED">
              <w:rPr>
                <w:color w:val="000000"/>
                <w:sz w:val="18"/>
                <w:szCs w:val="18"/>
              </w:rPr>
              <w:t xml:space="preserve"> using SPARQL queries.</w:t>
            </w:r>
          </w:p>
          <w:p w14:paraId="31AED020"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1A7332EB"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findings are strongly supported by the underlying data. The ontology's logical consistency was confirmed by the </w:t>
            </w:r>
            <w:r w:rsidRPr="00732EED">
              <w:rPr>
                <w:bCs/>
                <w:color w:val="000000"/>
                <w:sz w:val="18"/>
                <w:szCs w:val="18"/>
              </w:rPr>
              <w:t>Pellet reasoner</w:t>
            </w:r>
            <w:r w:rsidRPr="00732EED">
              <w:rPr>
                <w:color w:val="000000"/>
                <w:sz w:val="18"/>
                <w:szCs w:val="18"/>
              </w:rPr>
              <w:t xml:space="preserve">. Furthermore, the model successfully answered all predefined competency questions and was validated through a practical </w:t>
            </w:r>
            <w:r w:rsidRPr="00732EED">
              <w:rPr>
                <w:bCs/>
                <w:color w:val="000000"/>
                <w:sz w:val="18"/>
                <w:szCs w:val="18"/>
              </w:rPr>
              <w:t>process mining project</w:t>
            </w:r>
            <w:r w:rsidRPr="00732EED">
              <w:rPr>
                <w:color w:val="000000"/>
                <w:sz w:val="18"/>
                <w:szCs w:val="18"/>
              </w:rPr>
              <w:t xml:space="preserve"> to ensure it accurately reflects real-world clinical workflows. </w:t>
            </w:r>
          </w:p>
        </w:tc>
        <w:tc>
          <w:tcPr>
            <w:tcW w:w="841" w:type="pct"/>
          </w:tcPr>
          <w:p w14:paraId="50752C4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researchers utilized a rich and high-quality dataset, including de-identified </w:t>
            </w:r>
            <w:r w:rsidRPr="00732EED">
              <w:rPr>
                <w:bCs/>
                <w:color w:val="000000"/>
                <w:sz w:val="18"/>
                <w:szCs w:val="18"/>
              </w:rPr>
              <w:t>EMR data from 3,943 patients</w:t>
            </w:r>
            <w:r w:rsidRPr="00732EED">
              <w:rPr>
                <w:color w:val="000000"/>
                <w:sz w:val="18"/>
                <w:szCs w:val="18"/>
              </w:rPr>
              <w:t xml:space="preserve"> across two hospitals. This was supplemented by extensive domain knowledge from </w:t>
            </w:r>
            <w:r w:rsidRPr="00732EED">
              <w:rPr>
                <w:bCs/>
                <w:color w:val="000000"/>
                <w:sz w:val="18"/>
                <w:szCs w:val="18"/>
              </w:rPr>
              <w:t>five existing ontologies</w:t>
            </w:r>
            <w:r w:rsidRPr="00732EED">
              <w:rPr>
                <w:color w:val="000000"/>
                <w:sz w:val="18"/>
                <w:szCs w:val="18"/>
              </w:rPr>
              <w:t>, clinical models (</w:t>
            </w:r>
            <w:proofErr w:type="spellStart"/>
            <w:r w:rsidRPr="00732EED">
              <w:rPr>
                <w:color w:val="000000"/>
                <w:sz w:val="18"/>
                <w:szCs w:val="18"/>
              </w:rPr>
              <w:t>OpenEHR</w:t>
            </w:r>
            <w:proofErr w:type="spellEnd"/>
            <w:r w:rsidRPr="00732EED">
              <w:rPr>
                <w:color w:val="000000"/>
                <w:sz w:val="18"/>
                <w:szCs w:val="18"/>
              </w:rPr>
              <w:t xml:space="preserve">, HL7 CIMI), and </w:t>
            </w:r>
            <w:r w:rsidRPr="00732EED">
              <w:rPr>
                <w:bCs/>
                <w:color w:val="000000"/>
                <w:sz w:val="18"/>
                <w:szCs w:val="18"/>
              </w:rPr>
              <w:t>Australian hospital guidelines</w:t>
            </w:r>
            <w:r w:rsidRPr="00732EED">
              <w:rPr>
                <w:color w:val="000000"/>
                <w:sz w:val="18"/>
                <w:szCs w:val="18"/>
              </w:rPr>
              <w:t>.</w:t>
            </w:r>
          </w:p>
        </w:tc>
        <w:tc>
          <w:tcPr>
            <w:tcW w:w="840" w:type="pct"/>
          </w:tcPr>
          <w:p w14:paraId="3A315207"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While the ontology is highly relevant and tailored to the specific context of </w:t>
            </w:r>
            <w:r w:rsidRPr="00732EED">
              <w:rPr>
                <w:bCs/>
                <w:color w:val="000000"/>
                <w:sz w:val="18"/>
                <w:szCs w:val="18"/>
              </w:rPr>
              <w:t>appendicectomy within the Australian public health system</w:t>
            </w:r>
            <w:r w:rsidRPr="00732EED">
              <w:rPr>
                <w:color w:val="000000"/>
                <w:sz w:val="18"/>
                <w:szCs w:val="18"/>
              </w:rPr>
              <w:t>, its direct applicability to other surgical procedures or different geographical healthcare contexts may require further adaptation.</w:t>
            </w:r>
          </w:p>
        </w:tc>
      </w:tr>
      <w:tr w:rsidR="00EB4ED6" w:rsidRPr="00732EED" w14:paraId="2C7A5B70"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43E93B4E" w14:textId="77777777" w:rsidR="00CF59AF" w:rsidRPr="00732EED" w:rsidRDefault="00CF59AF" w:rsidP="008E2192">
            <w:pPr>
              <w:jc w:val="right"/>
              <w:rPr>
                <w:color w:val="000000"/>
                <w:sz w:val="18"/>
                <w:szCs w:val="18"/>
              </w:rPr>
            </w:pPr>
            <w:r w:rsidRPr="00732EED">
              <w:rPr>
                <w:color w:val="000000"/>
                <w:sz w:val="18"/>
                <w:szCs w:val="18"/>
              </w:rPr>
              <w:t>41</w:t>
            </w:r>
          </w:p>
        </w:tc>
        <w:tc>
          <w:tcPr>
            <w:tcW w:w="1323" w:type="pct"/>
            <w:hideMark/>
          </w:tcPr>
          <w:p w14:paraId="6594F55A"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07" w:tgtFrame="_new" w:history="1">
              <w:r w:rsidR="00CF59AF" w:rsidRPr="00732EED">
                <w:rPr>
                  <w:color w:val="467886"/>
                  <w:sz w:val="18"/>
                  <w:szCs w:val="18"/>
                </w:rPr>
                <w:t>Pineo H, Turnbull ER, Davies M et al (2021) A new transdisciplinary research model to investigate and improve the health of the public. Health Promot Int 36:481–492. https://doi.org/10.1093/heapro/daaa125</w:t>
              </w:r>
            </w:hyperlink>
          </w:p>
        </w:tc>
        <w:tc>
          <w:tcPr>
            <w:tcW w:w="893" w:type="pct"/>
          </w:tcPr>
          <w:p w14:paraId="1E956B9E"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authors used a rigorous review and coding methodology with thematic analysis. However, the study has limitations such as excluding grey literature, unpublished research, and studies not indexed in Medline or written in English.</w:t>
            </w:r>
          </w:p>
        </w:tc>
        <w:tc>
          <w:tcPr>
            <w:tcW w:w="957" w:type="pct"/>
          </w:tcPr>
          <w:p w14:paraId="654E51C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findings are well-supported by the narrative synthesis of 29 included studies and expert feedback from 27 workshop participants and online questionnaire respondents. The model's development followed an iterative process to ensure consistency with both literature and practice. </w:t>
            </w:r>
          </w:p>
        </w:tc>
        <w:tc>
          <w:tcPr>
            <w:tcW w:w="841" w:type="pct"/>
          </w:tcPr>
          <w:p w14:paraId="08A4472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research utilized data from 29 peer-reviewed studies covering 93 unique disciplines. This was supplemented by qualitative data from a participatory workshop and an online questionnaire completed by experts in the field.</w:t>
            </w:r>
          </w:p>
        </w:tc>
        <w:tc>
          <w:tcPr>
            <w:tcW w:w="840" w:type="pct"/>
          </w:tcPr>
          <w:p w14:paraId="2149EF9F"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studies included in the review directly addressed a diverse range of health conditions and wider determinants of health, such as climate change and urbanization. The resulting model is specifically designed to guide future transdisciplinary health research. </w:t>
            </w:r>
          </w:p>
        </w:tc>
      </w:tr>
      <w:tr w:rsidR="00EB4ED6" w:rsidRPr="00732EED" w14:paraId="603A5DC0"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D12A5C3" w14:textId="77777777" w:rsidR="00CF59AF" w:rsidRPr="00732EED" w:rsidRDefault="00CF59AF" w:rsidP="008E2192">
            <w:pPr>
              <w:jc w:val="right"/>
              <w:rPr>
                <w:color w:val="000000"/>
                <w:sz w:val="18"/>
                <w:szCs w:val="18"/>
              </w:rPr>
            </w:pPr>
            <w:r w:rsidRPr="00732EED">
              <w:rPr>
                <w:color w:val="000000"/>
                <w:sz w:val="18"/>
                <w:szCs w:val="18"/>
              </w:rPr>
              <w:t>42</w:t>
            </w:r>
          </w:p>
        </w:tc>
        <w:tc>
          <w:tcPr>
            <w:tcW w:w="1323" w:type="pct"/>
            <w:hideMark/>
          </w:tcPr>
          <w:p w14:paraId="7F6E0E04"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08" w:tgtFrame="_new" w:history="1">
              <w:r w:rsidR="00CF59AF" w:rsidRPr="00732EED">
                <w:rPr>
                  <w:color w:val="467886"/>
                  <w:sz w:val="18"/>
                  <w:szCs w:val="18"/>
                </w:rPr>
                <w:t>Prophet J, Rahman R, Hassett L (2023) An online photovoice study designed by researchers from art and social work to better understand the experience of chronic pain by women of color. Am J Art Media Stud 28:69–89. https://doi.org/10.25038/am.v0i28.582</w:t>
              </w:r>
            </w:hyperlink>
          </w:p>
        </w:tc>
        <w:tc>
          <w:tcPr>
            <w:tcW w:w="893" w:type="pct"/>
          </w:tcPr>
          <w:p w14:paraId="3C1CAA1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study employed a robust, participatory design that was rigorously adapted for an online format due to the pandemic. It utilized a multidisciplinary advisory committee and an “Engagement Studio” with nine stakeholders to refine the </w:t>
            </w:r>
            <w:r w:rsidRPr="00732EED">
              <w:rPr>
                <w:color w:val="000000"/>
                <w:sz w:val="18"/>
                <w:szCs w:val="18"/>
              </w:rPr>
              <w:lastRenderedPageBreak/>
              <w:t>research design, recruitment, and accessibility. Potential biases were mitigated by having a lead facilitator who shared the participants' racial identity and experience with chronic pain.</w:t>
            </w:r>
          </w:p>
        </w:tc>
        <w:tc>
          <w:tcPr>
            <w:tcW w:w="957" w:type="pct"/>
          </w:tcPr>
          <w:p w14:paraId="32B6DB5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Findings are strongly supported by diverse data types, including visual (photographs), text-based (captions and chat threads), and video (transcribed discussions). The participants' own words and symbolic interpretations of their images (e.g., “Ms. Monica” and “Grace </w:t>
            </w:r>
            <w:r w:rsidRPr="00732EED">
              <w:rPr>
                <w:color w:val="000000"/>
                <w:sz w:val="18"/>
                <w:szCs w:val="18"/>
              </w:rPr>
              <w:lastRenderedPageBreak/>
              <w:t>Lee”) consistently align with the study's goal of making the hidden experience of pain visible.</w:t>
            </w:r>
          </w:p>
        </w:tc>
        <w:tc>
          <w:tcPr>
            <w:tcW w:w="841" w:type="pct"/>
          </w:tcPr>
          <w:p w14:paraId="2C09C3B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data is rich and multi-modal, capturing deep qualitative insights from twenty women of color. However, while the quality of engagement was high, the sample size is relatively small (20 participants), which is </w:t>
            </w:r>
            <w:r w:rsidRPr="00732EED">
              <w:rPr>
                <w:color w:val="000000"/>
                <w:sz w:val="18"/>
                <w:szCs w:val="18"/>
              </w:rPr>
              <w:lastRenderedPageBreak/>
              <w:t>typical for qualitative Photovoice studies but may limit broader statistical generalizations.</w:t>
            </w:r>
          </w:p>
        </w:tc>
        <w:tc>
          <w:tcPr>
            <w:tcW w:w="840" w:type="pct"/>
          </w:tcPr>
          <w:p w14:paraId="0DA724C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study is directly applicable to the context of healthcare disparities, specifically addressing the documented underdiagnosis and inadequate pain management for women of color. By focusing on “health equity as a hallmark </w:t>
            </w:r>
            <w:r w:rsidRPr="00732EED">
              <w:rPr>
                <w:color w:val="000000"/>
                <w:sz w:val="18"/>
                <w:szCs w:val="18"/>
              </w:rPr>
              <w:lastRenderedPageBreak/>
              <w:t>of social justice,” the findings are highly relevant to clinical practice and medical training.</w:t>
            </w:r>
          </w:p>
        </w:tc>
      </w:tr>
      <w:tr w:rsidR="00EB4ED6" w:rsidRPr="00732EED" w14:paraId="67A68628"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3A2B73D4" w14:textId="77777777" w:rsidR="00CF59AF" w:rsidRPr="00732EED" w:rsidRDefault="00CF59AF" w:rsidP="008E2192">
            <w:pPr>
              <w:jc w:val="right"/>
              <w:rPr>
                <w:color w:val="000000"/>
                <w:sz w:val="18"/>
                <w:szCs w:val="18"/>
              </w:rPr>
            </w:pPr>
            <w:r w:rsidRPr="00732EED">
              <w:rPr>
                <w:color w:val="000000"/>
                <w:sz w:val="18"/>
                <w:szCs w:val="18"/>
              </w:rPr>
              <w:lastRenderedPageBreak/>
              <w:t>43</w:t>
            </w:r>
          </w:p>
        </w:tc>
        <w:tc>
          <w:tcPr>
            <w:tcW w:w="1323" w:type="pct"/>
            <w:hideMark/>
          </w:tcPr>
          <w:p w14:paraId="30076721"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09" w:tgtFrame="_new" w:history="1">
              <w:r w:rsidR="00CF59AF" w:rsidRPr="00732EED">
                <w:rPr>
                  <w:color w:val="467886"/>
                  <w:sz w:val="18"/>
                  <w:szCs w:val="18"/>
                </w:rPr>
                <w:t>Pyysiäinen J (2021) Sociocultural affordances and enactment of agency: a transactional view. Theor Psychol 31:491–512. https://doi.org/10.1177/0959354321989431</w:t>
              </w:r>
            </w:hyperlink>
          </w:p>
        </w:tc>
        <w:tc>
          <w:tcPr>
            <w:tcW w:w="893" w:type="pct"/>
          </w:tcPr>
          <w:p w14:paraId="270C320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paper is a theoretical/conceptual article, not an empirical study. It lacks traditional methodological controls (e.g., sample, measures, intervention). However, it systematically reviews and synthesizes existing literature from ecological psychology, pragmatism, and social theory. The main limitation is the absence of empirical testing or systematic review protocol, but given the paper’s theoretical aim, this is not a fatal flaw.</w:t>
            </w:r>
          </w:p>
        </w:tc>
        <w:tc>
          <w:tcPr>
            <w:tcW w:w="957" w:type="pct"/>
          </w:tcPr>
          <w:p w14:paraId="19E83CF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argument is internally consistent and logically structured. The author clearly defines key concepts (</w:t>
            </w:r>
            <w:proofErr w:type="spellStart"/>
            <w:r w:rsidRPr="00732EED">
              <w:rPr>
                <w:color w:val="000000"/>
                <w:sz w:val="18"/>
                <w:szCs w:val="18"/>
              </w:rPr>
              <w:t>transactionalism</w:t>
            </w:r>
            <w:proofErr w:type="spellEnd"/>
            <w:r w:rsidRPr="00732EED">
              <w:rPr>
                <w:color w:val="000000"/>
                <w:sz w:val="18"/>
                <w:szCs w:val="18"/>
              </w:rPr>
              <w:t xml:space="preserve">, SCAs, agency), addresses apparent tensions (e.g., </w:t>
            </w:r>
            <w:proofErr w:type="spellStart"/>
            <w:r w:rsidRPr="00732EED">
              <w:rPr>
                <w:color w:val="000000"/>
                <w:sz w:val="18"/>
                <w:szCs w:val="18"/>
              </w:rPr>
              <w:t>enactivist</w:t>
            </w:r>
            <w:proofErr w:type="spellEnd"/>
            <w:r w:rsidRPr="00732EED">
              <w:rPr>
                <w:color w:val="000000"/>
                <w:sz w:val="18"/>
                <w:szCs w:val="18"/>
              </w:rPr>
              <w:t xml:space="preserve"> vs. phenomenological views), and integrates multiple theoretical strands (Gibson, Dewey, Mead, Peirce) into a coherent framework. The findings align well with cited sources.</w:t>
            </w:r>
          </w:p>
        </w:tc>
        <w:tc>
          <w:tcPr>
            <w:tcW w:w="841" w:type="pct"/>
          </w:tcPr>
          <w:p w14:paraId="7D77A452"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“Data” here refers to the range, quality, and relevance of cited theoretical and empirical sources. The paper draws on a broad set of peer-reviewed references (approx. 70 citations), including classic and contemporary works. However, it does not present new empirical data; support comes from conceptual reasoning and secondary sources. The richness is adequate for a theoretical paper but limited compared to empirical studies.</w:t>
            </w:r>
          </w:p>
        </w:tc>
        <w:tc>
          <w:tcPr>
            <w:tcW w:w="840" w:type="pct"/>
          </w:tcPr>
          <w:p w14:paraId="71E7E0C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directly relevant to the review question concerning sociocultural affordances and agency. It explicitly addresses how transactional perspectives clarify the SCA-agency nexus, including practical implications for understanding goal-directed action, habit, creativity, and social constraints. The focus on conceptual foundations and interdisciplinary applicability makes it highly relevant for theoretical reviews in ecological psychology, pragmatism, or social theory.</w:t>
            </w:r>
          </w:p>
        </w:tc>
      </w:tr>
      <w:tr w:rsidR="00EB4ED6" w:rsidRPr="00732EED" w14:paraId="31403673"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A75AD54" w14:textId="77777777" w:rsidR="00CF59AF" w:rsidRPr="00732EED" w:rsidRDefault="00CF59AF" w:rsidP="008E2192">
            <w:pPr>
              <w:jc w:val="right"/>
              <w:rPr>
                <w:color w:val="000000"/>
                <w:sz w:val="18"/>
                <w:szCs w:val="18"/>
              </w:rPr>
            </w:pPr>
            <w:r w:rsidRPr="00732EED">
              <w:rPr>
                <w:color w:val="000000"/>
                <w:sz w:val="18"/>
                <w:szCs w:val="18"/>
              </w:rPr>
              <w:t>44</w:t>
            </w:r>
          </w:p>
        </w:tc>
        <w:tc>
          <w:tcPr>
            <w:tcW w:w="1323" w:type="pct"/>
            <w:hideMark/>
          </w:tcPr>
          <w:p w14:paraId="0F8778F0"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10" w:tgtFrame="_new" w:history="1">
              <w:r w:rsidR="00CF59AF" w:rsidRPr="00732EED">
                <w:rPr>
                  <w:color w:val="467886"/>
                  <w:sz w:val="18"/>
                  <w:szCs w:val="18"/>
                </w:rPr>
                <w:t>Ramstead MJD, Veissière SPL, Kirmayer LJ (2016) Cultural affordances: scaffolding local worlds through shared intentionality and regimes of attention. Front Psychol 7:1090. https://doi.org/10.3389/fpsyg.2016.01090</w:t>
              </w:r>
            </w:hyperlink>
          </w:p>
        </w:tc>
        <w:tc>
          <w:tcPr>
            <w:tcW w:w="893" w:type="pct"/>
          </w:tcPr>
          <w:p w14:paraId="5B3747C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This is a theoretical synthesis paper rather than an empirical study. It follows standard philosophical and theoretical methodology by integrating established frameworks like the Free-Energy Principle, Predictive Processing, and Ecological Psychology. While it does not present new experimental data, it expertly synthesizes existing high-level theories into a novel, multi-level framework.</w:t>
            </w:r>
          </w:p>
        </w:tc>
        <w:tc>
          <w:tcPr>
            <w:tcW w:w="957" w:type="pct"/>
          </w:tcPr>
          <w:p w14:paraId="72C8BCA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displays strong internal coherence. The authors systematically bridge the gap between “basic minds” (contentless processes) and “higher-order” cultural cognition. The arguments are logically consistent with the underlying data from cognitive neuroscience and anthropology used to support the “cultural affordance” model.</w:t>
            </w:r>
          </w:p>
        </w:tc>
        <w:tc>
          <w:tcPr>
            <w:tcW w:w="841" w:type="pct"/>
          </w:tcPr>
          <w:p w14:paraId="19F986EB"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As an “Original Research” article in a theoretical journal, the “data” consists of extensive citations from diverse fields including computational neuroscience, phenomenology, and ethnographic studies. While the breadth of secondary data is vast, the confidence is “Moderate” only because the paper proposes a new </w:t>
            </w:r>
            <w:r w:rsidRPr="00732EED">
              <w:rPr>
                <w:iCs/>
                <w:color w:val="000000"/>
                <w:sz w:val="18"/>
                <w:szCs w:val="18"/>
              </w:rPr>
              <w:t>framework</w:t>
            </w:r>
            <w:r w:rsidRPr="00732EED">
              <w:rPr>
                <w:color w:val="000000"/>
                <w:sz w:val="18"/>
                <w:szCs w:val="18"/>
              </w:rPr>
              <w:t xml:space="preserve"> that still requires future empirical testing to validate its specific hypotheses.</w:t>
            </w:r>
          </w:p>
        </w:tc>
        <w:tc>
          <w:tcPr>
            <w:tcW w:w="840" w:type="pct"/>
          </w:tcPr>
          <w:p w14:paraId="14B9A6C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paper is highly relevant to the review question of how culture and biology interact. It provides a specific, multi-level account of affordance learning, such as how children acquire social biases by age 5 without explicit instruction, making it directly applicable to studies of enculturation and social cognition.</w:t>
            </w:r>
          </w:p>
        </w:tc>
      </w:tr>
      <w:tr w:rsidR="00EB4ED6" w:rsidRPr="00732EED" w14:paraId="674BF22F"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775B3EB" w14:textId="77777777" w:rsidR="00CF59AF" w:rsidRPr="00732EED" w:rsidRDefault="00CF59AF" w:rsidP="008E2192">
            <w:pPr>
              <w:jc w:val="right"/>
              <w:rPr>
                <w:color w:val="000000"/>
                <w:sz w:val="18"/>
                <w:szCs w:val="18"/>
              </w:rPr>
            </w:pPr>
            <w:r w:rsidRPr="00732EED">
              <w:rPr>
                <w:color w:val="000000"/>
                <w:sz w:val="18"/>
                <w:szCs w:val="18"/>
              </w:rPr>
              <w:lastRenderedPageBreak/>
              <w:t>45</w:t>
            </w:r>
          </w:p>
        </w:tc>
        <w:tc>
          <w:tcPr>
            <w:tcW w:w="1323" w:type="pct"/>
            <w:hideMark/>
          </w:tcPr>
          <w:p w14:paraId="4984058D"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11" w:tgtFrame="_new" w:history="1">
              <w:r w:rsidR="00CF59AF" w:rsidRPr="00732EED">
                <w:rPr>
                  <w:color w:val="467886"/>
                  <w:sz w:val="18"/>
                  <w:szCs w:val="18"/>
                </w:rPr>
                <w:t>Redwood D, Lanier A, Kemberling M et al (2010) Community-based participatory research in a large cohort study of chronic diseases among Alaska Native adults. Prog Community Health Partnersh 4:325–330. https://doi.org/10.1353/cpr.2010.0012</w:t>
              </w:r>
            </w:hyperlink>
          </w:p>
        </w:tc>
        <w:tc>
          <w:tcPr>
            <w:tcW w:w="893" w:type="pct"/>
          </w:tcPr>
          <w:p w14:paraId="68D5E17D"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study successfully used CBPR to achieve high recruitment (3,821 participants) and retention (88%). However, the authors explicitly state a limitation: there was </w:t>
            </w:r>
            <w:r w:rsidRPr="00732EED">
              <w:rPr>
                <w:bCs/>
                <w:color w:val="000000"/>
                <w:sz w:val="18"/>
                <w:szCs w:val="18"/>
              </w:rPr>
              <w:t>no formal evaluation</w:t>
            </w:r>
            <w:r w:rsidRPr="00732EED">
              <w:rPr>
                <w:color w:val="000000"/>
                <w:sz w:val="18"/>
                <w:szCs w:val="18"/>
              </w:rPr>
              <w:t xml:space="preserve"> of how successfully the team met CBPR goals, relying instead on process measures and anecdotal feedback.</w:t>
            </w:r>
          </w:p>
          <w:p w14:paraId="70386E7F"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3FF3E22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highly coherent with the study’s objectives. The data shows that sharing power (e.g., naming the study “EARTH”) and involving Tribal Health Organizations in protocol design (e.g., opting for finger sticks over blood draws) directly correlated with the reported high participant completion rates of over 95%.</w:t>
            </w:r>
          </w:p>
          <w:p w14:paraId="0A3851F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2DADD32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study provides robust quantitative data for a cohort of this nature, involving </w:t>
            </w:r>
            <w:r w:rsidRPr="00732EED">
              <w:rPr>
                <w:bCs/>
                <w:color w:val="000000"/>
                <w:sz w:val="18"/>
                <w:szCs w:val="18"/>
              </w:rPr>
              <w:t>26 Alaskan communities</w:t>
            </w:r>
            <w:r w:rsidRPr="00732EED">
              <w:rPr>
                <w:color w:val="000000"/>
                <w:sz w:val="18"/>
                <w:szCs w:val="18"/>
              </w:rPr>
              <w:t>. The richness of the data is supported by the use of audio-assisted computerized questionnaires and the generation of individualized 4-page health reports for thousands of participants.</w:t>
            </w:r>
          </w:p>
        </w:tc>
        <w:tc>
          <w:tcPr>
            <w:tcW w:w="840" w:type="pct"/>
          </w:tcPr>
          <w:p w14:paraId="008AC8F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directly relevant to the methodology of conducting research within indigenous populations. It addresses specific cultural and geographic contexts, such as the lack of banks or internet in remote areas, making it a primary resource for CBPR application in similar settings.</w:t>
            </w:r>
          </w:p>
        </w:tc>
      </w:tr>
      <w:tr w:rsidR="00EB4ED6" w:rsidRPr="00732EED" w14:paraId="231B8153"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6796E218" w14:textId="77777777" w:rsidR="00CF59AF" w:rsidRPr="00732EED" w:rsidRDefault="00CF59AF" w:rsidP="008E2192">
            <w:pPr>
              <w:jc w:val="right"/>
              <w:rPr>
                <w:color w:val="000000"/>
                <w:sz w:val="18"/>
                <w:szCs w:val="18"/>
              </w:rPr>
            </w:pPr>
            <w:r w:rsidRPr="00732EED">
              <w:rPr>
                <w:color w:val="000000"/>
                <w:sz w:val="18"/>
                <w:szCs w:val="18"/>
              </w:rPr>
              <w:t>46</w:t>
            </w:r>
          </w:p>
        </w:tc>
        <w:tc>
          <w:tcPr>
            <w:tcW w:w="1323" w:type="pct"/>
            <w:hideMark/>
          </w:tcPr>
          <w:p w14:paraId="226CA30A"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12" w:tgtFrame="_new" w:history="1">
              <w:r w:rsidR="00CF59AF" w:rsidRPr="00732EED">
                <w:rPr>
                  <w:color w:val="467886"/>
                  <w:sz w:val="18"/>
                  <w:szCs w:val="18"/>
                </w:rPr>
                <w:t>Rogger R, Bello C, Romero CS et al (2023) Cultural framing and the impact on acute pain and pain services. Curr Pain Headache Rep 27:429–436. https://doi.org/10.1007/s11916-023-01125-2</w:t>
              </w:r>
            </w:hyperlink>
          </w:p>
        </w:tc>
        <w:tc>
          <w:tcPr>
            <w:tcW w:w="893" w:type="pct"/>
          </w:tcPr>
          <w:p w14:paraId="3CB774D3"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Low: The review notes that many observed racial/ethnic differences in pain perception became non-significant after adjusting for socioeconomic, psychological, and physical health variables. Additionally, the definition of “culture” used in many studies is “loose,” “vague,” and “heterogeneous,” which can lead to oversimplification or categorization risks.</w:t>
            </w:r>
          </w:p>
        </w:tc>
        <w:tc>
          <w:tcPr>
            <w:tcW w:w="957" w:type="pct"/>
          </w:tcPr>
          <w:p w14:paraId="6509935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There is consistent evidence across multiple studies that Black, Hispanic, and Asian patients receive less pain medication than White patients. However, some findings are bidirectional or contradictory; for example, one study found no significant race/ethnicity interaction for opioid administration in emergency rooms.</w:t>
            </w:r>
          </w:p>
        </w:tc>
        <w:tc>
          <w:tcPr>
            <w:tcW w:w="841" w:type="pct"/>
          </w:tcPr>
          <w:p w14:paraId="3B66AF3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review draws from a very large pool of data, including a cross-sectional study of over 4.2 million patients and various meta-analyses. It covers biological (genetic), psychological, and sociological dimensions extensively.</w:t>
            </w:r>
          </w:p>
        </w:tc>
        <w:tc>
          <w:tcPr>
            <w:tcW w:w="840" w:type="pct"/>
          </w:tcPr>
          <w:p w14:paraId="6D5CFB24"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highly relevant to modern clinical practice, especially given increasing global migration and the need for personalized pain management in the context of the opioid endemic. It directly addresses the physician-patient relationship and institutional cultural competence.</w:t>
            </w:r>
          </w:p>
        </w:tc>
      </w:tr>
      <w:tr w:rsidR="00EB4ED6" w:rsidRPr="00732EED" w14:paraId="3EE2D8D0"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713D20B2" w14:textId="77777777" w:rsidR="00CF59AF" w:rsidRPr="00732EED" w:rsidRDefault="00CF59AF" w:rsidP="008E2192">
            <w:pPr>
              <w:jc w:val="right"/>
              <w:rPr>
                <w:color w:val="000000"/>
                <w:sz w:val="18"/>
                <w:szCs w:val="18"/>
              </w:rPr>
            </w:pPr>
            <w:r w:rsidRPr="00732EED">
              <w:rPr>
                <w:color w:val="000000"/>
                <w:sz w:val="18"/>
                <w:szCs w:val="18"/>
              </w:rPr>
              <w:t>47</w:t>
            </w:r>
          </w:p>
        </w:tc>
        <w:tc>
          <w:tcPr>
            <w:tcW w:w="1323" w:type="pct"/>
            <w:hideMark/>
          </w:tcPr>
          <w:p w14:paraId="511C3ACF"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13" w:tgtFrame="_new" w:history="1">
              <w:r w:rsidR="00CF59AF" w:rsidRPr="00732EED">
                <w:rPr>
                  <w:color w:val="467886"/>
                  <w:sz w:val="18"/>
                  <w:szCs w:val="18"/>
                </w:rPr>
                <w:t>Rosenzweig S, Greeson JM, Reibel DK et al (2010) Mindfulness-based stress reduction for chronic pain conditions: variation in treatment outcomes and role of home meditation practice. J Psychosom Res 68:29–36. https://doi.org/10.1016/j.jpsychores.2009.03.010</w:t>
              </w:r>
            </w:hyperlink>
          </w:p>
        </w:tc>
        <w:tc>
          <w:tcPr>
            <w:tcW w:w="893" w:type="pct"/>
          </w:tcPr>
          <w:p w14:paraId="4308F1A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study used a prospective cohort design rather than a randomized controlled trial (RCT), which limits the ability to definitively attribute changes solely to MBSR. There was no control group, and the data relied on self-report measures (SF-36, SCL-90-R) which can be subject to bias. However, it followed a standardized 8-week curriculum and utilized established psychometric tools.</w:t>
            </w:r>
          </w:p>
        </w:tc>
        <w:tc>
          <w:tcPr>
            <w:tcW w:w="957" w:type="pct"/>
          </w:tcPr>
          <w:p w14:paraId="492ADD45"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highly consistent with existing literature. The study notes that its results, showing significant improvements in pain and psychological distress across various conditions, align with prior research on MBSR for chronic pain. The observed correlation between home practice and specific outcomes also supports the theoretical model of the intervention.</w:t>
            </w:r>
          </w:p>
        </w:tc>
        <w:tc>
          <w:tcPr>
            <w:tcW w:w="841" w:type="pct"/>
          </w:tcPr>
          <w:p w14:paraId="0C777ED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study analyzed a substantial sample of 133 chronic pain patients nested within a larger cohort of 450. The longitudinal data collection spanned from 1997 to 2003, providing a robust timeframe for gathering evidence across multiple diagnostic subgroups (arthritis, back/neck pain, fibromyalgia, etc.).</w:t>
            </w:r>
          </w:p>
        </w:tc>
        <w:tc>
          <w:tcPr>
            <w:tcW w:w="840" w:type="pct"/>
          </w:tcPr>
          <w:p w14:paraId="5F4A426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study is directly relevant to the clinical application of MBSR in real-world settings. By using a medically heterogeneous community population, it mirrors how MBSR programs are typically delivered in integrative medicine centers, making the findings highly applicable to practitioners and patients in these contexts.</w:t>
            </w:r>
          </w:p>
        </w:tc>
      </w:tr>
      <w:tr w:rsidR="00EB4ED6" w:rsidRPr="00732EED" w14:paraId="37587566"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FA48A84" w14:textId="77777777" w:rsidR="00CF59AF" w:rsidRPr="00732EED" w:rsidRDefault="00CF59AF" w:rsidP="008E2192">
            <w:pPr>
              <w:jc w:val="right"/>
              <w:rPr>
                <w:color w:val="000000"/>
                <w:sz w:val="18"/>
                <w:szCs w:val="18"/>
              </w:rPr>
            </w:pPr>
            <w:r w:rsidRPr="00732EED">
              <w:rPr>
                <w:color w:val="000000"/>
                <w:sz w:val="18"/>
                <w:szCs w:val="18"/>
              </w:rPr>
              <w:t>48</w:t>
            </w:r>
          </w:p>
        </w:tc>
        <w:tc>
          <w:tcPr>
            <w:tcW w:w="1323" w:type="pct"/>
            <w:hideMark/>
          </w:tcPr>
          <w:p w14:paraId="0662B376" w14:textId="77777777" w:rsidR="00CF59AF" w:rsidRPr="00732EED" w:rsidRDefault="00CF59AF" w:rsidP="00EB4ED6">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Rovetto RJ, Mizoguchi R (2015) </w:t>
            </w:r>
            <w:r w:rsidRPr="00732EED">
              <w:rPr>
                <w:i/>
                <w:iCs/>
                <w:color w:val="000000"/>
                <w:sz w:val="18"/>
                <w:szCs w:val="18"/>
              </w:rPr>
              <w:t>Causality and the ontology of disease</w:t>
            </w:r>
            <w:r w:rsidRPr="00732EED">
              <w:rPr>
                <w:color w:val="000000"/>
                <w:sz w:val="18"/>
                <w:szCs w:val="18"/>
              </w:rPr>
              <w:t xml:space="preserve">. Appl </w:t>
            </w:r>
            <w:proofErr w:type="spellStart"/>
            <w:r w:rsidRPr="00732EED">
              <w:rPr>
                <w:color w:val="000000"/>
                <w:sz w:val="18"/>
                <w:szCs w:val="18"/>
              </w:rPr>
              <w:t>Ontol</w:t>
            </w:r>
            <w:proofErr w:type="spellEnd"/>
            <w:r w:rsidRPr="00732EED">
              <w:rPr>
                <w:color w:val="000000"/>
                <w:sz w:val="18"/>
                <w:szCs w:val="18"/>
              </w:rPr>
              <w:t xml:space="preserve"> 10:79–105.</w:t>
            </w:r>
          </w:p>
        </w:tc>
        <w:tc>
          <w:tcPr>
            <w:tcW w:w="893" w:type="pct"/>
          </w:tcPr>
          <w:p w14:paraId="138B709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paper follows established formal ontological methods, adopting top-level categories (Endurant/</w:t>
            </w:r>
            <w:proofErr w:type="spellStart"/>
            <w:r w:rsidRPr="00732EED">
              <w:rPr>
                <w:color w:val="000000"/>
                <w:sz w:val="18"/>
                <w:szCs w:val="18"/>
              </w:rPr>
              <w:t>Perdurant</w:t>
            </w:r>
            <w:proofErr w:type="spellEnd"/>
            <w:r w:rsidRPr="00732EED">
              <w:rPr>
                <w:color w:val="000000"/>
                <w:sz w:val="18"/>
                <w:szCs w:val="18"/>
              </w:rPr>
              <w:t xml:space="preserve">) from recognized foundations like </w:t>
            </w:r>
            <w:r w:rsidRPr="00732EED">
              <w:rPr>
                <w:color w:val="000000"/>
                <w:sz w:val="18"/>
                <w:szCs w:val="18"/>
              </w:rPr>
              <w:lastRenderedPageBreak/>
              <w:t>BFO and DOLCE. However, the authors admit the models are still under development, no claims to completeness are made, and some areas, like causal feedback mechanisms, are explicitly excluded from the current scope.</w:t>
            </w:r>
          </w:p>
        </w:tc>
        <w:tc>
          <w:tcPr>
            <w:tcW w:w="957" w:type="pct"/>
          </w:tcPr>
          <w:p w14:paraId="676BFA18"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logically consistent with the authors' goal of integrating causality into disease representation. The paper successfully demonstrates how the "River Flow Model" </w:t>
            </w:r>
            <w:r w:rsidRPr="00732EED">
              <w:rPr>
                <w:color w:val="000000"/>
                <w:sz w:val="18"/>
                <w:szCs w:val="18"/>
              </w:rPr>
              <w:lastRenderedPageBreak/>
              <w:t>(RFM) aligns with clinical intuitions while maintaining technical coherence with the YAMATO upper-level ontology.</w:t>
            </w:r>
          </w:p>
          <w:p w14:paraId="34665A5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41" w:type="pct"/>
          </w:tcPr>
          <w:p w14:paraId="55A56DF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As a theoretical and philosophical paper, the “data” consists of existing ontological theories and logical axioms. While it provides robust formal </w:t>
            </w:r>
            <w:r w:rsidRPr="00732EED">
              <w:rPr>
                <w:color w:val="000000"/>
                <w:sz w:val="18"/>
                <w:szCs w:val="18"/>
              </w:rPr>
              <w:lastRenderedPageBreak/>
              <w:t>descriptions and references established projects like the Japan Medical Ontology Development Project, it lacks empirical validation or large-scale clinical implementation data within this specific text.</w:t>
            </w:r>
          </w:p>
        </w:tc>
        <w:tc>
          <w:tcPr>
            <w:tcW w:w="840" w:type="pct"/>
          </w:tcPr>
          <w:p w14:paraId="46795256"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paper is highly relevant to the field of biomedical informatics and </w:t>
            </w:r>
            <w:proofErr w:type="spellStart"/>
            <w:r w:rsidRPr="00732EED">
              <w:rPr>
                <w:color w:val="000000"/>
                <w:sz w:val="18"/>
                <w:szCs w:val="18"/>
              </w:rPr>
              <w:t>biocuration</w:t>
            </w:r>
            <w:proofErr w:type="spellEnd"/>
            <w:r w:rsidRPr="00732EED">
              <w:rPr>
                <w:color w:val="000000"/>
                <w:sz w:val="18"/>
                <w:szCs w:val="18"/>
              </w:rPr>
              <w:t xml:space="preserve">. It addresses a critical gap in existing ontologies, the explicit </w:t>
            </w:r>
            <w:r w:rsidRPr="00732EED">
              <w:rPr>
                <w:color w:val="000000"/>
                <w:sz w:val="18"/>
                <w:szCs w:val="18"/>
              </w:rPr>
              <w:lastRenderedPageBreak/>
              <w:t>formalization of causal chains in disease, which is essential for automated reasoning and clinical decision support.</w:t>
            </w:r>
          </w:p>
        </w:tc>
      </w:tr>
      <w:tr w:rsidR="00EB4ED6" w:rsidRPr="00732EED" w14:paraId="6AEF534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79CA0D2" w14:textId="77777777" w:rsidR="00CF59AF" w:rsidRPr="00732EED" w:rsidRDefault="00CF59AF" w:rsidP="008E2192">
            <w:pPr>
              <w:jc w:val="right"/>
              <w:rPr>
                <w:color w:val="000000"/>
                <w:sz w:val="18"/>
                <w:szCs w:val="18"/>
              </w:rPr>
            </w:pPr>
            <w:r w:rsidRPr="00732EED">
              <w:rPr>
                <w:color w:val="000000"/>
                <w:sz w:val="18"/>
                <w:szCs w:val="18"/>
              </w:rPr>
              <w:lastRenderedPageBreak/>
              <w:t>49</w:t>
            </w:r>
          </w:p>
        </w:tc>
        <w:tc>
          <w:tcPr>
            <w:tcW w:w="1323" w:type="pct"/>
            <w:hideMark/>
          </w:tcPr>
          <w:p w14:paraId="2ED27F2B"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14" w:tgtFrame="_new" w:history="1">
              <w:r w:rsidR="00CF59AF" w:rsidRPr="00732EED">
                <w:rPr>
                  <w:color w:val="467886"/>
                  <w:sz w:val="18"/>
                  <w:szCs w:val="18"/>
                </w:rPr>
                <w:t>Seibt J (2018) Ontological tools for the process turn in biology. In: Nicholson DJ, Dupré J (eds) Everything flows: towards a processual philosophy of biology. Oxford University Press. https://doi.org/10.1093/oso/9780198779636.003.0006</w:t>
              </w:r>
            </w:hyperlink>
          </w:p>
        </w:tc>
        <w:tc>
          <w:tcPr>
            <w:tcW w:w="893" w:type="pct"/>
          </w:tcPr>
          <w:p w14:paraId="5C65572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paper employs a rigorous, axiomatic approach. It formally defines a </w:t>
            </w:r>
            <w:r w:rsidRPr="00732EED">
              <w:rPr>
                <w:bCs/>
                <w:color w:val="000000"/>
                <w:sz w:val="18"/>
                <w:szCs w:val="18"/>
              </w:rPr>
              <w:t>levelled mereology (LEM)</w:t>
            </w:r>
            <w:r w:rsidRPr="00732EED">
              <w:rPr>
                <w:color w:val="000000"/>
                <w:sz w:val="18"/>
                <w:szCs w:val="18"/>
              </w:rPr>
              <w:t xml:space="preserve"> with precise logical properties (irreflexive, asymmetric, non-transitive) to handle part-whole relations in processes. The author shows high methodological self-awareness by distinguishing GPT from speculative metaphysics and acknowledging its role as an “auxiliary conceptual framework”.</w:t>
            </w:r>
          </w:p>
        </w:tc>
        <w:tc>
          <w:tcPr>
            <w:tcW w:w="957" w:type="pct"/>
          </w:tcPr>
          <w:p w14:paraId="36CD7EC3"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framework is highly coherent; the seven categorial features of “general processes” are systematically integrated into a five-dimensional classification system. The distinctions between different dynamics (e.g., activities vs. developments) are consistently derived from established theoretical predicates like </w:t>
            </w:r>
            <w:proofErr w:type="spellStart"/>
            <w:r w:rsidRPr="00732EED">
              <w:rPr>
                <w:bCs/>
                <w:color w:val="000000"/>
                <w:sz w:val="18"/>
                <w:szCs w:val="18"/>
              </w:rPr>
              <w:t>homeomereity</w:t>
            </w:r>
            <w:proofErr w:type="spellEnd"/>
            <w:r w:rsidRPr="00732EED">
              <w:rPr>
                <w:color w:val="000000"/>
                <w:sz w:val="18"/>
                <w:szCs w:val="18"/>
              </w:rPr>
              <w:t xml:space="preserve"> and </w:t>
            </w:r>
            <w:proofErr w:type="spellStart"/>
            <w:r w:rsidRPr="00732EED">
              <w:rPr>
                <w:bCs/>
                <w:color w:val="000000"/>
                <w:sz w:val="18"/>
                <w:szCs w:val="18"/>
              </w:rPr>
              <w:t>automereity</w:t>
            </w:r>
            <w:proofErr w:type="spellEnd"/>
            <w:r w:rsidRPr="00732EED">
              <w:rPr>
                <w:color w:val="000000"/>
                <w:sz w:val="18"/>
                <w:szCs w:val="18"/>
              </w:rPr>
              <w:t>.</w:t>
            </w:r>
          </w:p>
        </w:tc>
        <w:tc>
          <w:tcPr>
            <w:tcW w:w="841" w:type="pct"/>
          </w:tcPr>
          <w:p w14:paraId="0484C18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For a theoretical study, the “data” (conceptual models and linguistic examples) is exceptionally rich. The paper provides diverse illustration, ranging from simple activities like "snowing" to complex biological processes like </w:t>
            </w:r>
            <w:r w:rsidRPr="00732EED">
              <w:rPr>
                <w:bCs/>
                <w:color w:val="000000"/>
                <w:sz w:val="18"/>
                <w:szCs w:val="18"/>
              </w:rPr>
              <w:t>photosynthesis</w:t>
            </w:r>
            <w:r w:rsidRPr="00732EED">
              <w:rPr>
                <w:color w:val="000000"/>
                <w:sz w:val="18"/>
                <w:szCs w:val="18"/>
              </w:rPr>
              <w:t xml:space="preserve">, </w:t>
            </w:r>
            <w:r w:rsidRPr="00732EED">
              <w:rPr>
                <w:bCs/>
                <w:color w:val="000000"/>
                <w:sz w:val="18"/>
                <w:szCs w:val="18"/>
              </w:rPr>
              <w:t>metabolism</w:t>
            </w:r>
            <w:r w:rsidRPr="00732EED">
              <w:rPr>
                <w:color w:val="000000"/>
                <w:sz w:val="18"/>
                <w:szCs w:val="18"/>
              </w:rPr>
              <w:t xml:space="preserve">, and </w:t>
            </w:r>
            <w:r w:rsidRPr="00732EED">
              <w:rPr>
                <w:bCs/>
                <w:color w:val="000000"/>
                <w:sz w:val="18"/>
                <w:szCs w:val="18"/>
              </w:rPr>
              <w:t>homeostasis</w:t>
            </w:r>
            <w:r w:rsidRPr="00732EED">
              <w:rPr>
                <w:color w:val="000000"/>
                <w:sz w:val="18"/>
                <w:szCs w:val="18"/>
              </w:rPr>
              <w:t>, to demonstrate the framework’s breadth and applicability.</w:t>
            </w:r>
          </w:p>
        </w:tc>
        <w:tc>
          <w:tcPr>
            <w:tcW w:w="840" w:type="pct"/>
          </w:tcPr>
          <w:p w14:paraId="740124D7"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paper is purpose-built for the context of biological philosophy. Its primary aim is to provide “ontological tools” for the </w:t>
            </w:r>
            <w:r w:rsidRPr="00732EED">
              <w:rPr>
                <w:bCs/>
                <w:color w:val="000000"/>
                <w:sz w:val="18"/>
                <w:szCs w:val="18"/>
              </w:rPr>
              <w:t>process turn in biology</w:t>
            </w:r>
            <w:r w:rsidRPr="00732EED">
              <w:rPr>
                <w:color w:val="000000"/>
                <w:sz w:val="18"/>
                <w:szCs w:val="18"/>
              </w:rPr>
              <w:t xml:space="preserve">, specifically addressing core questions of </w:t>
            </w:r>
            <w:r w:rsidRPr="00732EED">
              <w:rPr>
                <w:bCs/>
                <w:color w:val="000000"/>
                <w:sz w:val="18"/>
                <w:szCs w:val="18"/>
              </w:rPr>
              <w:t>individuality</w:t>
            </w:r>
            <w:r w:rsidRPr="00732EED">
              <w:rPr>
                <w:color w:val="000000"/>
                <w:sz w:val="18"/>
                <w:szCs w:val="18"/>
              </w:rPr>
              <w:t xml:space="preserve">, </w:t>
            </w:r>
            <w:r w:rsidRPr="00732EED">
              <w:rPr>
                <w:bCs/>
                <w:color w:val="000000"/>
                <w:sz w:val="18"/>
                <w:szCs w:val="18"/>
              </w:rPr>
              <w:t>composition</w:t>
            </w:r>
            <w:r w:rsidRPr="00732EED">
              <w:rPr>
                <w:color w:val="000000"/>
                <w:sz w:val="18"/>
                <w:szCs w:val="18"/>
              </w:rPr>
              <w:t xml:space="preserve">, and </w:t>
            </w:r>
            <w:r w:rsidRPr="00732EED">
              <w:rPr>
                <w:bCs/>
                <w:color w:val="000000"/>
                <w:sz w:val="18"/>
                <w:szCs w:val="18"/>
              </w:rPr>
              <w:t>emergence</w:t>
            </w:r>
            <w:r w:rsidRPr="00732EED">
              <w:rPr>
                <w:color w:val="000000"/>
                <w:sz w:val="18"/>
                <w:szCs w:val="18"/>
              </w:rPr>
              <w:t xml:space="preserve"> that are central to contemporary biological theory.</w:t>
            </w:r>
          </w:p>
        </w:tc>
      </w:tr>
      <w:tr w:rsidR="00EB4ED6" w:rsidRPr="00732EED" w14:paraId="798F3B30"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7A5A9857" w14:textId="77777777" w:rsidR="00CF59AF" w:rsidRPr="00732EED" w:rsidRDefault="00CF59AF" w:rsidP="008E2192">
            <w:pPr>
              <w:jc w:val="right"/>
              <w:rPr>
                <w:color w:val="000000"/>
                <w:sz w:val="18"/>
                <w:szCs w:val="18"/>
              </w:rPr>
            </w:pPr>
            <w:r w:rsidRPr="00732EED">
              <w:rPr>
                <w:color w:val="000000"/>
                <w:sz w:val="18"/>
                <w:szCs w:val="18"/>
              </w:rPr>
              <w:t>50</w:t>
            </w:r>
          </w:p>
        </w:tc>
        <w:tc>
          <w:tcPr>
            <w:tcW w:w="1323" w:type="pct"/>
            <w:hideMark/>
          </w:tcPr>
          <w:p w14:paraId="009341D0"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15" w:tgtFrame="_new" w:history="1">
              <w:r w:rsidR="00CF59AF" w:rsidRPr="00732EED">
                <w:rPr>
                  <w:color w:val="467886"/>
                  <w:sz w:val="18"/>
                  <w:szCs w:val="18"/>
                </w:rPr>
                <w:t>Sell K, Hommes F, Fischer F et al (2022) Multi-, inter-, and transdisciplinarity within the public health workforce: a scoping review to assess definitions and applications of concepts. Int J Environ Res Public Health 19:10902. https://doi.org/10.3390/ijerph191710902</w:t>
              </w:r>
            </w:hyperlink>
          </w:p>
        </w:tc>
        <w:tc>
          <w:tcPr>
            <w:tcW w:w="893" w:type="pct"/>
          </w:tcPr>
          <w:p w14:paraId="2C5073F3"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authors used a rigorous scoping review framework (Arksey and O’Malley) and reported findings according to PRISMA-</w:t>
            </w:r>
            <w:proofErr w:type="spellStart"/>
            <w:r w:rsidRPr="00732EED">
              <w:rPr>
                <w:color w:val="000000"/>
                <w:sz w:val="18"/>
                <w:szCs w:val="18"/>
              </w:rPr>
              <w:t>ScR</w:t>
            </w:r>
            <w:proofErr w:type="spellEnd"/>
            <w:r w:rsidRPr="00732EED">
              <w:rPr>
                <w:color w:val="000000"/>
                <w:sz w:val="18"/>
                <w:szCs w:val="18"/>
              </w:rPr>
              <w:t xml:space="preserve"> guidelines. However, they relied on a single database (PubMed) and did not examine books or book chapters due to time and accessibility constraints, which may have excluded relevant theoretical definitions.</w:t>
            </w:r>
          </w:p>
        </w:tc>
        <w:tc>
          <w:tcPr>
            <w:tcW w:w="957" w:type="pct"/>
          </w:tcPr>
          <w:p w14:paraId="257CEB46"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well-supported by a two-level analysis of 324 primary articles and their cited references. The results consistently show a lack of conceptual clarity in the field, with only 44 of 324 articles providing explicit definitions.</w:t>
            </w:r>
          </w:p>
        </w:tc>
        <w:tc>
          <w:tcPr>
            <w:tcW w:w="841" w:type="pct"/>
          </w:tcPr>
          <w:p w14:paraId="445AB20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review is based on a large volume of data, screening 1,957 records and including 324 articles for analysis. The qualitative content analysis identified five robust concept components (aim, mode of collaboration, etc.) across the included literature.</w:t>
            </w:r>
          </w:p>
        </w:tc>
        <w:tc>
          <w:tcPr>
            <w:tcW w:w="840" w:type="pct"/>
          </w:tcPr>
          <w:p w14:paraId="666CDE0B"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study is directly applicable to the public health workforce context, specifically addressing the need for clarity in collaborative roles to tackle “wicked” problems like climate change and infectious diseases.</w:t>
            </w:r>
          </w:p>
        </w:tc>
      </w:tr>
      <w:tr w:rsidR="00EB4ED6" w:rsidRPr="00732EED" w14:paraId="6EDC563A"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06DE8F8F" w14:textId="77777777" w:rsidR="00CF59AF" w:rsidRPr="00732EED" w:rsidRDefault="00CF59AF" w:rsidP="008E2192">
            <w:pPr>
              <w:jc w:val="right"/>
              <w:rPr>
                <w:color w:val="000000"/>
                <w:sz w:val="18"/>
                <w:szCs w:val="18"/>
              </w:rPr>
            </w:pPr>
            <w:r w:rsidRPr="00732EED">
              <w:rPr>
                <w:color w:val="000000"/>
                <w:sz w:val="18"/>
                <w:szCs w:val="18"/>
              </w:rPr>
              <w:t>51</w:t>
            </w:r>
          </w:p>
        </w:tc>
        <w:tc>
          <w:tcPr>
            <w:tcW w:w="1323" w:type="pct"/>
            <w:hideMark/>
          </w:tcPr>
          <w:p w14:paraId="233622D0"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16" w:tgtFrame="_new" w:history="1">
              <w:r w:rsidR="00CF59AF" w:rsidRPr="00732EED">
                <w:rPr>
                  <w:color w:val="467886"/>
                  <w:sz w:val="18"/>
                  <w:szCs w:val="18"/>
                </w:rPr>
                <w:t>Shah N, Qazi R, Chu XP (2024) Unraveling the tapestry of pain: a comprehensive review of ethnic variations, cultural influences, and physiological mechanisms in pain management and perception. Cureus 16:e60692. https://doi.org/10.7759/cureus.60692</w:t>
              </w:r>
            </w:hyperlink>
          </w:p>
        </w:tc>
        <w:tc>
          <w:tcPr>
            <w:tcW w:w="893" w:type="pct"/>
          </w:tcPr>
          <w:p w14:paraId="6EE2527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roofErr w:type="spellStart"/>
            <w:r w:rsidRPr="00732EED">
              <w:rPr>
                <w:color w:val="000000"/>
                <w:sz w:val="18"/>
                <w:szCs w:val="18"/>
              </w:rPr>
              <w:t>Moderste</w:t>
            </w:r>
            <w:proofErr w:type="spellEnd"/>
            <w:r w:rsidRPr="00732EED">
              <w:rPr>
                <w:color w:val="000000"/>
                <w:sz w:val="18"/>
                <w:szCs w:val="18"/>
              </w:rPr>
              <w:t>:</w:t>
            </w:r>
            <w:r w:rsidRPr="00732EED">
              <w:rPr>
                <w:sz w:val="18"/>
                <w:szCs w:val="18"/>
              </w:rPr>
              <w:t xml:space="preserve"> </w:t>
            </w:r>
            <w:r w:rsidRPr="00732EED">
              <w:rPr>
                <w:color w:val="000000"/>
                <w:sz w:val="18"/>
                <w:szCs w:val="18"/>
              </w:rPr>
              <w:t xml:space="preserve">The paper is an “Open Access Review” that synthesizes a wide array of existing research, including genetic studies, clinical trials, and surveys. While it provides a comprehensive overview, it does not explicitly detail a systematic </w:t>
            </w:r>
            <w:r w:rsidRPr="00732EED">
              <w:rPr>
                <w:color w:val="000000"/>
                <w:sz w:val="18"/>
                <w:szCs w:val="18"/>
              </w:rPr>
              <w:lastRenderedPageBreak/>
              <w:t>search strategy (like PRISMA) or a formal risk-of-bias assessment for each cited study, which is common in narrative reviews.</w:t>
            </w:r>
          </w:p>
          <w:p w14:paraId="7B817A76"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3143F0BD"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logically organized and consistently supported by underlying data across physiological, sociocultural, and ethical sections. For example, the discussion on sodium channels (Nav1.7, 1.8, 1.9) is directly linked to specific genetic </w:t>
            </w:r>
            <w:r w:rsidRPr="00732EED">
              <w:rPr>
                <w:color w:val="000000"/>
                <w:sz w:val="18"/>
                <w:szCs w:val="18"/>
              </w:rPr>
              <w:lastRenderedPageBreak/>
              <w:t xml:space="preserve">mutations and clinical pain disorders, providing a clear biological basis for the observed variations in pain perception. </w:t>
            </w:r>
          </w:p>
          <w:p w14:paraId="16773D7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777E61B6"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review draws from a rich and diverse pool of data, citing over 100 references (as indicated by the high citation numbers). It includes large-scale analyses, such as a study of 13,765 chronic pain patients and a survey of 1,588 </w:t>
            </w:r>
            <w:r w:rsidRPr="00732EED">
              <w:rPr>
                <w:color w:val="000000"/>
                <w:sz w:val="18"/>
                <w:szCs w:val="18"/>
              </w:rPr>
              <w:lastRenderedPageBreak/>
              <w:t>patients on opioid therapy, ensuring a significant quantity of evidence supports its conclusions.</w:t>
            </w:r>
          </w:p>
        </w:tc>
        <w:tc>
          <w:tcPr>
            <w:tcW w:w="840" w:type="pct"/>
          </w:tcPr>
          <w:p w14:paraId="46776EA4"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studies included are highly applicable to the review's core questions regarding ethnic variations and cultural influences on pain. It specifically addresses modern healthcare challenges, such as the U.S. opioid crisis, </w:t>
            </w:r>
            <w:r w:rsidRPr="00732EED">
              <w:rPr>
                <w:color w:val="000000"/>
                <w:sz w:val="18"/>
                <w:szCs w:val="18"/>
              </w:rPr>
              <w:lastRenderedPageBreak/>
              <w:t>pediatric pain (a study of 636 girls), and geriatric syndromes (55.2% of elderly reporting chronic pain), making the content directly relevant to current clinical practice.</w:t>
            </w:r>
          </w:p>
        </w:tc>
      </w:tr>
      <w:tr w:rsidR="00EB4ED6" w:rsidRPr="00732EED" w14:paraId="4337FD88"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5E4E84F" w14:textId="77777777" w:rsidR="00CF59AF" w:rsidRPr="00732EED" w:rsidRDefault="00CF59AF" w:rsidP="008E2192">
            <w:pPr>
              <w:jc w:val="right"/>
              <w:rPr>
                <w:color w:val="000000"/>
                <w:sz w:val="18"/>
                <w:szCs w:val="18"/>
              </w:rPr>
            </w:pPr>
            <w:r w:rsidRPr="00732EED">
              <w:rPr>
                <w:color w:val="000000"/>
                <w:sz w:val="18"/>
                <w:szCs w:val="18"/>
              </w:rPr>
              <w:lastRenderedPageBreak/>
              <w:t>52</w:t>
            </w:r>
          </w:p>
        </w:tc>
        <w:tc>
          <w:tcPr>
            <w:tcW w:w="1323" w:type="pct"/>
            <w:hideMark/>
          </w:tcPr>
          <w:p w14:paraId="09B0CE48"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17" w:tgtFrame="_new" w:history="1">
              <w:r w:rsidR="00CF59AF" w:rsidRPr="00732EED">
                <w:rPr>
                  <w:color w:val="467886"/>
                  <w:sz w:val="18"/>
                  <w:szCs w:val="18"/>
                </w:rPr>
                <w:t>Shi Y, Wu W (2023) Multimodal non-invasive non-pharmacological therapies for chronic pain: mechanisms and progress. BMC Med 21:372. https://doi.org/10.1186/s12916-023-03076-2</w:t>
              </w:r>
            </w:hyperlink>
          </w:p>
        </w:tc>
        <w:tc>
          <w:tcPr>
            <w:tcW w:w="893" w:type="pct"/>
          </w:tcPr>
          <w:p w14:paraId="5EE660B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paper is a narrative review, not a systematic review or meta-analysis. It synthesizes evidence from heterogeneous studies (RCTs, animal studies, neuroimaging, etc.) but does not systematically assess risk of bias, publication bias, or study quality. Lack of explicit inclusion/exclusion criteria and pooling methods limits internal validity. However, the authors cite a broad range of peer-reviewed literature and acknowledge research gaps.</w:t>
            </w:r>
          </w:p>
        </w:tc>
        <w:tc>
          <w:tcPr>
            <w:tcW w:w="957" w:type="pct"/>
          </w:tcPr>
          <w:p w14:paraId="471A48E4"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internally consistent and well-structured. Mechanisms (peripheral, spinal, supraspinal) are clearly linked to each NINPT modality. Evidence across physical, psychological, complementary, and other therapies supports the central thesis that NINPT modulates pain pathways and central sensitization. No major contradictions are evident across sections.</w:t>
            </w:r>
          </w:p>
        </w:tc>
        <w:tc>
          <w:tcPr>
            <w:tcW w:w="841" w:type="pct"/>
          </w:tcPr>
          <w:p w14:paraId="566B33E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review draws on a large number of studies (357 references), including RCTs, meta-analyses, animal studies, and neuroimaging research. However, many cited studies are small, lack long-term follow-up, or have methodological limitations acknowledged by the authors. Some modalities (e.g., ultrasound, light therapy) have weaker or less consistent evidence compared to others (e.g., TENS, CBT).</w:t>
            </w:r>
          </w:p>
        </w:tc>
        <w:tc>
          <w:tcPr>
            <w:tcW w:w="840" w:type="pct"/>
          </w:tcPr>
          <w:p w14:paraId="69B4413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review directly addresses chronic pain management, a major global health burden. It covers a wide range of NINPT modalities applicable to common chronic pain conditions (osteoarthritis, fibromyalgia, neuropathic pain, etc.). The focus on mechanisms and clinical applications is highly relevant to clinicians, researchers, and policymakers seeking non-pharmacological alternatives to opioids and NSAIDs.</w:t>
            </w:r>
          </w:p>
        </w:tc>
      </w:tr>
      <w:tr w:rsidR="00EB4ED6" w:rsidRPr="00732EED" w14:paraId="17DA264A"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5606169B" w14:textId="77777777" w:rsidR="00CF59AF" w:rsidRPr="00732EED" w:rsidRDefault="00CF59AF" w:rsidP="008E2192">
            <w:pPr>
              <w:jc w:val="right"/>
              <w:rPr>
                <w:color w:val="000000"/>
                <w:sz w:val="18"/>
                <w:szCs w:val="18"/>
              </w:rPr>
            </w:pPr>
            <w:r w:rsidRPr="00732EED">
              <w:rPr>
                <w:color w:val="000000"/>
                <w:sz w:val="18"/>
                <w:szCs w:val="18"/>
              </w:rPr>
              <w:t>53</w:t>
            </w:r>
          </w:p>
        </w:tc>
        <w:tc>
          <w:tcPr>
            <w:tcW w:w="1323" w:type="pct"/>
            <w:hideMark/>
          </w:tcPr>
          <w:p w14:paraId="429E2E19"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18" w:tgtFrame="_new" w:history="1">
              <w:r w:rsidR="00CF59AF" w:rsidRPr="00732EED">
                <w:rPr>
                  <w:color w:val="467886"/>
                  <w:sz w:val="18"/>
                  <w:szCs w:val="18"/>
                </w:rPr>
                <w:t>Skaer TL (2015) Research findings using mindfulness-based interventions for chronic pain. Pain Stud Treat 3:38–45. https://doi.org/10.4236/pst.2015.34005</w:t>
              </w:r>
            </w:hyperlink>
          </w:p>
        </w:tc>
        <w:tc>
          <w:tcPr>
            <w:tcW w:w="893" w:type="pct"/>
          </w:tcPr>
          <w:p w14:paraId="495B3D3D"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review acknowledges that many included studies have design flaws, such as small sample sizes (some with only 10 participants per cohort) and a mix of randomized and uncontrolled designs. However, the author transparently identifies these limitations as a reason for mixed evidence.</w:t>
            </w:r>
          </w:p>
        </w:tc>
        <w:tc>
          <w:tcPr>
            <w:tcW w:w="957" w:type="pct"/>
          </w:tcPr>
          <w:p w14:paraId="4C4923ED"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Low: The findings across the reviewed studies are inconsistent; while some report significant effects on pain and quality of life, others do not find mindfulness-based interventions (MBIs) to be more effective than standard care or educational controls.</w:t>
            </w:r>
          </w:p>
        </w:tc>
        <w:tc>
          <w:tcPr>
            <w:tcW w:w="841" w:type="pct"/>
          </w:tcPr>
          <w:p w14:paraId="2CF421F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paper draws from a substantial number of previous meta-analyses and trials (e.g., one meta-analysis reviewed 1,121 articles), providing a broad base of data. However, the author explicitly states there is still “insufficient data” to definitively confirm the full impact of MBIs.</w:t>
            </w:r>
          </w:p>
        </w:tc>
        <w:tc>
          <w:tcPr>
            <w:tcW w:w="840" w:type="pct"/>
          </w:tcPr>
          <w:p w14:paraId="2CC8365C"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studies reviewed are highly relevant to the specific context of the review question, as they directly target chronic pain conditions like fibromyalgia and chronic low back pain in applicable clinical settings.</w:t>
            </w:r>
          </w:p>
        </w:tc>
      </w:tr>
      <w:tr w:rsidR="00EB4ED6" w:rsidRPr="00732EED" w14:paraId="55B05DFA"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26FBA792" w14:textId="77777777" w:rsidR="00CF59AF" w:rsidRPr="00732EED" w:rsidRDefault="00CF59AF" w:rsidP="008E2192">
            <w:pPr>
              <w:jc w:val="right"/>
              <w:rPr>
                <w:color w:val="000000"/>
                <w:sz w:val="18"/>
                <w:szCs w:val="18"/>
              </w:rPr>
            </w:pPr>
            <w:r w:rsidRPr="00732EED">
              <w:rPr>
                <w:color w:val="000000"/>
                <w:sz w:val="18"/>
                <w:szCs w:val="18"/>
              </w:rPr>
              <w:t>54</w:t>
            </w:r>
          </w:p>
        </w:tc>
        <w:tc>
          <w:tcPr>
            <w:tcW w:w="1323" w:type="pct"/>
            <w:hideMark/>
          </w:tcPr>
          <w:p w14:paraId="1F5858D8"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19" w:tgtFrame="_new" w:history="1">
              <w:r w:rsidR="00CF59AF" w:rsidRPr="00732EED">
                <w:rPr>
                  <w:color w:val="467886"/>
                  <w:sz w:val="18"/>
                  <w:szCs w:val="18"/>
                </w:rPr>
                <w:t>Somerman MJ, Mouradian WE (2020) Integrating oral and systemic health: innovations in transdisciplinary science, health care and policy. Front Dent Med 1:599214. https://doi.org/10.3389/fdmed.2020.599214</w:t>
              </w:r>
            </w:hyperlink>
          </w:p>
        </w:tc>
        <w:tc>
          <w:tcPr>
            <w:tcW w:w="893" w:type="pct"/>
          </w:tcPr>
          <w:p w14:paraId="1B5510E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paper is a “Field Grand Challenge” and conceptual commentary rather than a primary research study or systematic review. While it cites peer-reviewed studies to support its claims, the overarching vision is a strategic call to action, which </w:t>
            </w:r>
            <w:r w:rsidRPr="00732EED">
              <w:rPr>
                <w:color w:val="000000"/>
                <w:sz w:val="18"/>
                <w:szCs w:val="18"/>
              </w:rPr>
              <w:lastRenderedPageBreak/>
              <w:t>lacks the rigid experimental design of a clinical trial.</w:t>
            </w:r>
          </w:p>
          <w:p w14:paraId="2976AE8F"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49137DB7"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highly consistent with emerging scientific trends and established medical literature. The authors provide diverse, reinforcing examples, such as the link between </w:t>
            </w:r>
            <w:r w:rsidRPr="00732EED">
              <w:rPr>
                <w:iCs/>
                <w:color w:val="000000"/>
                <w:sz w:val="18"/>
                <w:szCs w:val="18"/>
              </w:rPr>
              <w:t xml:space="preserve">Fusobacterium </w:t>
            </w:r>
            <w:proofErr w:type="spellStart"/>
            <w:r w:rsidRPr="00732EED">
              <w:rPr>
                <w:iCs/>
                <w:color w:val="000000"/>
                <w:sz w:val="18"/>
                <w:szCs w:val="18"/>
              </w:rPr>
              <w:t>nucleatum</w:t>
            </w:r>
            <w:proofErr w:type="spellEnd"/>
            <w:r w:rsidRPr="00732EED">
              <w:rPr>
                <w:color w:val="000000"/>
                <w:sz w:val="18"/>
                <w:szCs w:val="18"/>
              </w:rPr>
              <w:t xml:space="preserve"> and colon cancer or the oral manifestations of Zika </w:t>
            </w:r>
            <w:r w:rsidRPr="00732EED">
              <w:rPr>
                <w:color w:val="000000"/>
                <w:sz w:val="18"/>
                <w:szCs w:val="18"/>
              </w:rPr>
              <w:lastRenderedPageBreak/>
              <w:t>virus, to support the necessity of an integrated approach.</w:t>
            </w:r>
          </w:p>
          <w:p w14:paraId="0BCAA030"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41" w:type="pct"/>
          </w:tcPr>
          <w:p w14:paraId="77700895"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article is supported by extensive citations (36 references) including seminal reports like the Gies Report and U.S. Surgeon General’s reports. It draws on rich data across microbiology, immunology, and public </w:t>
            </w:r>
            <w:r w:rsidRPr="00732EED">
              <w:rPr>
                <w:color w:val="000000"/>
                <w:sz w:val="18"/>
                <w:szCs w:val="18"/>
              </w:rPr>
              <w:lastRenderedPageBreak/>
              <w:t>health policy to build its case.</w:t>
            </w:r>
          </w:p>
          <w:p w14:paraId="20063058"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40" w:type="pct"/>
          </w:tcPr>
          <w:p w14:paraId="28796F5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content is directly applicable to the current global health context, specifically addressing modern challenges like the SARS-CoV-2 pandemic, the HPV vaccine, and the persistent disparities in healthcare </w:t>
            </w:r>
            <w:r w:rsidRPr="00732EED">
              <w:rPr>
                <w:color w:val="000000"/>
                <w:sz w:val="18"/>
                <w:szCs w:val="18"/>
              </w:rPr>
              <w:lastRenderedPageBreak/>
              <w:t>access for underserved communities.</w:t>
            </w:r>
          </w:p>
        </w:tc>
      </w:tr>
      <w:tr w:rsidR="00EB4ED6" w:rsidRPr="00732EED" w14:paraId="54ED2FB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6A121AB5" w14:textId="77777777" w:rsidR="00CF59AF" w:rsidRPr="00732EED" w:rsidRDefault="00CF59AF" w:rsidP="008E2192">
            <w:pPr>
              <w:jc w:val="right"/>
              <w:rPr>
                <w:color w:val="000000"/>
                <w:sz w:val="18"/>
                <w:szCs w:val="18"/>
              </w:rPr>
            </w:pPr>
            <w:r w:rsidRPr="00732EED">
              <w:rPr>
                <w:color w:val="000000"/>
                <w:sz w:val="18"/>
                <w:szCs w:val="18"/>
              </w:rPr>
              <w:lastRenderedPageBreak/>
              <w:t>55</w:t>
            </w:r>
          </w:p>
        </w:tc>
        <w:tc>
          <w:tcPr>
            <w:tcW w:w="1323" w:type="pct"/>
            <w:hideMark/>
          </w:tcPr>
          <w:p w14:paraId="53977841"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20" w:tgtFrame="_new" w:history="1">
              <w:r w:rsidR="00CF59AF" w:rsidRPr="00732EED">
                <w:rPr>
                  <w:color w:val="467886"/>
                  <w:sz w:val="18"/>
                  <w:szCs w:val="18"/>
                </w:rPr>
                <w:t>Stilwell P, Harman K (2019) An enactive approach to pain: beyond the biopsychosocial model. Phenomenol Cogn Sci 18:637–665. https://doi.org/10.1007/s11097-019-09624-7</w:t>
              </w:r>
            </w:hyperlink>
          </w:p>
        </w:tc>
        <w:tc>
          <w:tcPr>
            <w:tcW w:w="893" w:type="pct"/>
          </w:tcPr>
          <w:p w14:paraId="74ED420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As a conceptual/theoretical paper, the “methodology” is a narrative synthesis rather than an empirical study or systematic review. While the philosophical and theoretical argumentation is rigorous, it does not follow a transparent, reproducible protocol for literature selection, which may introduce selection bias in the evidence used to support the “5E” framework.</w:t>
            </w:r>
          </w:p>
        </w:tc>
        <w:tc>
          <w:tcPr>
            <w:tcW w:w="957" w:type="pct"/>
          </w:tcPr>
          <w:p w14:paraId="4D0B26BD"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exceptionally coherent. The 5E framework (Embodied, Embedded, Enacted, Emotive, Extended) is logically derived from a detailed critique of the fragmented and dualistic nature of the Biopsychosocial (BPS) model. The arguments remain consistent throughout, and the application of the model to a specific clinical exemplar (back pain) demonstrates strong internal logic.</w:t>
            </w:r>
          </w:p>
        </w:tc>
        <w:tc>
          <w:tcPr>
            <w:tcW w:w="841" w:type="pct"/>
          </w:tcPr>
          <w:p w14:paraId="3FDA07FD"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paper draws on a rich, interdisciplinary range of data, spanning over a century of research in neuroscience, phenomenology, cognitive science, and clinical medicine. It utilizes high-quality foundational texts (e.g., </w:t>
            </w:r>
            <w:proofErr w:type="spellStart"/>
            <w:r w:rsidRPr="00732EED">
              <w:rPr>
                <w:color w:val="000000"/>
                <w:sz w:val="18"/>
                <w:szCs w:val="18"/>
              </w:rPr>
              <w:t>Melzack</w:t>
            </w:r>
            <w:proofErr w:type="spellEnd"/>
            <w:r w:rsidRPr="00732EED">
              <w:rPr>
                <w:color w:val="000000"/>
                <w:sz w:val="18"/>
                <w:szCs w:val="18"/>
              </w:rPr>
              <w:t>, Engel, Varela) alongside modern clinical statistics to build a dense and well-supported argument for a paradigm shift.</w:t>
            </w:r>
          </w:p>
        </w:tc>
        <w:tc>
          <w:tcPr>
            <w:tcW w:w="840" w:type="pct"/>
          </w:tcPr>
          <w:p w14:paraId="2A713AE5"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highly relevant to current clinical and theoretical debates in pain science. It directly addresses the leading cause of global disability (non-specific back pain) and offers a practical solution to the common clinical “pitfall” where patients feel their pain is dismissed as “all in their head" under the standard biopsychosocial approach.</w:t>
            </w:r>
          </w:p>
        </w:tc>
      </w:tr>
      <w:tr w:rsidR="00EB4ED6" w:rsidRPr="00732EED" w14:paraId="22556AC0"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2A4B849A" w14:textId="77777777" w:rsidR="00CF59AF" w:rsidRPr="00732EED" w:rsidRDefault="00CF59AF" w:rsidP="008E2192">
            <w:pPr>
              <w:jc w:val="right"/>
              <w:rPr>
                <w:color w:val="000000"/>
                <w:sz w:val="18"/>
                <w:szCs w:val="18"/>
              </w:rPr>
            </w:pPr>
            <w:r w:rsidRPr="00732EED">
              <w:rPr>
                <w:color w:val="000000"/>
                <w:sz w:val="18"/>
                <w:szCs w:val="18"/>
              </w:rPr>
              <w:t>56</w:t>
            </w:r>
          </w:p>
        </w:tc>
        <w:tc>
          <w:tcPr>
            <w:tcW w:w="1323" w:type="pct"/>
            <w:hideMark/>
          </w:tcPr>
          <w:p w14:paraId="2E2ABF9E"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21" w:tgtFrame="_new" w:history="1">
              <w:r w:rsidR="00CF59AF" w:rsidRPr="00732EED">
                <w:rPr>
                  <w:color w:val="467886"/>
                  <w:sz w:val="18"/>
                  <w:szCs w:val="18"/>
                </w:rPr>
                <w:t>Tapp H, White L, Steuerwald M et al (2013) Use of community-based participatory research in primary care to improve healthcare outcomes and disparities in care. J Comp Eff Res 2:405–419. https://doi.org/10.2217/cer.13.45</w:t>
              </w:r>
            </w:hyperlink>
          </w:p>
        </w:tc>
        <w:tc>
          <w:tcPr>
            <w:tcW w:w="893" w:type="pct"/>
          </w:tcPr>
          <w:p w14:paraId="3905E8A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paper is a narrative review, not a systematic review or meta-analysis. It explicitly states it is </w:t>
            </w:r>
            <w:r w:rsidRPr="00732EED">
              <w:rPr>
                <w:iCs/>
                <w:color w:val="000000"/>
                <w:sz w:val="18"/>
                <w:szCs w:val="18"/>
              </w:rPr>
              <w:t>not</w:t>
            </w:r>
            <w:r w:rsidRPr="00732EED">
              <w:rPr>
                <w:color w:val="000000"/>
                <w:sz w:val="18"/>
                <w:szCs w:val="18"/>
              </w:rPr>
              <w:t> an “exhaustive literature survey or systematic review.” This design introduces potential selection bias, as key papers were identified by the authors rather than through a systematic, reproducible search strategy. However, the included studies are mostly well-described, and the authors acknowledge limitations of CBPR studies in general (e.g., variable designs, small number of completed interventions with rigorous methods).</w:t>
            </w:r>
          </w:p>
        </w:tc>
        <w:tc>
          <w:tcPr>
            <w:tcW w:w="957" w:type="pct"/>
          </w:tcPr>
          <w:p w14:paraId="32BB9A8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findings are highly consistent across the review. The paper clearly demonstrates that CBPR can improve access to care, reduce disparities, and positively impact chronic conditions (asthma, diabetes, obesity, maternal health). The evidence from multiple distinct studies (e.g., UCLA asthma screening, CALMA intervention, IPM in East Harlem, PILI ‘Ohana) all point in the same direction. Additionally, the authors clearly list consistent challenges (time, trust, differing goals), which further supports coherence.</w:t>
            </w:r>
          </w:p>
        </w:tc>
        <w:tc>
          <w:tcPr>
            <w:tcW w:w="841" w:type="pct"/>
          </w:tcPr>
          <w:p w14:paraId="6224D010"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paper provides a rich compilation of examples with detailed descriptions of methods, community participation, outcomes, and CBPR benefits. However, as a narrative review, it lacks quantitative synthesis (e.g., pooled effect sizes) and does not systematically grade the quality of each primary study. Many cited studies are pilot or small-scale interventions. The data are adequate to illustrate principles and outcomes, but not sufficient for definitive causal claims.</w:t>
            </w:r>
          </w:p>
        </w:tc>
        <w:tc>
          <w:tcPr>
            <w:tcW w:w="840" w:type="pct"/>
          </w:tcPr>
          <w:p w14:paraId="394EE28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review is directly relevant to the stated focus: use of CBPR in primary care to improve healthcare outcomes and reduce disparities. It specifically addresses common primary care problems (access, asthma, diabetes/obesity, maternal/child health) and discusses practice-based research networks (PBRNs) and primary care delivery models. The populations (Hispanic, Latino, African American, Native American, low-income, uninsured) match high-priority disparity groups in primary care.</w:t>
            </w:r>
          </w:p>
        </w:tc>
      </w:tr>
      <w:tr w:rsidR="00EB4ED6" w:rsidRPr="00732EED" w14:paraId="5D51798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41ED1E71" w14:textId="77777777" w:rsidR="00CF59AF" w:rsidRPr="00732EED" w:rsidRDefault="00CF59AF" w:rsidP="008E2192">
            <w:pPr>
              <w:jc w:val="right"/>
              <w:rPr>
                <w:color w:val="000000"/>
                <w:sz w:val="18"/>
                <w:szCs w:val="18"/>
              </w:rPr>
            </w:pPr>
            <w:r w:rsidRPr="00732EED">
              <w:rPr>
                <w:color w:val="000000"/>
                <w:sz w:val="18"/>
                <w:szCs w:val="18"/>
              </w:rPr>
              <w:t>57</w:t>
            </w:r>
          </w:p>
        </w:tc>
        <w:tc>
          <w:tcPr>
            <w:tcW w:w="1323" w:type="pct"/>
            <w:hideMark/>
          </w:tcPr>
          <w:p w14:paraId="40B5B4F6"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22" w:tgtFrame="_new" w:history="1">
              <w:r w:rsidR="00CF59AF" w:rsidRPr="00732EED">
                <w:rPr>
                  <w:color w:val="467886"/>
                  <w:sz w:val="18"/>
                  <w:szCs w:val="18"/>
                </w:rPr>
                <w:t>Tobias Mortlock JM, Alapati HH, Edginton T (2025) How to create a mindful community of practice: exploring the social functions of group-based mindfulness practices facilitated via Zoom during Covid-19. Front Psychol 16:1356057. https://doi.org/10.3389/fpsyg.2025.1356057</w:t>
              </w:r>
            </w:hyperlink>
          </w:p>
        </w:tc>
        <w:tc>
          <w:tcPr>
            <w:tcW w:w="893" w:type="pct"/>
          </w:tcPr>
          <w:p w14:paraId="15EC0807"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paper is a narrative review, not a systematic review, and thus did not aim for an “exhaustive literature survey”. While it identifies key research papers, it acknowledges inherent challenges in the reviewed </w:t>
            </w:r>
            <w:r w:rsidRPr="00732EED">
              <w:rPr>
                <w:color w:val="000000"/>
                <w:sz w:val="18"/>
                <w:szCs w:val="18"/>
              </w:rPr>
              <w:lastRenderedPageBreak/>
              <w:t>studies, such as difficulties in balancing scientific rigor with community acceptability. Additionally, many findings are limited to specific communities and may not be easily translatable to other groups.</w:t>
            </w:r>
          </w:p>
        </w:tc>
        <w:tc>
          <w:tcPr>
            <w:tcW w:w="957" w:type="pct"/>
          </w:tcPr>
          <w:p w14:paraId="1AFCB30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consistently supported by data across various health areas. For example, culturally tailored interventions consistently led to improved outcomes in asthma management, diabetes </w:t>
            </w:r>
            <w:proofErr w:type="gramStart"/>
            <w:r w:rsidRPr="00732EED">
              <w:rPr>
                <w:color w:val="000000"/>
                <w:sz w:val="18"/>
                <w:szCs w:val="18"/>
              </w:rPr>
              <w:t>prevention ,</w:t>
            </w:r>
            <w:proofErr w:type="gramEnd"/>
            <w:r w:rsidRPr="00732EED">
              <w:rPr>
                <w:color w:val="000000"/>
                <w:sz w:val="18"/>
                <w:szCs w:val="18"/>
              </w:rPr>
              <w:t xml:space="preserve"> and physical </w:t>
            </w:r>
            <w:r w:rsidRPr="00732EED">
              <w:rPr>
                <w:color w:val="000000"/>
                <w:sz w:val="18"/>
                <w:szCs w:val="18"/>
              </w:rPr>
              <w:lastRenderedPageBreak/>
              <w:t>activity. The underlying data from multiple pilot projects and community trials align with the core finding that community engagement improves primary care effectiveness.</w:t>
            </w:r>
          </w:p>
        </w:tc>
        <w:tc>
          <w:tcPr>
            <w:tcW w:w="841" w:type="pct"/>
          </w:tcPr>
          <w:p w14:paraId="6B6D267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review draws from a rich variety of data sources, including surveys, focus groups, and clinical trials. However, it notes that for certain populations (like children) there is a reliance on </w:t>
            </w:r>
            <w:r w:rsidRPr="00732EED">
              <w:rPr>
                <w:color w:val="000000"/>
                <w:sz w:val="18"/>
                <w:szCs w:val="18"/>
              </w:rPr>
              <w:lastRenderedPageBreak/>
              <w:t xml:space="preserve">“strong anecdotal connection” regarding empowerment and leadership. Furthermore, many of the cited studies were pilot projects or local interventions with relatively small or community-specific sample sizes. </w:t>
            </w:r>
          </w:p>
        </w:tc>
        <w:tc>
          <w:tcPr>
            <w:tcW w:w="840" w:type="pct"/>
          </w:tcPr>
          <w:p w14:paraId="5569F7B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lastRenderedPageBreak/>
              <w:t xml:space="preserve">High: The reviewed studies are highly applicable to the specific context of the review question: improving healthcare outcomes and disparities in primary care. The paper specifically selects research that </w:t>
            </w:r>
            <w:r w:rsidRPr="00732EED">
              <w:rPr>
                <w:color w:val="000000"/>
                <w:sz w:val="18"/>
                <w:szCs w:val="18"/>
              </w:rPr>
              <w:lastRenderedPageBreak/>
              <w:t>demonstrates the use of CBPR in clinical situations common to primary care, such as chronic disease management and access to care for vulnerable populations.</w:t>
            </w:r>
          </w:p>
        </w:tc>
      </w:tr>
      <w:tr w:rsidR="00EB4ED6" w:rsidRPr="00732EED" w14:paraId="18C90810"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19AF2906" w14:textId="77777777" w:rsidR="00CF59AF" w:rsidRPr="00732EED" w:rsidRDefault="00CF59AF" w:rsidP="008E2192">
            <w:pPr>
              <w:jc w:val="right"/>
              <w:rPr>
                <w:color w:val="000000"/>
                <w:sz w:val="18"/>
                <w:szCs w:val="18"/>
              </w:rPr>
            </w:pPr>
            <w:r w:rsidRPr="00732EED">
              <w:rPr>
                <w:color w:val="000000"/>
                <w:sz w:val="18"/>
                <w:szCs w:val="18"/>
              </w:rPr>
              <w:lastRenderedPageBreak/>
              <w:t>58</w:t>
            </w:r>
          </w:p>
        </w:tc>
        <w:tc>
          <w:tcPr>
            <w:tcW w:w="1323" w:type="pct"/>
            <w:hideMark/>
          </w:tcPr>
          <w:p w14:paraId="6FC598E1"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23" w:tgtFrame="_new" w:history="1">
              <w:r w:rsidR="00CF59AF" w:rsidRPr="00994F9D">
                <w:rPr>
                  <w:color w:val="467886"/>
                  <w:sz w:val="18"/>
                  <w:szCs w:val="18"/>
                  <w:lang w:val="nl-NL"/>
                </w:rPr>
                <w:t xml:space="preserve">Van der Vlegel-Brouwer W, Eelderink M, Bussemaker J (2023). </w:t>
              </w:r>
              <w:r w:rsidR="00CF59AF" w:rsidRPr="00732EED">
                <w:rPr>
                  <w:color w:val="467886"/>
                  <w:sz w:val="18"/>
                  <w:szCs w:val="18"/>
                </w:rPr>
                <w:t>Participatory action research as a driver for health promotion and prevention. Int J Integr Care, 23:13. https://doi.org/10.5334/ijic.7560</w:t>
              </w:r>
            </w:hyperlink>
          </w:p>
        </w:tc>
        <w:tc>
          <w:tcPr>
            <w:tcW w:w="893" w:type="pct"/>
          </w:tcPr>
          <w:p w14:paraId="0A86D77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study followed a structured </w:t>
            </w:r>
            <w:r w:rsidRPr="00732EED">
              <w:rPr>
                <w:bCs/>
                <w:color w:val="000000"/>
                <w:sz w:val="18"/>
                <w:szCs w:val="18"/>
              </w:rPr>
              <w:t>Look-Think-Act</w:t>
            </w:r>
            <w:r w:rsidRPr="00732EED">
              <w:rPr>
                <w:color w:val="000000"/>
                <w:sz w:val="18"/>
                <w:szCs w:val="18"/>
              </w:rPr>
              <w:t xml:space="preserve"> PAR routine and utilized established thematic analysis. However, the authors acknowledge a </w:t>
            </w:r>
            <w:r w:rsidRPr="00732EED">
              <w:rPr>
                <w:bCs/>
                <w:color w:val="000000"/>
                <w:sz w:val="18"/>
                <w:szCs w:val="18"/>
              </w:rPr>
              <w:t>purposeful sampling</w:t>
            </w:r>
            <w:r w:rsidRPr="00732EED">
              <w:rPr>
                <w:color w:val="000000"/>
                <w:sz w:val="18"/>
                <w:szCs w:val="18"/>
              </w:rPr>
              <w:t xml:space="preserve"> approach and a relatively short timeframe (February to September 2021), which may limit the depth of long-term behavioral change observations.</w:t>
            </w:r>
          </w:p>
          <w:p w14:paraId="7203CC82"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16C99BD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findings are highly coherent with the underlying data; the seven identified themes (e.g., Healthy Money, Healthy Mind) directly emerged from </w:t>
            </w:r>
            <w:r w:rsidRPr="00732EED">
              <w:rPr>
                <w:bCs/>
                <w:color w:val="000000"/>
                <w:sz w:val="18"/>
                <w:szCs w:val="18"/>
              </w:rPr>
              <w:t>60 in-depth interviews</w:t>
            </w:r>
            <w:r w:rsidRPr="00732EED">
              <w:rPr>
                <w:color w:val="000000"/>
                <w:sz w:val="18"/>
                <w:szCs w:val="18"/>
              </w:rPr>
              <w:t xml:space="preserve"> and extensive field notes. The results consistently highlight the mismatch between “system world” solutions and “living world” needs.</w:t>
            </w:r>
          </w:p>
          <w:p w14:paraId="4F6CC127"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41" w:type="pct"/>
          </w:tcPr>
          <w:p w14:paraId="1A3ACF8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researchers gathered rich qualitative data from </w:t>
            </w:r>
            <w:r w:rsidRPr="00732EED">
              <w:rPr>
                <w:bCs/>
                <w:color w:val="000000"/>
                <w:sz w:val="18"/>
                <w:szCs w:val="18"/>
              </w:rPr>
              <w:t>37 citizens and 23 professionals</w:t>
            </w:r>
            <w:r w:rsidRPr="00732EED">
              <w:rPr>
                <w:color w:val="000000"/>
                <w:sz w:val="18"/>
                <w:szCs w:val="18"/>
              </w:rPr>
              <w:t>, supplemented by observations from seven fieldwork days across diverse community locations like foodbanks and schoolyards. This provided a comprehensive view of the neighborhood’s social and cultural mechanisms.</w:t>
            </w:r>
          </w:p>
        </w:tc>
        <w:tc>
          <w:tcPr>
            <w:tcW w:w="840" w:type="pct"/>
          </w:tcPr>
          <w:p w14:paraId="5D38707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study is directly applicable to its core question of health promotion in deprived neighborhoods. By involving the specific target groups (parents, children, and those with mental health needs) of the “Healthy and Happy </w:t>
            </w:r>
            <w:proofErr w:type="gramStart"/>
            <w:r w:rsidRPr="00732EED">
              <w:rPr>
                <w:color w:val="000000"/>
                <w:sz w:val="18"/>
                <w:szCs w:val="18"/>
              </w:rPr>
              <w:t>The</w:t>
            </w:r>
            <w:proofErr w:type="gramEnd"/>
            <w:r w:rsidRPr="00732EED">
              <w:rPr>
                <w:color w:val="000000"/>
                <w:sz w:val="18"/>
                <w:szCs w:val="18"/>
              </w:rPr>
              <w:t xml:space="preserve"> Hague” network, the findings have immediate practical relevance for local policy.</w:t>
            </w:r>
          </w:p>
          <w:p w14:paraId="594074A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EB4ED6" w:rsidRPr="00732EED" w14:paraId="61795F1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734700E9" w14:textId="77777777" w:rsidR="00CF59AF" w:rsidRPr="00732EED" w:rsidRDefault="00CF59AF" w:rsidP="008E2192">
            <w:pPr>
              <w:jc w:val="right"/>
              <w:rPr>
                <w:color w:val="000000"/>
                <w:sz w:val="18"/>
                <w:szCs w:val="18"/>
              </w:rPr>
            </w:pPr>
            <w:r w:rsidRPr="00732EED">
              <w:rPr>
                <w:color w:val="000000"/>
                <w:sz w:val="18"/>
                <w:szCs w:val="18"/>
              </w:rPr>
              <w:t>59</w:t>
            </w:r>
          </w:p>
        </w:tc>
        <w:tc>
          <w:tcPr>
            <w:tcW w:w="1323" w:type="pct"/>
            <w:hideMark/>
          </w:tcPr>
          <w:p w14:paraId="05FAE635"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24" w:tgtFrame="_new" w:history="1">
              <w:r w:rsidR="00CF59AF" w:rsidRPr="00732EED">
                <w:rPr>
                  <w:color w:val="467886"/>
                  <w:sz w:val="18"/>
                  <w:szCs w:val="18"/>
                </w:rPr>
                <w:t>Van Dijk L (2021). Affordances in a multispecies entanglement. Ecological Psychology, 33:73–89. https://doi.org/10.1080/10407413.2021.1885978</w:t>
              </w:r>
            </w:hyperlink>
          </w:p>
        </w:tc>
        <w:tc>
          <w:tcPr>
            <w:tcW w:w="893" w:type="pct"/>
          </w:tcPr>
          <w:p w14:paraId="055E209A"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As a philosophical and theoretical exploration, the paper does not rely on a novel empirical study design that could have traditional conduct flaws. Instead, it builds its argument by synthesizing established evolutionary thinking in ecological psychology with peer-reviewed ethnographic works (e.g., Van Dooren).</w:t>
            </w:r>
          </w:p>
        </w:tc>
        <w:tc>
          <w:tcPr>
            <w:tcW w:w="957" w:type="pct"/>
          </w:tcPr>
          <w:p w14:paraId="071560E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highly coherent with the underlying theoretical framework. The author logically extends Edward Reed’s evolutionary approach to address identified gaps regarding indeterminacy. The “temporal reciprocity” model consistently links the scales of individual animals, species, and materials.</w:t>
            </w:r>
          </w:p>
        </w:tc>
        <w:tc>
          <w:tcPr>
            <w:tcW w:w="841" w:type="pct"/>
          </w:tcPr>
          <w:p w14:paraId="5A33572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While the paper is rich in theoretical depth and uses vivid, qualitative “concrete examples” (the Laysan Albatross and Northern white rhino), it is a conceptual piece rather than a large-scale data-driven study. The “data” consists of analyzed cases and literature rather than quantitative datasets.</w:t>
            </w:r>
          </w:p>
        </w:tc>
        <w:tc>
          <w:tcPr>
            <w:tcW w:w="840" w:type="pct"/>
          </w:tcPr>
          <w:p w14:paraId="7EA3802E"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paper is directly applicable to its core review question: how to develop the concept of affordances to capture the “messy” and “precarious” aspects of a shared, multispecies world. It successfully applies these concepts to contemporary contexts like the Anthropocene and plastic pollution.</w:t>
            </w:r>
          </w:p>
        </w:tc>
      </w:tr>
      <w:tr w:rsidR="00EB4ED6" w:rsidRPr="00732EED" w14:paraId="7786620D"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084100D9" w14:textId="77777777" w:rsidR="00CF59AF" w:rsidRPr="00732EED" w:rsidRDefault="00CF59AF" w:rsidP="008E2192">
            <w:pPr>
              <w:jc w:val="right"/>
              <w:rPr>
                <w:color w:val="000000"/>
                <w:sz w:val="18"/>
                <w:szCs w:val="18"/>
              </w:rPr>
            </w:pPr>
            <w:r w:rsidRPr="00732EED">
              <w:rPr>
                <w:color w:val="000000"/>
                <w:sz w:val="18"/>
                <w:szCs w:val="18"/>
              </w:rPr>
              <w:t>60</w:t>
            </w:r>
          </w:p>
        </w:tc>
        <w:tc>
          <w:tcPr>
            <w:tcW w:w="1323" w:type="pct"/>
            <w:hideMark/>
          </w:tcPr>
          <w:p w14:paraId="40CA2700"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25" w:tgtFrame="_new" w:history="1">
              <w:r w:rsidR="00CF59AF" w:rsidRPr="00732EED">
                <w:rPr>
                  <w:color w:val="467886"/>
                  <w:sz w:val="18"/>
                  <w:szCs w:val="18"/>
                </w:rPr>
                <w:t>Vienni-Baptista B, Pohl CE (2024). Exploring interdisciplinarity and transdisciplinarity as knowledge regimes. Sci Technol Hum Values, 49:1309–1348. https://doi.org/10.1177/01622439231216789</w:t>
              </w:r>
            </w:hyperlink>
          </w:p>
        </w:tc>
        <w:tc>
          <w:tcPr>
            <w:tcW w:w="893" w:type="pct"/>
          </w:tcPr>
          <w:p w14:paraId="2646FE3F" w14:textId="056922AD"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Moderate: The study utilizes a robust </w:t>
            </w:r>
            <w:r w:rsidRPr="00732EED">
              <w:rPr>
                <w:bCs/>
                <w:color w:val="000000"/>
                <w:sz w:val="18"/>
                <w:szCs w:val="18"/>
              </w:rPr>
              <w:t>meta-ethnography</w:t>
            </w:r>
            <w:r w:rsidRPr="00732EED">
              <w:rPr>
                <w:color w:val="000000"/>
                <w:sz w:val="18"/>
                <w:szCs w:val="18"/>
              </w:rPr>
              <w:t xml:space="preserve"> and iterative </w:t>
            </w:r>
            <w:r w:rsidRPr="00732EED">
              <w:rPr>
                <w:bCs/>
                <w:color w:val="000000"/>
                <w:sz w:val="18"/>
                <w:szCs w:val="18"/>
              </w:rPr>
              <w:t>grounded theory</w:t>
            </w:r>
            <w:r w:rsidRPr="00732EED">
              <w:rPr>
                <w:color w:val="000000"/>
                <w:sz w:val="18"/>
                <w:szCs w:val="18"/>
              </w:rPr>
              <w:t xml:space="preserve"> for data analysis. However, there is a noted limitation in the refinement </w:t>
            </w:r>
            <w:r w:rsidR="00B93F1C" w:rsidRPr="00732EED">
              <w:rPr>
                <w:color w:val="000000"/>
                <w:sz w:val="18"/>
                <w:szCs w:val="18"/>
              </w:rPr>
              <w:t>Phase</w:t>
            </w:r>
            <w:r w:rsidRPr="00732EED">
              <w:rPr>
                <w:color w:val="000000"/>
                <w:sz w:val="18"/>
                <w:szCs w:val="18"/>
              </w:rPr>
              <w:t xml:space="preserve">: while researchers and funders were heavily engaged, </w:t>
            </w:r>
            <w:r w:rsidRPr="00732EED">
              <w:rPr>
                <w:bCs/>
                <w:color w:val="000000"/>
                <w:sz w:val="18"/>
                <w:szCs w:val="18"/>
              </w:rPr>
              <w:t>policymakers</w:t>
            </w:r>
            <w:r w:rsidRPr="00732EED">
              <w:rPr>
                <w:color w:val="000000"/>
                <w:sz w:val="18"/>
                <w:szCs w:val="18"/>
              </w:rPr>
              <w:t xml:space="preserve"> were primarily interviewed and few directly </w:t>
            </w:r>
            <w:r w:rsidRPr="00732EED">
              <w:rPr>
                <w:color w:val="000000"/>
                <w:sz w:val="18"/>
                <w:szCs w:val="18"/>
              </w:rPr>
              <w:lastRenderedPageBreak/>
              <w:t>participated in the live testing of the tool.</w:t>
            </w:r>
          </w:p>
          <w:p w14:paraId="0C948929"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395EAE4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findings are strongly supported by a systematic literature review and cross-validated through multiple stakeholder interactions, including workshops, master classes, and semi-structured interviews. The resulting heuristic tool directly maps back to the three core components of </w:t>
            </w:r>
            <w:r w:rsidRPr="00732EED">
              <w:rPr>
                <w:color w:val="000000"/>
                <w:sz w:val="18"/>
                <w:szCs w:val="18"/>
              </w:rPr>
              <w:lastRenderedPageBreak/>
              <w:t xml:space="preserve">the </w:t>
            </w:r>
            <w:r w:rsidRPr="00732EED">
              <w:rPr>
                <w:bCs/>
                <w:color w:val="000000"/>
                <w:sz w:val="18"/>
                <w:szCs w:val="18"/>
              </w:rPr>
              <w:t>“knowledge regime”</w:t>
            </w:r>
            <w:r w:rsidRPr="00732EED">
              <w:rPr>
                <w:color w:val="000000"/>
                <w:sz w:val="18"/>
                <w:szCs w:val="18"/>
              </w:rPr>
              <w:t xml:space="preserve"> theoretical framework.</w:t>
            </w:r>
          </w:p>
          <w:p w14:paraId="0051B9F6"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841" w:type="pct"/>
          </w:tcPr>
          <w:p w14:paraId="5A57BAC1"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paper draws from a substantial dataset of </w:t>
            </w:r>
            <w:r w:rsidRPr="00732EED">
              <w:rPr>
                <w:bCs/>
                <w:color w:val="000000"/>
                <w:sz w:val="18"/>
                <w:szCs w:val="18"/>
              </w:rPr>
              <w:t>5,060 records</w:t>
            </w:r>
            <w:r w:rsidRPr="00732EED">
              <w:rPr>
                <w:color w:val="000000"/>
                <w:sz w:val="18"/>
                <w:szCs w:val="18"/>
              </w:rPr>
              <w:t xml:space="preserve"> from major databases (Web of Science, Scopus, JSTOR). The qualitative depth is further enriched by nine semi-structured interviews and multiple consultative workshops conducted between 2020 and 2022.</w:t>
            </w:r>
          </w:p>
        </w:tc>
        <w:tc>
          <w:tcPr>
            <w:tcW w:w="840" w:type="pct"/>
          </w:tcPr>
          <w:p w14:paraId="72A45448"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The study specifically addresses the documented disconnect between academic and policy discourses regarding ID/TD. The tool is explicitly designed for and tested by the primary stakeholders involved in these fields: researchers, </w:t>
            </w:r>
            <w:r w:rsidRPr="00732EED">
              <w:rPr>
                <w:color w:val="000000"/>
                <w:sz w:val="18"/>
                <w:szCs w:val="18"/>
              </w:rPr>
              <w:lastRenderedPageBreak/>
              <w:t>funders, and research managers.</w:t>
            </w:r>
          </w:p>
          <w:p w14:paraId="2542320A"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EB4ED6" w:rsidRPr="00732EED" w14:paraId="095CE100"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796C844E" w14:textId="77777777" w:rsidR="00CF59AF" w:rsidRPr="00732EED" w:rsidRDefault="00CF59AF" w:rsidP="008E2192">
            <w:pPr>
              <w:jc w:val="right"/>
              <w:rPr>
                <w:color w:val="000000"/>
                <w:sz w:val="18"/>
                <w:szCs w:val="18"/>
              </w:rPr>
            </w:pPr>
            <w:r w:rsidRPr="00732EED">
              <w:rPr>
                <w:color w:val="000000"/>
                <w:sz w:val="18"/>
                <w:szCs w:val="18"/>
              </w:rPr>
              <w:lastRenderedPageBreak/>
              <w:t>61</w:t>
            </w:r>
          </w:p>
        </w:tc>
        <w:tc>
          <w:tcPr>
            <w:tcW w:w="1323" w:type="pct"/>
            <w:hideMark/>
          </w:tcPr>
          <w:p w14:paraId="531CA0A4"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26" w:tgtFrame="_new" w:history="1">
              <w:r w:rsidR="00CF59AF" w:rsidRPr="00994F9D">
                <w:rPr>
                  <w:color w:val="467886"/>
                  <w:sz w:val="18"/>
                  <w:szCs w:val="18"/>
                  <w:lang w:val="nl-NL"/>
                </w:rPr>
                <w:t xml:space="preserve">Yang L, Shewchuk B, Shang C et al (2023). </w:t>
              </w:r>
              <w:r w:rsidR="00CF59AF" w:rsidRPr="00732EED">
                <w:rPr>
                  <w:color w:val="467886"/>
                  <w:sz w:val="18"/>
                  <w:szCs w:val="18"/>
                </w:rPr>
                <w:t>Transdisciplinary team science in health research, where are we? J Integr Des Process Sci, 26:307–316. https://doi.org/10.3233/JID-220011</w:t>
              </w:r>
            </w:hyperlink>
          </w:p>
        </w:tc>
        <w:tc>
          <w:tcPr>
            <w:tcW w:w="893" w:type="pct"/>
          </w:tcPr>
          <w:p w14:paraId="0C4B9A9C"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The paper uses a systematic approach to search the NIH </w:t>
            </w:r>
            <w:proofErr w:type="spellStart"/>
            <w:r w:rsidRPr="00732EED">
              <w:rPr>
                <w:color w:val="000000"/>
                <w:sz w:val="18"/>
                <w:szCs w:val="18"/>
              </w:rPr>
              <w:t>RePORTER</w:t>
            </w:r>
            <w:proofErr w:type="spellEnd"/>
            <w:r w:rsidRPr="00732EED">
              <w:rPr>
                <w:color w:val="000000"/>
                <w:sz w:val="18"/>
                <w:szCs w:val="18"/>
              </w:rPr>
              <w:t xml:space="preserve"> database and includes a dual-screening process to minimize bias. However, it is limited by relying solely on author-self-identified “transdisciplinary” terms, which might exclude relevant projects that did not use that specific keyword in their abstracts.</w:t>
            </w:r>
          </w:p>
        </w:tc>
        <w:tc>
          <w:tcPr>
            <w:tcW w:w="957" w:type="pct"/>
          </w:tcPr>
          <w:p w14:paraId="4B76FCC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findings are well-supported by the data extracted from the NIH database. The authors logically link the complexity of chronic disease burden to the necessity of transdisciplinary approaches and highlight a clear gap in the systematic development of shared mental models.</w:t>
            </w:r>
          </w:p>
        </w:tc>
        <w:tc>
          <w:tcPr>
            <w:tcW w:w="841" w:type="pct"/>
          </w:tcPr>
          <w:p w14:paraId="2ECC61A5"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review identified 25 unique NCI projects from an initial pool of 1,863. While the data is rich regarding cancer-specific funding and team composition, the final sample size (25 projects) is relatively small for drawing broad conclusions about all health research.</w:t>
            </w:r>
          </w:p>
        </w:tc>
        <w:tc>
          <w:tcPr>
            <w:tcW w:w="840" w:type="pct"/>
          </w:tcPr>
          <w:p w14:paraId="71CABA6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High: The studies reviewed (NCI-funded cancer projects) are directly applicable to the paper’s specific context: evaluating the progress of transdisciplinary team science in health research. The choice of cancer research serves as a valid “platform for review” due to the NCI's early leadership in this field.</w:t>
            </w:r>
          </w:p>
        </w:tc>
      </w:tr>
      <w:tr w:rsidR="00EB4ED6" w:rsidRPr="00732EED" w14:paraId="2A0CE11C"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4B3074AC" w14:textId="77777777" w:rsidR="00CF59AF" w:rsidRPr="00732EED" w:rsidRDefault="00CF59AF" w:rsidP="008E2192">
            <w:pPr>
              <w:jc w:val="right"/>
              <w:rPr>
                <w:color w:val="000000"/>
                <w:sz w:val="18"/>
                <w:szCs w:val="18"/>
              </w:rPr>
            </w:pPr>
            <w:r w:rsidRPr="00732EED">
              <w:rPr>
                <w:color w:val="000000"/>
                <w:sz w:val="18"/>
                <w:szCs w:val="18"/>
              </w:rPr>
              <w:t>62</w:t>
            </w:r>
          </w:p>
        </w:tc>
        <w:tc>
          <w:tcPr>
            <w:tcW w:w="1323" w:type="pct"/>
            <w:hideMark/>
          </w:tcPr>
          <w:p w14:paraId="1CF8C2C1"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27" w:tgtFrame="_new" w:history="1">
              <w:r w:rsidR="00CF59AF" w:rsidRPr="00732EED">
                <w:rPr>
                  <w:color w:val="467886"/>
                  <w:sz w:val="18"/>
                  <w:szCs w:val="18"/>
                </w:rPr>
                <w:t>Yılmazer E, Altinok A (2024). Innovating mindfulness-based stress reduction (MBSR) delivery in cancer care. Clin Cancer Investig J, 13:6–15. https://doi.org/10.51847/lrPe9pz2wg</w:t>
              </w:r>
            </w:hyperlink>
          </w:p>
        </w:tc>
        <w:tc>
          <w:tcPr>
            <w:tcW w:w="893" w:type="pct"/>
          </w:tcPr>
          <w:p w14:paraId="0E54188B"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Moderate: The paper relies on systematic reviews and meta-analyses of clinical trials. However, it notes research gaps such as a lack of longitudinal studies on long-term survival and recurrence, and the need for more comparative effectiveness studies against standard care.</w:t>
            </w:r>
          </w:p>
          <w:p w14:paraId="4B3E4956"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957" w:type="pct"/>
          </w:tcPr>
          <w:p w14:paraId="2F9054F7" w14:textId="6EF19A8C"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 xml:space="preserve">High: Findings are highly consistent across different types and </w:t>
            </w:r>
            <w:r w:rsidR="00B93F1C" w:rsidRPr="00732EED">
              <w:rPr>
                <w:color w:val="000000"/>
                <w:sz w:val="18"/>
                <w:szCs w:val="18"/>
              </w:rPr>
              <w:t>Phase</w:t>
            </w:r>
            <w:r w:rsidRPr="00732EED">
              <w:rPr>
                <w:color w:val="000000"/>
                <w:sz w:val="18"/>
                <w:szCs w:val="18"/>
              </w:rPr>
              <w:t>s of cancer. The paper reports that both quantitative data (clinical trials) and qualitative patient reports converge on the same benefits: reduced anxiety, depression, and improved quality of life.</w:t>
            </w:r>
          </w:p>
        </w:tc>
        <w:tc>
          <w:tcPr>
            <w:tcW w:w="841" w:type="pct"/>
          </w:tcPr>
          <w:p w14:paraId="4F1850B6"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review is supported by a rich body of evidence, including 50 cited references covering clinical trials, meta-analyses, and pilot studies. It provides diverse data points ranging from psychological outcomes to emerging physiological biomarkers like immune function and inflammation.</w:t>
            </w:r>
          </w:p>
        </w:tc>
        <w:tc>
          <w:tcPr>
            <w:tcW w:w="840" w:type="pct"/>
          </w:tcPr>
          <w:p w14:paraId="72DD2CC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t>High: The studies are directly applicable to the oncology context, specifically addressing cancer-related fatigue, pain, fear of recurrence, and the logistical challenges of treatment schedules. It also discusses adaptations for specific cancer types and treatment phases.</w:t>
            </w:r>
          </w:p>
        </w:tc>
      </w:tr>
      <w:tr w:rsidR="00EB4ED6" w:rsidRPr="00732EED" w14:paraId="1BEFCAF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 w:type="pct"/>
            <w:noWrap/>
            <w:hideMark/>
          </w:tcPr>
          <w:p w14:paraId="4B24B5D4" w14:textId="77777777" w:rsidR="00CF59AF" w:rsidRPr="00732EED" w:rsidRDefault="00CF59AF" w:rsidP="008E2192">
            <w:pPr>
              <w:jc w:val="right"/>
              <w:rPr>
                <w:color w:val="000000"/>
                <w:sz w:val="18"/>
                <w:szCs w:val="18"/>
              </w:rPr>
            </w:pPr>
            <w:r w:rsidRPr="00732EED">
              <w:rPr>
                <w:color w:val="000000"/>
                <w:sz w:val="18"/>
                <w:szCs w:val="18"/>
              </w:rPr>
              <w:t>63</w:t>
            </w:r>
          </w:p>
        </w:tc>
        <w:tc>
          <w:tcPr>
            <w:tcW w:w="1323" w:type="pct"/>
            <w:hideMark/>
          </w:tcPr>
          <w:p w14:paraId="5A606ADE" w14:textId="77777777" w:rsidR="00CF59AF" w:rsidRPr="00732EED" w:rsidRDefault="00000000" w:rsidP="00EB4ED6">
            <w:pPr>
              <w:cnfStyle w:val="000000100000" w:firstRow="0" w:lastRow="0" w:firstColumn="0" w:lastColumn="0" w:oddVBand="0" w:evenVBand="0" w:oddHBand="1" w:evenHBand="0" w:firstRowFirstColumn="0" w:firstRowLastColumn="0" w:lastRowFirstColumn="0" w:lastRowLastColumn="0"/>
              <w:rPr>
                <w:color w:val="467886"/>
                <w:sz w:val="18"/>
                <w:szCs w:val="18"/>
              </w:rPr>
            </w:pPr>
            <w:hyperlink r:id="rId128" w:tgtFrame="_new" w:history="1">
              <w:r w:rsidR="00CF59AF" w:rsidRPr="00732EED">
                <w:rPr>
                  <w:color w:val="467886"/>
                  <w:sz w:val="18"/>
                  <w:szCs w:val="18"/>
                </w:rPr>
                <w:t>Zeidan F, Baumgartner JN, Coghill RC (2019). The neural mechanisms of mindfulness-based pain relief: a functional magnetic resonance imaging-based review and primer. PAIN Reports, 4:e759. https://doi.org/10.1097/PR9.0000000000000759</w:t>
              </w:r>
            </w:hyperlink>
          </w:p>
        </w:tc>
        <w:tc>
          <w:tcPr>
            <w:tcW w:w="893" w:type="pct"/>
          </w:tcPr>
          <w:p w14:paraId="3FF0B338"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Moderate: The paper notes that while recent research is “carefully controlled”, many studies in the field, including seminal early work, lacked control groups. Additionally, the review highlights significant limitations in current neuroimaging research, such as the limited number of placebo-controlled studies and the high susceptibility of fMRI data to “physiological noise” caused by meditation-induced breathing changes.</w:t>
            </w:r>
          </w:p>
          <w:p w14:paraId="10184CC1"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957" w:type="pct"/>
          </w:tcPr>
          <w:p w14:paraId="0F4540B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Findings are described as having “converging lines of evidence”. Results across different studies show “remarkable consistency” with mindfulness principles, such as the consistent association between dispositional mindfulness and the deactivation of self-referential brain regions like the posterior cingulate cortex (PCC). </w:t>
            </w:r>
          </w:p>
          <w:p w14:paraId="6ECF58BB"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841" w:type="pct"/>
          </w:tcPr>
          <w:p w14:paraId="238BF200"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Moderate: While there is a “growing body of work” and “reliable and growing evidence” for long-term practitioners, the review also states that the precise neural mechanisms still remain “relatively uncharacterized”. Some findings, particularly those involving adept meditators or specific neurotransmitter systems, are based on “preliminary” or “exploratory” studies with small sample sizes (e.g., 11 adept meditators. </w:t>
            </w:r>
          </w:p>
        </w:tc>
        <w:tc>
          <w:tcPr>
            <w:tcW w:w="840" w:type="pct"/>
          </w:tcPr>
          <w:p w14:paraId="4ACFAB69" w14:textId="77777777" w:rsidR="00CF59AF" w:rsidRPr="00732EED" w:rsidRDefault="00CF59AF" w:rsidP="008E2192">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32EED">
              <w:rPr>
                <w:color w:val="000000"/>
                <w:sz w:val="18"/>
                <w:szCs w:val="18"/>
              </w:rPr>
              <w:t xml:space="preserve">High: The studies reviewed are directly applicable to the core question of how mindfulness modulates pain. The review specifically addresses the “ongoing opioid and chronic pain epidemic,” focusing on the potential for these findings to inform clinical behavioral therapies for actual chronic pain conditions like fibromyalgia and lower back pain. </w:t>
            </w:r>
          </w:p>
        </w:tc>
      </w:tr>
      <w:tr w:rsidR="00EB4ED6" w:rsidRPr="00732EED" w14:paraId="6064B48C" w14:textId="77777777" w:rsidTr="00EB4ED6">
        <w:tc>
          <w:tcPr>
            <w:cnfStyle w:val="001000000000" w:firstRow="0" w:lastRow="0" w:firstColumn="1" w:lastColumn="0" w:oddVBand="0" w:evenVBand="0" w:oddHBand="0" w:evenHBand="0" w:firstRowFirstColumn="0" w:firstRowLastColumn="0" w:lastRowFirstColumn="0" w:lastRowLastColumn="0"/>
            <w:tcW w:w="147" w:type="pct"/>
            <w:noWrap/>
            <w:hideMark/>
          </w:tcPr>
          <w:p w14:paraId="59493353" w14:textId="77777777" w:rsidR="00CF59AF" w:rsidRPr="00732EED" w:rsidRDefault="00CF59AF" w:rsidP="008E2192">
            <w:pPr>
              <w:jc w:val="right"/>
              <w:rPr>
                <w:color w:val="000000"/>
                <w:sz w:val="18"/>
                <w:szCs w:val="18"/>
              </w:rPr>
            </w:pPr>
            <w:r w:rsidRPr="00732EED">
              <w:rPr>
                <w:color w:val="000000"/>
                <w:sz w:val="18"/>
                <w:szCs w:val="18"/>
              </w:rPr>
              <w:t>64</w:t>
            </w:r>
          </w:p>
        </w:tc>
        <w:tc>
          <w:tcPr>
            <w:tcW w:w="1323" w:type="pct"/>
            <w:hideMark/>
          </w:tcPr>
          <w:p w14:paraId="6842E4B2" w14:textId="77777777" w:rsidR="00CF59AF" w:rsidRPr="00732EED" w:rsidRDefault="00000000" w:rsidP="00EB4ED6">
            <w:pPr>
              <w:cnfStyle w:val="000000000000" w:firstRow="0" w:lastRow="0" w:firstColumn="0" w:lastColumn="0" w:oddVBand="0" w:evenVBand="0" w:oddHBand="0" w:evenHBand="0" w:firstRowFirstColumn="0" w:firstRowLastColumn="0" w:lastRowFirstColumn="0" w:lastRowLastColumn="0"/>
              <w:rPr>
                <w:color w:val="467886"/>
                <w:sz w:val="18"/>
                <w:szCs w:val="18"/>
              </w:rPr>
            </w:pPr>
            <w:hyperlink r:id="rId129" w:tgtFrame="_new" w:history="1">
              <w:r w:rsidR="00CF59AF" w:rsidRPr="00732EED">
                <w:rPr>
                  <w:color w:val="467886"/>
                  <w:sz w:val="18"/>
                  <w:szCs w:val="18"/>
                </w:rPr>
                <w:t xml:space="preserve">Zeidan F, Vago DR (2016). Mindfulness meditation-based pain relief: a mechanistic </w:t>
              </w:r>
              <w:r w:rsidR="00CF59AF" w:rsidRPr="00732EED">
                <w:rPr>
                  <w:color w:val="467886"/>
                  <w:sz w:val="18"/>
                  <w:szCs w:val="18"/>
                </w:rPr>
                <w:lastRenderedPageBreak/>
                <w:t>account. Ann N Y Acad Sci, 1373:114–127. https://doi.org/10.1111/nyas.13153</w:t>
              </w:r>
            </w:hyperlink>
          </w:p>
        </w:tc>
        <w:tc>
          <w:tcPr>
            <w:tcW w:w="893" w:type="pct"/>
          </w:tcPr>
          <w:p w14:paraId="694C6FEE"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The review includes both cross-sectional </w:t>
            </w:r>
            <w:r w:rsidRPr="00732EED">
              <w:rPr>
                <w:color w:val="000000"/>
                <w:sz w:val="18"/>
                <w:szCs w:val="18"/>
              </w:rPr>
              <w:lastRenderedPageBreak/>
              <w:t>and longitudinal studies. Some key studies lack active control groups (e.g., Zeidan et al., 2011), and randomization was not always possible. However, later studies (e.g., Zeidan et al., 2015, 2016) improved by including placebo, sham, and naloxone controls. Brief training studies used small samples, and long-term meditator studies are prone to self-selection bias. Overall, limitations are acknowledged but not fully overcome.</w:t>
            </w:r>
          </w:p>
        </w:tc>
        <w:tc>
          <w:tcPr>
            <w:tcW w:w="957" w:type="pct"/>
          </w:tcPr>
          <w:p w14:paraId="346EF38D"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finding that mindfulness meditation reduces </w:t>
            </w:r>
            <w:r w:rsidRPr="00732EED">
              <w:rPr>
                <w:color w:val="000000"/>
                <w:sz w:val="18"/>
                <w:szCs w:val="18"/>
              </w:rPr>
              <w:lastRenderedPageBreak/>
              <w:t xml:space="preserve">pain, particularly the unpleasantness dimension, is consistently supported across multiple studies, populations (chronic pain, healthy volunteers), and meditation-expertise levels. Neural mechanisms (e.g., OFC, </w:t>
            </w:r>
            <w:proofErr w:type="spellStart"/>
            <w:r w:rsidRPr="00732EED">
              <w:rPr>
                <w:color w:val="000000"/>
                <w:sz w:val="18"/>
                <w:szCs w:val="18"/>
              </w:rPr>
              <w:t>sgACC</w:t>
            </w:r>
            <w:proofErr w:type="spellEnd"/>
            <w:r w:rsidRPr="00732EED">
              <w:rPr>
                <w:color w:val="000000"/>
                <w:sz w:val="18"/>
                <w:szCs w:val="18"/>
              </w:rPr>
              <w:t>, insula) are replicated across independent labs. The distinction between novice and expert meditators is coherently explained and supported by neuroimaging data.</w:t>
            </w:r>
          </w:p>
        </w:tc>
        <w:tc>
          <w:tcPr>
            <w:tcW w:w="841" w:type="pct"/>
          </w:tcPr>
          <w:p w14:paraId="1F8225E4"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Moderate: </w:t>
            </w:r>
            <w:r w:rsidRPr="00732EED">
              <w:rPr>
                <w:color w:val="000000"/>
                <w:sz w:val="18"/>
                <w:szCs w:val="18"/>
              </w:rPr>
              <w:tab/>
              <w:t xml:space="preserve">The review synthesizes a </w:t>
            </w:r>
            <w:r w:rsidRPr="00732EED">
              <w:rPr>
                <w:color w:val="000000"/>
                <w:sz w:val="18"/>
                <w:szCs w:val="18"/>
              </w:rPr>
              <w:lastRenderedPageBreak/>
              <w:t>substantial number of studies (over 150 references), including RCTs, neuroimaging (fMRI, ASL), and pharmacological (naloxone) designs. However, sample sizes in individual studies are often small (e.g., 15-78 participants). Chronic pain conditions vary widely (fibromyalgia, low back pain, IBS), and long-term meditator studies have modest Ns. Data are rich but not yet at the level of large-scale, multi-center trials.</w:t>
            </w:r>
          </w:p>
        </w:tc>
        <w:tc>
          <w:tcPr>
            <w:tcW w:w="840" w:type="pct"/>
          </w:tcPr>
          <w:p w14:paraId="5EF4621C" w14:textId="77777777" w:rsidR="00CF59AF" w:rsidRPr="00732EED" w:rsidRDefault="00CF59AF" w:rsidP="008E2192">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32EED">
              <w:rPr>
                <w:color w:val="000000"/>
                <w:sz w:val="18"/>
                <w:szCs w:val="18"/>
              </w:rPr>
              <w:lastRenderedPageBreak/>
              <w:t xml:space="preserve">High: The review directly addresses a clinically urgent </w:t>
            </w:r>
            <w:r w:rsidRPr="00732EED">
              <w:rPr>
                <w:color w:val="000000"/>
                <w:sz w:val="18"/>
                <w:szCs w:val="18"/>
              </w:rPr>
              <w:lastRenderedPageBreak/>
              <w:t>question: non-pharmacological, fast-acting pain therapy in the context of the opioid epidemic. Studies use clinically relevant pain conditions (chronic low back pain, fibromyalgia) and experimentally induced pain. Mechanisms are explored in ways that inform clinical application. Findings are highly applicable to chronic pain patients seeking non-opioid treatments.</w:t>
            </w:r>
          </w:p>
        </w:tc>
      </w:tr>
    </w:tbl>
    <w:p w14:paraId="23F4D43A" w14:textId="4EF9E4E8" w:rsidR="00F704FE" w:rsidRPr="00732EED" w:rsidRDefault="00F704FE" w:rsidP="00F704FE">
      <w:pPr>
        <w:rPr>
          <w:sz w:val="18"/>
          <w:szCs w:val="18"/>
        </w:rPr>
      </w:pPr>
      <w:r w:rsidRPr="00732EED">
        <w:rPr>
          <w:sz w:val="18"/>
          <w:szCs w:val="18"/>
        </w:rPr>
        <w:lastRenderedPageBreak/>
        <w:t>*Purpose: Summarizes confidence in each reference’s contribution using four domains adapted from GRADE-</w:t>
      </w:r>
      <w:proofErr w:type="spellStart"/>
      <w:r w:rsidRPr="00732EED">
        <w:rPr>
          <w:sz w:val="18"/>
          <w:szCs w:val="18"/>
        </w:rPr>
        <w:t>CERQual</w:t>
      </w:r>
      <w:proofErr w:type="spellEnd"/>
      <w:r w:rsidRPr="00732EED">
        <w:rPr>
          <w:sz w:val="18"/>
          <w:szCs w:val="18"/>
        </w:rPr>
        <w:t xml:space="preserve"> for qualitative and conceptual evidence (see Methods pp. 6–11; protocol overview pp. 56–58). Interpretation: Use domain grades qualitatively; do not compute numeric means. Flag references with ≥2 domains rated Low/Very low for sensitivity analysis; document any decisions to down</w:t>
      </w:r>
      <w:r w:rsidRPr="00732EED">
        <w:rPr>
          <w:sz w:val="18"/>
          <w:szCs w:val="18"/>
        </w:rPr>
        <w:noBreakHyphen/>
        <w:t>weight their influence in synthesis (Supplementary Methods). Domains (definitions): Methodological limitations: Flaws in design/conduct of the contributing study/</w:t>
      </w:r>
      <w:proofErr w:type="spellStart"/>
      <w:r w:rsidRPr="00732EED">
        <w:rPr>
          <w:sz w:val="18"/>
          <w:szCs w:val="18"/>
        </w:rPr>
        <w:t>review.Coherence</w:t>
      </w:r>
      <w:proofErr w:type="spellEnd"/>
      <w:r w:rsidRPr="00732EED">
        <w:rPr>
          <w:sz w:val="18"/>
          <w:szCs w:val="18"/>
        </w:rPr>
        <w:t xml:space="preserve">: Fit between findings and underlying data; internal consistency across </w:t>
      </w:r>
      <w:proofErr w:type="spellStart"/>
      <w:proofErr w:type="gramStart"/>
      <w:r w:rsidRPr="00732EED">
        <w:rPr>
          <w:sz w:val="18"/>
          <w:szCs w:val="18"/>
        </w:rPr>
        <w:t>sources.Adequacy</w:t>
      </w:r>
      <w:proofErr w:type="spellEnd"/>
      <w:proofErr w:type="gramEnd"/>
      <w:r w:rsidRPr="00732EED">
        <w:rPr>
          <w:sz w:val="18"/>
          <w:szCs w:val="18"/>
        </w:rPr>
        <w:t xml:space="preserve"> of data: Richness, quantity, and diversity of supporting data.</w:t>
      </w:r>
    </w:p>
    <w:p w14:paraId="62379CF8" w14:textId="16E3A4D7" w:rsidR="00F704FE" w:rsidRPr="00732EED" w:rsidRDefault="00F704FE" w:rsidP="00F704FE">
      <w:pPr>
        <w:rPr>
          <w:sz w:val="18"/>
          <w:szCs w:val="18"/>
        </w:rPr>
      </w:pPr>
      <w:r w:rsidRPr="00732EED">
        <w:rPr>
          <w:sz w:val="18"/>
          <w:szCs w:val="18"/>
        </w:rPr>
        <w:t>Relevance: Applicability to this review’s context/questions. Grading scale: Very low, Low, Moderate, High. Overall confidence for a body of evidence is synthesized in the narrative; per-reference domain grades are reported here. Process: Two reviewers independently rated each domain; disagreements resolved by consensus; rationales recorded in the audit trail (Supplementary Methods).  Scope note: Perspective/theoretical papers are appraised for conceptual rigor and synthesis quality rather than primary data; narrative/scoping reviews are judged on transparency and breadth (reported accordingly in domain rationales).</w:t>
      </w:r>
    </w:p>
    <w:p w14:paraId="75024442" w14:textId="54A279D9" w:rsidR="00F704FE" w:rsidRPr="00732EED" w:rsidRDefault="00F704FE" w:rsidP="00F704FE">
      <w:pPr>
        <w:rPr>
          <w:sz w:val="18"/>
          <w:szCs w:val="18"/>
        </w:rPr>
      </w:pPr>
      <w:r w:rsidRPr="00732EED">
        <w:rPr>
          <w:sz w:val="18"/>
          <w:szCs w:val="18"/>
        </w:rPr>
        <w:t xml:space="preserve">Cross-references and pages: How appraisals inform synthesis and pathway prioritization (pp. 36–38, 59–63). Links to visualization inputs (Figures 1–2). Full citations and study IDs in Supplementary </w:t>
      </w:r>
      <w:proofErr w:type="spellStart"/>
      <w:r w:rsidRPr="00732EED">
        <w:rPr>
          <w:sz w:val="18"/>
          <w:szCs w:val="18"/>
        </w:rPr>
        <w:t>Refrences</w:t>
      </w:r>
      <w:proofErr w:type="spellEnd"/>
      <w:r w:rsidRPr="00732EED">
        <w:rPr>
          <w:sz w:val="18"/>
          <w:szCs w:val="18"/>
        </w:rPr>
        <w:t xml:space="preserve">. Reporting standards: PRISMA 2020 (Page et al., 2021); </w:t>
      </w:r>
      <w:proofErr w:type="spellStart"/>
      <w:r w:rsidRPr="00732EED">
        <w:rPr>
          <w:sz w:val="18"/>
          <w:szCs w:val="18"/>
        </w:rPr>
        <w:t>CERQual</w:t>
      </w:r>
      <w:proofErr w:type="spellEnd"/>
      <w:r w:rsidRPr="00732EED">
        <w:rPr>
          <w:sz w:val="18"/>
          <w:szCs w:val="18"/>
        </w:rPr>
        <w:t xml:space="preserve"> guidance (Lewin et al., 2018); </w:t>
      </w:r>
      <w:proofErr w:type="spellStart"/>
      <w:r w:rsidRPr="00732EED">
        <w:rPr>
          <w:sz w:val="18"/>
          <w:szCs w:val="18"/>
        </w:rPr>
        <w:t>eMERGe</w:t>
      </w:r>
      <w:proofErr w:type="spellEnd"/>
      <w:r w:rsidRPr="00732EED">
        <w:rPr>
          <w:sz w:val="18"/>
          <w:szCs w:val="18"/>
        </w:rPr>
        <w:t xml:space="preserve"> for meta-ethnography (France et al., 2019); MMAT for mixed-methods appraisal (Hong et al., 2019). Abbreviations: </w:t>
      </w:r>
      <w:proofErr w:type="spellStart"/>
      <w:r w:rsidRPr="00732EED">
        <w:rPr>
          <w:sz w:val="18"/>
          <w:szCs w:val="18"/>
        </w:rPr>
        <w:t>CERQual</w:t>
      </w:r>
      <w:proofErr w:type="spellEnd"/>
      <w:r w:rsidRPr="00732EED">
        <w:rPr>
          <w:sz w:val="18"/>
          <w:szCs w:val="18"/>
        </w:rPr>
        <w:t xml:space="preserve"> = Confidence in the Evidence from Reviews of Qualitative Research; MMAT = Mixed Methods Appraisal Tool; PRISMA = Preferred Reporting Items for Systematic Reviews and Meta-Analyses; RCT = randomized controlled trial; CDSS = clinical decision support system; OBO = Open Biological and Biomedical Ontology; GO = Gene Ontology; NHS = National Health Service; COPD = chronic obstructive pulmonary disease; QoL = quality of life.</w:t>
      </w:r>
    </w:p>
    <w:p w14:paraId="32A5CDAA" w14:textId="78C95BE3" w:rsidR="00EB4ED6" w:rsidRDefault="00EB4ED6">
      <w:pPr>
        <w:spacing w:after="160" w:line="278" w:lineRule="auto"/>
        <w:rPr>
          <w:sz w:val="18"/>
          <w:szCs w:val="18"/>
        </w:rPr>
      </w:pPr>
      <w:r>
        <w:rPr>
          <w:sz w:val="18"/>
          <w:szCs w:val="18"/>
        </w:rPr>
        <w:br w:type="page"/>
      </w:r>
    </w:p>
    <w:p w14:paraId="3CCD6E06" w14:textId="4633B841" w:rsidR="00FA1FB7" w:rsidRPr="00732EED" w:rsidRDefault="00FA1FB7" w:rsidP="00FA1FB7">
      <w:pPr>
        <w:rPr>
          <w:b/>
          <w:bCs/>
          <w:color w:val="000000"/>
          <w:sz w:val="18"/>
          <w:szCs w:val="18"/>
        </w:rPr>
      </w:pPr>
      <w:r w:rsidRPr="00732EED">
        <w:rPr>
          <w:b/>
          <w:bCs/>
          <w:color w:val="000000"/>
          <w:sz w:val="18"/>
          <w:szCs w:val="18"/>
        </w:rPr>
        <w:lastRenderedPageBreak/>
        <w:t>Supplementary Table S1</w:t>
      </w:r>
      <w:r w:rsidR="00E418E3" w:rsidRPr="00732EED">
        <w:rPr>
          <w:b/>
          <w:bCs/>
          <w:color w:val="000000"/>
          <w:sz w:val="18"/>
          <w:szCs w:val="18"/>
        </w:rPr>
        <w:t>7</w:t>
      </w:r>
      <w:r w:rsidRPr="00732EED">
        <w:rPr>
          <w:b/>
          <w:bCs/>
          <w:color w:val="000000"/>
          <w:sz w:val="18"/>
          <w:szCs w:val="18"/>
        </w:rPr>
        <w:t xml:space="preserve">. </w:t>
      </w:r>
      <w:r w:rsidR="000C67B3" w:rsidRPr="00732EED">
        <w:rPr>
          <w:b/>
          <w:bCs/>
          <w:color w:val="000000"/>
          <w:sz w:val="18"/>
          <w:szCs w:val="18"/>
        </w:rPr>
        <w:t>S</w:t>
      </w:r>
      <w:r w:rsidRPr="00732EED">
        <w:rPr>
          <w:b/>
          <w:bCs/>
          <w:color w:val="000000"/>
          <w:sz w:val="18"/>
          <w:szCs w:val="18"/>
        </w:rPr>
        <w:t>ensitivity testing of Phase 2 themes and implications for confidence*</w:t>
      </w:r>
    </w:p>
    <w:tbl>
      <w:tblPr>
        <w:tblStyle w:val="PlainTable1"/>
        <w:tblW w:w="5069" w:type="pct"/>
        <w:tblInd w:w="-147" w:type="dxa"/>
        <w:tblLook w:val="04A0" w:firstRow="1" w:lastRow="0" w:firstColumn="1" w:lastColumn="0" w:noHBand="0" w:noVBand="1"/>
      </w:tblPr>
      <w:tblGrid>
        <w:gridCol w:w="1758"/>
        <w:gridCol w:w="2531"/>
        <w:gridCol w:w="2465"/>
        <w:gridCol w:w="2450"/>
        <w:gridCol w:w="4545"/>
      </w:tblGrid>
      <w:tr w:rsidR="00FA1FB7" w:rsidRPr="00732EED" w14:paraId="1B5D8D4B" w14:textId="77777777" w:rsidTr="00EB4E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pct"/>
            <w:hideMark/>
          </w:tcPr>
          <w:p w14:paraId="3002BC9D" w14:textId="1349EAD7" w:rsidR="00FA1FB7" w:rsidRPr="00732EED" w:rsidRDefault="00FA1FB7" w:rsidP="007F6616">
            <w:pPr>
              <w:spacing w:before="100" w:beforeAutospacing="1" w:after="100" w:afterAutospacing="1"/>
              <w:rPr>
                <w:sz w:val="18"/>
                <w:szCs w:val="18"/>
              </w:rPr>
            </w:pPr>
            <w:r w:rsidRPr="00732EED">
              <w:rPr>
                <w:sz w:val="18"/>
                <w:szCs w:val="18"/>
              </w:rPr>
              <w:t>Extracted theme / review finding</w:t>
            </w:r>
          </w:p>
        </w:tc>
        <w:tc>
          <w:tcPr>
            <w:tcW w:w="0" w:type="auto"/>
            <w:hideMark/>
          </w:tcPr>
          <w:p w14:paraId="740AA41B" w14:textId="77777777" w:rsidR="00FA1FB7" w:rsidRPr="00732EED" w:rsidRDefault="00FA1FB7" w:rsidP="007F661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Sensitivity test</w:t>
            </w:r>
          </w:p>
        </w:tc>
        <w:tc>
          <w:tcPr>
            <w:tcW w:w="0" w:type="auto"/>
            <w:hideMark/>
          </w:tcPr>
          <w:p w14:paraId="57468E2D" w14:textId="77777777" w:rsidR="00FA1FB7" w:rsidRPr="00732EED" w:rsidRDefault="00FA1FB7" w:rsidP="007F661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Finding</w:t>
            </w:r>
          </w:p>
        </w:tc>
        <w:tc>
          <w:tcPr>
            <w:tcW w:w="0" w:type="auto"/>
            <w:hideMark/>
          </w:tcPr>
          <w:p w14:paraId="48C9439E" w14:textId="77777777" w:rsidR="00FA1FB7" w:rsidRPr="00732EED" w:rsidRDefault="00FA1FB7" w:rsidP="007F661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Impact on confidence</w:t>
            </w:r>
          </w:p>
        </w:tc>
        <w:tc>
          <w:tcPr>
            <w:tcW w:w="1653" w:type="pct"/>
            <w:hideMark/>
          </w:tcPr>
          <w:p w14:paraId="6C33D41F" w14:textId="77777777" w:rsidR="00FA1FB7" w:rsidRPr="00732EED" w:rsidRDefault="00FA1FB7" w:rsidP="007F661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732EED">
              <w:rPr>
                <w:sz w:val="18"/>
                <w:szCs w:val="18"/>
              </w:rPr>
              <w:t>CERQual</w:t>
            </w:r>
            <w:proofErr w:type="spellEnd"/>
            <w:r w:rsidRPr="00732EED">
              <w:rPr>
                <w:sz w:val="18"/>
                <w:szCs w:val="18"/>
              </w:rPr>
              <w:t>-aligned sensitivity statement</w:t>
            </w:r>
          </w:p>
        </w:tc>
      </w:tr>
      <w:tr w:rsidR="00EB4ED6" w:rsidRPr="00732EED" w14:paraId="5900EE1A"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pct"/>
            <w:hideMark/>
          </w:tcPr>
          <w:p w14:paraId="6F023C9A" w14:textId="77777777" w:rsidR="00F051E2" w:rsidRPr="00732EED" w:rsidRDefault="00F051E2" w:rsidP="007F6616">
            <w:pPr>
              <w:spacing w:before="100" w:beforeAutospacing="1" w:after="100" w:afterAutospacing="1"/>
              <w:rPr>
                <w:sz w:val="18"/>
                <w:szCs w:val="18"/>
              </w:rPr>
            </w:pPr>
            <w:r w:rsidRPr="00732EED">
              <w:rPr>
                <w:sz w:val="18"/>
                <w:szCs w:val="18"/>
              </w:rPr>
              <w:t>Pain: mindfulness, lived experience, and supportive care</w:t>
            </w:r>
          </w:p>
        </w:tc>
        <w:tc>
          <w:tcPr>
            <w:tcW w:w="0" w:type="auto"/>
            <w:hideMark/>
          </w:tcPr>
          <w:p w14:paraId="43DBCF4A"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Restriction to stronger evidence sources, including systematic reviews, meta-analyses, and analytically richer qualitative studies</w:t>
            </w:r>
          </w:p>
        </w:tc>
        <w:tc>
          <w:tcPr>
            <w:tcW w:w="0" w:type="auto"/>
            <w:hideMark/>
          </w:tcPr>
          <w:p w14:paraId="62AC20B9"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overall theme was retained, but the most robust conclusion narrowed to improvements in pain-related distress, coping, mood, quality of life, and patient engagement rather than consistent reductions in pain intensity.</w:t>
            </w:r>
          </w:p>
        </w:tc>
        <w:tc>
          <w:tcPr>
            <w:tcW w:w="0" w:type="auto"/>
            <w:hideMark/>
          </w:tcPr>
          <w:p w14:paraId="0070470E"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Slight to moderate reduction in confidence for claims relating to pain intensity; no important reduction in confidence for broader whole-person and supportive-care interpretations.</w:t>
            </w:r>
          </w:p>
        </w:tc>
        <w:tc>
          <w:tcPr>
            <w:tcW w:w="1653" w:type="pct"/>
            <w:vMerge w:val="restart"/>
            <w:hideMark/>
          </w:tcPr>
          <w:p w14:paraId="6E62A280" w14:textId="77C1C21F"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Confidence in this review finding was judged as moderate to high, but sensitivity testing indicated that some components of the finding were more robust than others. Coherence was strong across systematic reviews, qualitative studies, participatory research, and supportive-care literature in showing that mindfulness-based and related approaches are associated with improvements in distress, coping, psychological well-being, quality of life, and patient engagement. Relevance was also high, given consistent applicability to chronic pain and supportive-care contexts. However, adequacy and methodological limitations were more mixed for claims about reductions in pain intensity, particularly where evidence relied on heterogeneous interventions, small studies, narrative reviews, or mechanistic accounts without direct evaluative confirmation. Confidence is therefore highest for the interpretation that pain management should move beyond symptom-reduction alone and incorporate whole-person, relational, and culturally responsive care, while claims about direct effects on pain intensity should be interpreted more cautiously.</w:t>
            </w:r>
          </w:p>
        </w:tc>
      </w:tr>
      <w:tr w:rsidR="00F051E2" w:rsidRPr="00732EED" w14:paraId="0940EA96" w14:textId="77777777" w:rsidTr="00EB4ED6">
        <w:tc>
          <w:tcPr>
            <w:cnfStyle w:val="001000000000" w:firstRow="0" w:lastRow="0" w:firstColumn="1" w:lastColumn="0" w:oddVBand="0" w:evenVBand="0" w:oddHBand="0" w:evenHBand="0" w:firstRowFirstColumn="0" w:firstRowLastColumn="0" w:lastRowFirstColumn="0" w:lastRowLastColumn="0"/>
            <w:tcW w:w="639" w:type="pct"/>
            <w:hideMark/>
          </w:tcPr>
          <w:p w14:paraId="13BB4C84" w14:textId="77777777" w:rsidR="00F051E2" w:rsidRPr="00732EED" w:rsidRDefault="00F051E2" w:rsidP="007F6616">
            <w:pPr>
              <w:spacing w:before="100" w:beforeAutospacing="1" w:after="100" w:afterAutospacing="1"/>
              <w:rPr>
                <w:sz w:val="18"/>
                <w:szCs w:val="18"/>
              </w:rPr>
            </w:pPr>
            <w:r w:rsidRPr="00732EED">
              <w:rPr>
                <w:sz w:val="18"/>
                <w:szCs w:val="18"/>
              </w:rPr>
              <w:t>Pain: mindfulness, lived experience, and supportive care</w:t>
            </w:r>
          </w:p>
        </w:tc>
        <w:tc>
          <w:tcPr>
            <w:tcW w:w="0" w:type="auto"/>
            <w:hideMark/>
          </w:tcPr>
          <w:p w14:paraId="13731B1A"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Down-weighting conceptually influential studies contributing multiple linked concepts</w:t>
            </w:r>
          </w:p>
        </w:tc>
        <w:tc>
          <w:tcPr>
            <w:tcW w:w="0" w:type="auto"/>
            <w:hideMark/>
          </w:tcPr>
          <w:p w14:paraId="41E3824C"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core finding that pain is shaped by lived, relational, and sociocultural experience remained stable, although thematic richness concerning identity, inequity, and validation was somewhat reduced.</w:t>
            </w:r>
          </w:p>
        </w:tc>
        <w:tc>
          <w:tcPr>
            <w:tcW w:w="0" w:type="auto"/>
            <w:hideMark/>
          </w:tcPr>
          <w:p w14:paraId="500A6CE2"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Minor reduction in confidence in the breadth of subtheme elaboration; confidence in the overarching theme remained moderate to high.</w:t>
            </w:r>
          </w:p>
        </w:tc>
        <w:tc>
          <w:tcPr>
            <w:tcW w:w="1653" w:type="pct"/>
            <w:vMerge/>
            <w:hideMark/>
          </w:tcPr>
          <w:p w14:paraId="3AFFFAAF" w14:textId="238C079D"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p>
        </w:tc>
      </w:tr>
      <w:tr w:rsidR="00EB4ED6" w:rsidRPr="00732EED" w14:paraId="107FC42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pct"/>
            <w:hideMark/>
          </w:tcPr>
          <w:p w14:paraId="1A743C42" w14:textId="77777777" w:rsidR="00F051E2" w:rsidRPr="00732EED" w:rsidRDefault="00F051E2" w:rsidP="007F6616">
            <w:pPr>
              <w:spacing w:before="100" w:beforeAutospacing="1" w:after="100" w:afterAutospacing="1"/>
              <w:rPr>
                <w:sz w:val="18"/>
                <w:szCs w:val="18"/>
              </w:rPr>
            </w:pPr>
            <w:r w:rsidRPr="00732EED">
              <w:rPr>
                <w:sz w:val="18"/>
                <w:szCs w:val="18"/>
              </w:rPr>
              <w:t>Pain: mindfulness, lived experience, and supportive care</w:t>
            </w:r>
          </w:p>
        </w:tc>
        <w:tc>
          <w:tcPr>
            <w:tcW w:w="0" w:type="auto"/>
            <w:hideMark/>
          </w:tcPr>
          <w:p w14:paraId="7838798E"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Separation of intervention-focused evidence from experiential/qualitative evidence</w:t>
            </w:r>
          </w:p>
        </w:tc>
        <w:tc>
          <w:tcPr>
            <w:tcW w:w="0" w:type="auto"/>
            <w:hideMark/>
          </w:tcPr>
          <w:p w14:paraId="299C24AA"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Intervention evidence most consistently supported psychological and coping-related benefits, whereas qualitative evidence reinforced the need for whole-person, relational, and culturally responsive care.</w:t>
            </w:r>
          </w:p>
        </w:tc>
        <w:tc>
          <w:tcPr>
            <w:tcW w:w="0" w:type="auto"/>
            <w:hideMark/>
          </w:tcPr>
          <w:p w14:paraId="66374CC5"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Increased confidence in a differentiated interpretation; confidence is highest for distress/coping benefits and moderate for broader intervention effectiveness claims.</w:t>
            </w:r>
          </w:p>
        </w:tc>
        <w:tc>
          <w:tcPr>
            <w:tcW w:w="1653" w:type="pct"/>
            <w:vMerge/>
            <w:hideMark/>
          </w:tcPr>
          <w:p w14:paraId="7289188D" w14:textId="5F481B72"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p>
        </w:tc>
      </w:tr>
      <w:tr w:rsidR="00F051E2" w:rsidRPr="00732EED" w14:paraId="37F9EAEE" w14:textId="77777777" w:rsidTr="00EB4ED6">
        <w:tc>
          <w:tcPr>
            <w:cnfStyle w:val="001000000000" w:firstRow="0" w:lastRow="0" w:firstColumn="1" w:lastColumn="0" w:oddVBand="0" w:evenVBand="0" w:oddHBand="0" w:evenHBand="0" w:firstRowFirstColumn="0" w:firstRowLastColumn="0" w:lastRowFirstColumn="0" w:lastRowLastColumn="0"/>
            <w:tcW w:w="639" w:type="pct"/>
            <w:hideMark/>
          </w:tcPr>
          <w:p w14:paraId="1094A114" w14:textId="77777777" w:rsidR="00F051E2" w:rsidRPr="00732EED" w:rsidRDefault="00F051E2" w:rsidP="007F6616">
            <w:pPr>
              <w:spacing w:before="100" w:beforeAutospacing="1" w:after="100" w:afterAutospacing="1"/>
              <w:rPr>
                <w:sz w:val="18"/>
                <w:szCs w:val="18"/>
              </w:rPr>
            </w:pPr>
            <w:r w:rsidRPr="00732EED">
              <w:rPr>
                <w:sz w:val="18"/>
                <w:szCs w:val="18"/>
              </w:rPr>
              <w:t>Ontology: process-based conceptualization</w:t>
            </w:r>
          </w:p>
        </w:tc>
        <w:tc>
          <w:tcPr>
            <w:tcW w:w="0" w:type="auto"/>
            <w:hideMark/>
          </w:tcPr>
          <w:p w14:paraId="30F42361"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Restriction to applied and empirically oriented ontology literature</w:t>
            </w:r>
          </w:p>
        </w:tc>
        <w:tc>
          <w:tcPr>
            <w:tcW w:w="0" w:type="auto"/>
            <w:hideMark/>
          </w:tcPr>
          <w:p w14:paraId="20FE1309"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Strong support remained for ontology-based approaches in data integration, interoperability, workflow representation, causal modelling, and decision support.</w:t>
            </w:r>
          </w:p>
        </w:tc>
        <w:tc>
          <w:tcPr>
            <w:tcW w:w="0" w:type="auto"/>
            <w:hideMark/>
          </w:tcPr>
          <w:p w14:paraId="4E2D0F18"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Little or no reduction in confidence for applied ontology findings; high confidence retained.</w:t>
            </w:r>
          </w:p>
        </w:tc>
        <w:tc>
          <w:tcPr>
            <w:tcW w:w="1653" w:type="pct"/>
            <w:vMerge w:val="restart"/>
            <w:hideMark/>
          </w:tcPr>
          <w:p w14:paraId="31A8E8DB" w14:textId="598793F4"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Confidence in this finding was judged as high overall, although sensitivity testing suggested an important distinction between applied and theoretical components. Coherence was high across ontology-development papers, reviews, and informatics studies showing the usefulness of ontologies for interoperability, workflow representation, causal modelling, and decision support. Relevance was high for complex biomedical and health-systems contexts, and adequacy was strong for applied ontology use in informatics. By contrast, the broader process-ontology interpretation, while conceptually coherent and theoretically relevant, depended more heavily on philosophical and theoretical scholarship than on direct empirical evaluation. Confidence is therefore high for the applied ontology component and moderate to high for the broader claim that process-oriented ontology offers a superior conceptual basis for understanding biological and medical complexity.</w:t>
            </w:r>
          </w:p>
        </w:tc>
      </w:tr>
      <w:tr w:rsidR="00EB4ED6" w:rsidRPr="00732EED" w14:paraId="20D3DBC1"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pct"/>
            <w:hideMark/>
          </w:tcPr>
          <w:p w14:paraId="09B69058" w14:textId="77777777" w:rsidR="00F051E2" w:rsidRPr="00732EED" w:rsidRDefault="00F051E2" w:rsidP="007F6616">
            <w:pPr>
              <w:spacing w:before="100" w:beforeAutospacing="1" w:after="100" w:afterAutospacing="1"/>
              <w:rPr>
                <w:sz w:val="18"/>
                <w:szCs w:val="18"/>
              </w:rPr>
            </w:pPr>
            <w:r w:rsidRPr="00732EED">
              <w:rPr>
                <w:sz w:val="18"/>
                <w:szCs w:val="18"/>
              </w:rPr>
              <w:t>Ontology: process-based conceptualization</w:t>
            </w:r>
          </w:p>
        </w:tc>
        <w:tc>
          <w:tcPr>
            <w:tcW w:w="0" w:type="auto"/>
            <w:hideMark/>
          </w:tcPr>
          <w:p w14:paraId="3BCC3851"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Separation of applied </w:t>
            </w:r>
            <w:proofErr w:type="spellStart"/>
            <w:r w:rsidRPr="00732EED">
              <w:rPr>
                <w:sz w:val="18"/>
                <w:szCs w:val="18"/>
              </w:rPr>
              <w:t>ontomogy</w:t>
            </w:r>
            <w:proofErr w:type="spellEnd"/>
            <w:r w:rsidRPr="00732EED">
              <w:rPr>
                <w:sz w:val="18"/>
                <w:szCs w:val="18"/>
              </w:rPr>
              <w:t xml:space="preserve"> papers from philosophical/theoretical ontology papers</w:t>
            </w:r>
          </w:p>
        </w:tc>
        <w:tc>
          <w:tcPr>
            <w:tcW w:w="0" w:type="auto"/>
            <w:hideMark/>
          </w:tcPr>
          <w:p w14:paraId="249945AF"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Applied ontology claims remained highly stable; broader process-ontology claims about disease, organisms, and causality remained conceptually coherent but were less empirically demonstrated.</w:t>
            </w:r>
          </w:p>
        </w:tc>
        <w:tc>
          <w:tcPr>
            <w:tcW w:w="0" w:type="auto"/>
            <w:hideMark/>
          </w:tcPr>
          <w:p w14:paraId="2712FE47"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High confidence for applied ontology findings; moderate to high confidence for broader theoretical/process-ontology claims.</w:t>
            </w:r>
          </w:p>
        </w:tc>
        <w:tc>
          <w:tcPr>
            <w:tcW w:w="1653" w:type="pct"/>
            <w:vMerge/>
            <w:hideMark/>
          </w:tcPr>
          <w:p w14:paraId="1EB1AA02" w14:textId="4491DB3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p>
        </w:tc>
      </w:tr>
      <w:tr w:rsidR="00F051E2" w:rsidRPr="00732EED" w14:paraId="3C8BD466" w14:textId="77777777" w:rsidTr="00EB4ED6">
        <w:tc>
          <w:tcPr>
            <w:cnfStyle w:val="001000000000" w:firstRow="0" w:lastRow="0" w:firstColumn="1" w:lastColumn="0" w:oddVBand="0" w:evenVBand="0" w:oddHBand="0" w:evenHBand="0" w:firstRowFirstColumn="0" w:firstRowLastColumn="0" w:lastRowFirstColumn="0" w:lastRowLastColumn="0"/>
            <w:tcW w:w="639" w:type="pct"/>
            <w:hideMark/>
          </w:tcPr>
          <w:p w14:paraId="7AA24A76" w14:textId="77777777" w:rsidR="00F051E2" w:rsidRPr="00732EED" w:rsidRDefault="00F051E2" w:rsidP="007F6616">
            <w:pPr>
              <w:spacing w:before="100" w:beforeAutospacing="1" w:after="100" w:afterAutospacing="1"/>
              <w:rPr>
                <w:sz w:val="18"/>
                <w:szCs w:val="18"/>
              </w:rPr>
            </w:pPr>
            <w:r w:rsidRPr="00732EED">
              <w:rPr>
                <w:sz w:val="18"/>
                <w:szCs w:val="18"/>
              </w:rPr>
              <w:t>Ontology: process-based conceptualization</w:t>
            </w:r>
          </w:p>
        </w:tc>
        <w:tc>
          <w:tcPr>
            <w:tcW w:w="0" w:type="auto"/>
            <w:hideMark/>
          </w:tcPr>
          <w:p w14:paraId="3F0F786B"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Comparison of umbrella theme with narrower subthemes (applied ontology vs process ontology)</w:t>
            </w:r>
          </w:p>
        </w:tc>
        <w:tc>
          <w:tcPr>
            <w:tcW w:w="0" w:type="auto"/>
            <w:hideMark/>
          </w:tcPr>
          <w:p w14:paraId="4F8B7BE9"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Both subthemes supported the higher-order ontology theme, suggesting that the finding was not dependent on one mode of thematic aggregation.</w:t>
            </w:r>
          </w:p>
        </w:tc>
        <w:tc>
          <w:tcPr>
            <w:tcW w:w="0" w:type="auto"/>
            <w:hideMark/>
          </w:tcPr>
          <w:p w14:paraId="351D67B9"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Confidence strengthened by convergence across analytic levels.</w:t>
            </w:r>
          </w:p>
        </w:tc>
        <w:tc>
          <w:tcPr>
            <w:tcW w:w="1653" w:type="pct"/>
            <w:vMerge/>
            <w:hideMark/>
          </w:tcPr>
          <w:p w14:paraId="4420E206" w14:textId="4884D08D"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p>
        </w:tc>
      </w:tr>
      <w:tr w:rsidR="00EB4ED6" w:rsidRPr="00732EED" w14:paraId="6824172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pct"/>
            <w:hideMark/>
          </w:tcPr>
          <w:p w14:paraId="5B602D30" w14:textId="77777777" w:rsidR="00F051E2" w:rsidRPr="00732EED" w:rsidRDefault="00F051E2" w:rsidP="007F6616">
            <w:pPr>
              <w:spacing w:before="100" w:beforeAutospacing="1" w:after="100" w:afterAutospacing="1"/>
              <w:rPr>
                <w:sz w:val="18"/>
                <w:szCs w:val="18"/>
              </w:rPr>
            </w:pPr>
            <w:proofErr w:type="spellStart"/>
            <w:r w:rsidRPr="00732EED">
              <w:rPr>
                <w:sz w:val="18"/>
                <w:szCs w:val="18"/>
              </w:rPr>
              <w:lastRenderedPageBreak/>
              <w:t>Transdisciplinarity</w:t>
            </w:r>
            <w:proofErr w:type="spellEnd"/>
            <w:r w:rsidRPr="00732EED">
              <w:rPr>
                <w:sz w:val="18"/>
                <w:szCs w:val="18"/>
              </w:rPr>
              <w:t>: One Health, team science, and whole-systems research</w:t>
            </w:r>
          </w:p>
        </w:tc>
        <w:tc>
          <w:tcPr>
            <w:tcW w:w="0" w:type="auto"/>
            <w:hideMark/>
          </w:tcPr>
          <w:p w14:paraId="13B26601"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Restriction to studies offering implementation or evaluative evidence</w:t>
            </w:r>
          </w:p>
        </w:tc>
        <w:tc>
          <w:tcPr>
            <w:tcW w:w="0" w:type="auto"/>
            <w:hideMark/>
          </w:tcPr>
          <w:p w14:paraId="3DFFE67E"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central finding that complex health challenges require transdisciplinary collaboration remained, but claims regarding comparative effectiveness and measurable outcomes became more tentative.</w:t>
            </w:r>
          </w:p>
        </w:tc>
        <w:tc>
          <w:tcPr>
            <w:tcW w:w="0" w:type="auto"/>
            <w:hideMark/>
          </w:tcPr>
          <w:p w14:paraId="1D3A371C"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confidence retained for conceptual and strategic relevance; lower confidence in claims about implementation success or comparative effectiveness.</w:t>
            </w:r>
          </w:p>
        </w:tc>
        <w:tc>
          <w:tcPr>
            <w:tcW w:w="1653" w:type="pct"/>
            <w:vMerge w:val="restart"/>
            <w:hideMark/>
          </w:tcPr>
          <w:p w14:paraId="5D60DDA6" w14:textId="4143D4DA"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Confidence in this review finding was judged as moderate to high. Sensitivity testing showed that coherence and relevance were consistently strong across perspective articles, scoping reviews, conceptual syntheses, and research-mapping studies, all of which converged on the importance of transdisciplinary collaboration for complex and interdependent health problems. However, adequacy of directly evaluative evidence was more limited, and methodological limitations were more prominent where the evidence base relied heavily on conceptual or advocacy-oriented work rather than comparative or implementation-focused studies. Confidence is therefore strongest for the finding that transdisciplinary infrastructures, shared language, and institutional support are important enabling conditions for complex health research, but lower for claims concerning comparative effectiveness, implementation success, or measurable downstream impact.</w:t>
            </w:r>
          </w:p>
        </w:tc>
      </w:tr>
      <w:tr w:rsidR="00F051E2" w:rsidRPr="00732EED" w14:paraId="16C2D02D" w14:textId="77777777" w:rsidTr="00EB4ED6">
        <w:tc>
          <w:tcPr>
            <w:cnfStyle w:val="001000000000" w:firstRow="0" w:lastRow="0" w:firstColumn="1" w:lastColumn="0" w:oddVBand="0" w:evenVBand="0" w:oddHBand="0" w:evenHBand="0" w:firstRowFirstColumn="0" w:firstRowLastColumn="0" w:lastRowFirstColumn="0" w:lastRowLastColumn="0"/>
            <w:tcW w:w="639" w:type="pct"/>
            <w:hideMark/>
          </w:tcPr>
          <w:p w14:paraId="4B98F195" w14:textId="77777777" w:rsidR="00F051E2" w:rsidRPr="00732EED" w:rsidRDefault="00F051E2" w:rsidP="007F6616">
            <w:pPr>
              <w:spacing w:before="100" w:beforeAutospacing="1" w:after="100" w:afterAutospacing="1"/>
              <w:rPr>
                <w:sz w:val="18"/>
                <w:szCs w:val="18"/>
              </w:rPr>
            </w:pPr>
            <w:proofErr w:type="spellStart"/>
            <w:r w:rsidRPr="00732EED">
              <w:rPr>
                <w:sz w:val="18"/>
                <w:szCs w:val="18"/>
              </w:rPr>
              <w:t>Transdisciplinarity</w:t>
            </w:r>
            <w:proofErr w:type="spellEnd"/>
            <w:r w:rsidRPr="00732EED">
              <w:rPr>
                <w:sz w:val="18"/>
                <w:szCs w:val="18"/>
              </w:rPr>
              <w:t>: One Health, team science, and whole-systems research</w:t>
            </w:r>
          </w:p>
        </w:tc>
        <w:tc>
          <w:tcPr>
            <w:tcW w:w="0" w:type="auto"/>
            <w:hideMark/>
          </w:tcPr>
          <w:p w14:paraId="4578C6BB"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Down-weighting perspective and advocacy-oriented literature</w:t>
            </w:r>
          </w:p>
        </w:tc>
        <w:tc>
          <w:tcPr>
            <w:tcW w:w="0" w:type="auto"/>
            <w:hideMark/>
          </w:tcPr>
          <w:p w14:paraId="456CD976"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rationale for transdisciplinary collaboration remained coherent, but the evidence base became more clearly limited in direct outcome evaluation.</w:t>
            </w:r>
          </w:p>
        </w:tc>
        <w:tc>
          <w:tcPr>
            <w:tcW w:w="0" w:type="auto"/>
            <w:hideMark/>
          </w:tcPr>
          <w:p w14:paraId="7BDF626C"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Slight reduction in confidence, primarily due to adequacy and methodological limitations rather than coherence.</w:t>
            </w:r>
          </w:p>
        </w:tc>
        <w:tc>
          <w:tcPr>
            <w:tcW w:w="1653" w:type="pct"/>
            <w:vMerge/>
            <w:hideMark/>
          </w:tcPr>
          <w:p w14:paraId="43CFD247" w14:textId="26801EE0"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p>
        </w:tc>
      </w:tr>
      <w:tr w:rsidR="00EB4ED6" w:rsidRPr="00732EED" w14:paraId="4573B8AD"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pct"/>
            <w:hideMark/>
          </w:tcPr>
          <w:p w14:paraId="4AB914C8" w14:textId="77777777" w:rsidR="00F051E2" w:rsidRPr="00732EED" w:rsidRDefault="00F051E2" w:rsidP="007F6616">
            <w:pPr>
              <w:spacing w:before="100" w:beforeAutospacing="1" w:after="100" w:afterAutospacing="1"/>
              <w:rPr>
                <w:sz w:val="18"/>
                <w:szCs w:val="18"/>
              </w:rPr>
            </w:pPr>
            <w:proofErr w:type="spellStart"/>
            <w:r w:rsidRPr="00732EED">
              <w:rPr>
                <w:sz w:val="18"/>
                <w:szCs w:val="18"/>
              </w:rPr>
              <w:t>Transdisciplinarity</w:t>
            </w:r>
            <w:proofErr w:type="spellEnd"/>
            <w:r w:rsidRPr="00732EED">
              <w:rPr>
                <w:sz w:val="18"/>
                <w:szCs w:val="18"/>
              </w:rPr>
              <w:t>: One Health, team science, and whole-systems research</w:t>
            </w:r>
          </w:p>
        </w:tc>
        <w:tc>
          <w:tcPr>
            <w:tcW w:w="0" w:type="auto"/>
            <w:hideMark/>
          </w:tcPr>
          <w:p w14:paraId="395F0C9B"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Comparison of broad theme with subthemes such as prevention, integrated care, and systems change</w:t>
            </w:r>
          </w:p>
        </w:tc>
        <w:tc>
          <w:tcPr>
            <w:tcW w:w="0" w:type="auto"/>
            <w:hideMark/>
          </w:tcPr>
          <w:p w14:paraId="0E7368E2"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umbrella theme remained stable across subthemes, indicating consistency in the broader interpretation of whole-systems collaboration.</w:t>
            </w:r>
          </w:p>
        </w:tc>
        <w:tc>
          <w:tcPr>
            <w:tcW w:w="0" w:type="auto"/>
            <w:hideMark/>
          </w:tcPr>
          <w:p w14:paraId="7C8B6005"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Confidence supported by thematic convergence, though still tempered by limited evaluative evidence.</w:t>
            </w:r>
          </w:p>
        </w:tc>
        <w:tc>
          <w:tcPr>
            <w:tcW w:w="1653" w:type="pct"/>
            <w:vMerge/>
            <w:hideMark/>
          </w:tcPr>
          <w:p w14:paraId="09EF8952" w14:textId="2A3CE34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p>
        </w:tc>
      </w:tr>
      <w:tr w:rsidR="00F051E2" w:rsidRPr="00732EED" w14:paraId="14EC2D1E" w14:textId="77777777" w:rsidTr="00EB4ED6">
        <w:tc>
          <w:tcPr>
            <w:cnfStyle w:val="001000000000" w:firstRow="0" w:lastRow="0" w:firstColumn="1" w:lastColumn="0" w:oddVBand="0" w:evenVBand="0" w:oddHBand="0" w:evenHBand="0" w:firstRowFirstColumn="0" w:firstRowLastColumn="0" w:lastRowFirstColumn="0" w:lastRowLastColumn="0"/>
            <w:tcW w:w="639" w:type="pct"/>
            <w:hideMark/>
          </w:tcPr>
          <w:p w14:paraId="03808CEF" w14:textId="77777777" w:rsidR="00F051E2" w:rsidRPr="00732EED" w:rsidRDefault="00F051E2" w:rsidP="007F6616">
            <w:pPr>
              <w:spacing w:before="100" w:beforeAutospacing="1" w:after="100" w:afterAutospacing="1"/>
              <w:rPr>
                <w:sz w:val="18"/>
                <w:szCs w:val="18"/>
              </w:rPr>
            </w:pPr>
            <w:r w:rsidRPr="00732EED">
              <w:rPr>
                <w:sz w:val="18"/>
                <w:szCs w:val="18"/>
              </w:rPr>
              <w:t>Participatory research: CBPR, PAR, co-production, and community engagement</w:t>
            </w:r>
          </w:p>
        </w:tc>
        <w:tc>
          <w:tcPr>
            <w:tcW w:w="0" w:type="auto"/>
            <w:hideMark/>
          </w:tcPr>
          <w:p w14:paraId="75AB5642"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Restriction to empirically grounded participatory studies</w:t>
            </w:r>
          </w:p>
        </w:tc>
        <w:tc>
          <w:tcPr>
            <w:tcW w:w="0" w:type="auto"/>
            <w:hideMark/>
          </w:tcPr>
          <w:p w14:paraId="49190CF9"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finding that participatory approaches improve contextual relevance, trust, equity, and practical applicability remained unchanged.</w:t>
            </w:r>
          </w:p>
        </w:tc>
        <w:tc>
          <w:tcPr>
            <w:tcW w:w="0" w:type="auto"/>
            <w:hideMark/>
          </w:tcPr>
          <w:p w14:paraId="611394FB"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Little or no reduction in confidence; high confidence retained.</w:t>
            </w:r>
          </w:p>
        </w:tc>
        <w:tc>
          <w:tcPr>
            <w:tcW w:w="1653" w:type="pct"/>
            <w:vMerge w:val="restart"/>
            <w:hideMark/>
          </w:tcPr>
          <w:p w14:paraId="474749EF" w14:textId="62498789"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Confidence in this review finding was judged as high. Sensitivity testing showed that the finding remained stable when more tentative studies were down-weighted and when narrower subthemes were examined separately. Coherence was strong across qualitative, CBPR, PAR, and community-engaged studies conducted in diverse settings, all of which consistently indicated that participatory approaches enhance contextual relevance, trust, equity, legitimacy, and implementation potential. Relevance was high because the studies addressed real-world contexts involving lived experience, inequity, and service design. Although some individual studies had limitations related to sample size, flexible design, or early-</w:t>
            </w:r>
            <w:r w:rsidR="00B93F1C" w:rsidRPr="00732EED">
              <w:rPr>
                <w:sz w:val="18"/>
                <w:szCs w:val="18"/>
              </w:rPr>
              <w:t>Phase</w:t>
            </w:r>
            <w:r w:rsidRPr="00732EED">
              <w:rPr>
                <w:sz w:val="18"/>
                <w:szCs w:val="18"/>
              </w:rPr>
              <w:t xml:space="preserve"> evaluation, these did not materially alter the main finding. Confidence is therefore high that participatory approaches are especially valuable where research and intervention development aim to address lived experience, inequities, and implementation challenges in practice.</w:t>
            </w:r>
          </w:p>
        </w:tc>
      </w:tr>
      <w:tr w:rsidR="00EB4ED6" w:rsidRPr="00732EED" w14:paraId="002E4A9A"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pct"/>
            <w:hideMark/>
          </w:tcPr>
          <w:p w14:paraId="438BA2D4" w14:textId="77777777" w:rsidR="00F051E2" w:rsidRPr="00732EED" w:rsidRDefault="00F051E2" w:rsidP="007F6616">
            <w:pPr>
              <w:spacing w:before="100" w:beforeAutospacing="1" w:after="100" w:afterAutospacing="1"/>
              <w:rPr>
                <w:sz w:val="18"/>
                <w:szCs w:val="18"/>
              </w:rPr>
            </w:pPr>
            <w:r w:rsidRPr="00732EED">
              <w:rPr>
                <w:sz w:val="18"/>
                <w:szCs w:val="18"/>
              </w:rPr>
              <w:t>Participatory research: CBPR, PAR, co-production, and community engagement</w:t>
            </w:r>
          </w:p>
        </w:tc>
        <w:tc>
          <w:tcPr>
            <w:tcW w:w="0" w:type="auto"/>
            <w:hideMark/>
          </w:tcPr>
          <w:p w14:paraId="5EF26B11" w14:textId="3FAA7A9A"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Down-weighting small-scale or early-</w:t>
            </w:r>
            <w:r w:rsidR="00B93F1C" w:rsidRPr="00732EED">
              <w:rPr>
                <w:sz w:val="18"/>
                <w:szCs w:val="18"/>
              </w:rPr>
              <w:t>Phase</w:t>
            </w:r>
            <w:r w:rsidRPr="00732EED">
              <w:rPr>
                <w:sz w:val="18"/>
                <w:szCs w:val="18"/>
              </w:rPr>
              <w:t xml:space="preserve"> studies</w:t>
            </w:r>
          </w:p>
        </w:tc>
        <w:tc>
          <w:tcPr>
            <w:tcW w:w="0" w:type="auto"/>
            <w:hideMark/>
          </w:tcPr>
          <w:p w14:paraId="15025308"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core finding remained stable, although some contextual examples and implementation detail were reduced.</w:t>
            </w:r>
          </w:p>
        </w:tc>
        <w:tc>
          <w:tcPr>
            <w:tcW w:w="0" w:type="auto"/>
            <w:hideMark/>
          </w:tcPr>
          <w:p w14:paraId="153803F2" w14:textId="77777777"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Minimal impact on confidence because the finding was supported across diverse contexts and study types.</w:t>
            </w:r>
          </w:p>
        </w:tc>
        <w:tc>
          <w:tcPr>
            <w:tcW w:w="1653" w:type="pct"/>
            <w:vMerge/>
            <w:hideMark/>
          </w:tcPr>
          <w:p w14:paraId="20FC0A92" w14:textId="3300DBB2" w:rsidR="00F051E2" w:rsidRPr="00732EED" w:rsidRDefault="00F051E2" w:rsidP="007F66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18"/>
                <w:szCs w:val="18"/>
              </w:rPr>
            </w:pPr>
          </w:p>
        </w:tc>
      </w:tr>
      <w:tr w:rsidR="00F051E2" w:rsidRPr="00732EED" w14:paraId="1866F9BB" w14:textId="77777777" w:rsidTr="00EB4ED6">
        <w:tc>
          <w:tcPr>
            <w:cnfStyle w:val="001000000000" w:firstRow="0" w:lastRow="0" w:firstColumn="1" w:lastColumn="0" w:oddVBand="0" w:evenVBand="0" w:oddHBand="0" w:evenHBand="0" w:firstRowFirstColumn="0" w:firstRowLastColumn="0" w:lastRowFirstColumn="0" w:lastRowLastColumn="0"/>
            <w:tcW w:w="639" w:type="pct"/>
            <w:hideMark/>
          </w:tcPr>
          <w:p w14:paraId="0AF094F8" w14:textId="77777777" w:rsidR="00F051E2" w:rsidRPr="00732EED" w:rsidRDefault="00F051E2" w:rsidP="007F6616">
            <w:pPr>
              <w:spacing w:before="100" w:beforeAutospacing="1" w:after="100" w:afterAutospacing="1"/>
              <w:rPr>
                <w:sz w:val="18"/>
                <w:szCs w:val="18"/>
              </w:rPr>
            </w:pPr>
            <w:r w:rsidRPr="00732EED">
              <w:rPr>
                <w:sz w:val="18"/>
                <w:szCs w:val="18"/>
              </w:rPr>
              <w:t>Participatory research: CBPR, PAR, co-production, and community engagement</w:t>
            </w:r>
          </w:p>
        </w:tc>
        <w:tc>
          <w:tcPr>
            <w:tcW w:w="0" w:type="auto"/>
            <w:hideMark/>
          </w:tcPr>
          <w:p w14:paraId="4A8FA937"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Comparison of umbrella theme with subthemes such as self-management, co-design, and community engagement</w:t>
            </w:r>
          </w:p>
        </w:tc>
        <w:tc>
          <w:tcPr>
            <w:tcW w:w="0" w:type="auto"/>
            <w:hideMark/>
          </w:tcPr>
          <w:p w14:paraId="045B70E7"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The broader participatory theme remained intact across narrower thematic expressions, supporting internal consistency.</w:t>
            </w:r>
          </w:p>
        </w:tc>
        <w:tc>
          <w:tcPr>
            <w:tcW w:w="0" w:type="auto"/>
            <w:hideMark/>
          </w:tcPr>
          <w:p w14:paraId="4306EE83" w14:textId="77777777"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Confidence strengthened by coherence and relevance across varied settings and applications.</w:t>
            </w:r>
          </w:p>
        </w:tc>
        <w:tc>
          <w:tcPr>
            <w:tcW w:w="1653" w:type="pct"/>
            <w:vMerge/>
            <w:hideMark/>
          </w:tcPr>
          <w:p w14:paraId="7BF8F1F3" w14:textId="5A77D2FF" w:rsidR="00F051E2" w:rsidRPr="00732EED" w:rsidRDefault="00F051E2" w:rsidP="007F661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8"/>
                <w:szCs w:val="18"/>
              </w:rPr>
            </w:pPr>
          </w:p>
        </w:tc>
      </w:tr>
    </w:tbl>
    <w:p w14:paraId="5581C5E0" w14:textId="54B80A43" w:rsidR="00EB4ED6" w:rsidRDefault="00FA1FB7" w:rsidP="00EB4ED6">
      <w:pPr>
        <w:rPr>
          <w:sz w:val="18"/>
          <w:szCs w:val="18"/>
        </w:rPr>
      </w:pPr>
      <w:r w:rsidRPr="00732EED">
        <w:rPr>
          <w:sz w:val="18"/>
          <w:szCs w:val="18"/>
        </w:rPr>
        <w:t xml:space="preserve">* Purpose: Presents </w:t>
      </w:r>
      <w:proofErr w:type="spellStart"/>
      <w:r w:rsidRPr="00732EED">
        <w:rPr>
          <w:sz w:val="18"/>
          <w:szCs w:val="18"/>
        </w:rPr>
        <w:t>CERQual</w:t>
      </w:r>
      <w:proofErr w:type="spellEnd"/>
      <w:r w:rsidRPr="00732EED">
        <w:rPr>
          <w:sz w:val="18"/>
          <w:szCs w:val="18"/>
        </w:rPr>
        <w:noBreakHyphen/>
        <w:t>aligned sensitivity tests for Phase 2 thematic findings to assess robustness of interpretations under alternative evidence restrictions (see Methods pp. 6–11; protocol overview pp. 56–58). Sensitivity procedures: Three families of tests were applied per theme: (a) source restriction (e.g., limit to systematic reviews/meta</w:t>
      </w:r>
      <w:r w:rsidRPr="00732EED">
        <w:rPr>
          <w:sz w:val="18"/>
          <w:szCs w:val="18"/>
        </w:rPr>
        <w:noBreakHyphen/>
        <w:t>analyses or empirically grounded studies), (b) weighting changes (down</w:t>
      </w:r>
      <w:r w:rsidRPr="00732EED">
        <w:rPr>
          <w:sz w:val="18"/>
          <w:szCs w:val="18"/>
        </w:rPr>
        <w:noBreakHyphen/>
        <w:t>weight conceptually influential or small/early</w:t>
      </w:r>
      <w:r w:rsidRPr="00732EED">
        <w:rPr>
          <w:sz w:val="18"/>
          <w:szCs w:val="18"/>
        </w:rPr>
        <w:noBreakHyphen/>
      </w:r>
      <w:r w:rsidR="00B93F1C" w:rsidRPr="00732EED">
        <w:rPr>
          <w:sz w:val="18"/>
          <w:szCs w:val="18"/>
        </w:rPr>
        <w:t>Phase</w:t>
      </w:r>
      <w:r w:rsidRPr="00732EED">
        <w:rPr>
          <w:sz w:val="18"/>
          <w:szCs w:val="18"/>
        </w:rPr>
        <w:t xml:space="preserve"> studies), and (c) evidence separation (split intervention vs experiential/qualitative evidence; split applied vs theoretical ontology). Confidence framework: Impact on confidence is interpreted using </w:t>
      </w:r>
      <w:proofErr w:type="spellStart"/>
      <w:r w:rsidRPr="00732EED">
        <w:rPr>
          <w:sz w:val="18"/>
          <w:szCs w:val="18"/>
        </w:rPr>
        <w:t>CERQual</w:t>
      </w:r>
      <w:proofErr w:type="spellEnd"/>
      <w:r w:rsidRPr="00732EED">
        <w:rPr>
          <w:sz w:val="18"/>
          <w:szCs w:val="18"/>
        </w:rPr>
        <w:t xml:space="preserve"> domains—methodological limitations, coherence, adequacy, and relevance—without computing numeric averages. Overall judgments reflect consensus after domain reappraisal; disagreements and rationales are logged in the audit trail (Supplementary Methods S1). Link to visuals: Changes in confidence and thematic scope were compared against node/edge frequencies and heat</w:t>
      </w:r>
      <w:r w:rsidRPr="00732EED">
        <w:rPr>
          <w:sz w:val="18"/>
          <w:szCs w:val="18"/>
        </w:rPr>
        <w:noBreakHyphen/>
        <w:t xml:space="preserve">map cell densities (Figures 1–2); Interpretation notes: “Little or no reduction” = no material </w:t>
      </w:r>
      <w:proofErr w:type="gramStart"/>
      <w:r w:rsidRPr="00732EED">
        <w:rPr>
          <w:sz w:val="18"/>
          <w:szCs w:val="18"/>
        </w:rPr>
        <w:t>change</w:t>
      </w:r>
      <w:proofErr w:type="gramEnd"/>
      <w:r w:rsidRPr="00732EED">
        <w:rPr>
          <w:sz w:val="18"/>
          <w:szCs w:val="18"/>
        </w:rPr>
        <w:t xml:space="preserve"> in domain ratings; conclusion stable. “Slight to moderate reduction” = localized downgrades (typically adequacy/limitations) without overturning the core conclusion. “Confidence strengthened by convergence” = cross</w:t>
      </w:r>
      <w:r w:rsidRPr="00732EED">
        <w:rPr>
          <w:sz w:val="18"/>
          <w:szCs w:val="18"/>
        </w:rPr>
        <w:noBreakHyphen/>
        <w:t>subset stability and/or improved coherence after separation.</w:t>
      </w:r>
      <w:r w:rsidR="00EB4ED6">
        <w:rPr>
          <w:sz w:val="18"/>
          <w:szCs w:val="18"/>
        </w:rPr>
        <w:t xml:space="preserve"> </w:t>
      </w:r>
      <w:r w:rsidRPr="00732EED">
        <w:rPr>
          <w:sz w:val="18"/>
          <w:szCs w:val="18"/>
        </w:rPr>
        <w:t xml:space="preserve">Abbreviations: </w:t>
      </w:r>
      <w:proofErr w:type="spellStart"/>
      <w:r w:rsidRPr="00732EED">
        <w:rPr>
          <w:sz w:val="18"/>
          <w:szCs w:val="18"/>
        </w:rPr>
        <w:t>CERQual</w:t>
      </w:r>
      <w:proofErr w:type="spellEnd"/>
      <w:r w:rsidRPr="00732EED">
        <w:rPr>
          <w:sz w:val="18"/>
          <w:szCs w:val="18"/>
        </w:rPr>
        <w:t xml:space="preserve"> = Confidence in the Evidence from Reviews of Qualitative Research; CBPR = Community</w:t>
      </w:r>
      <w:r w:rsidRPr="00732EED">
        <w:rPr>
          <w:sz w:val="18"/>
          <w:szCs w:val="18"/>
        </w:rPr>
        <w:noBreakHyphen/>
        <w:t>Based Participatory Research; PAR = Participatory Action Research.</w:t>
      </w:r>
      <w:r w:rsidR="00EB4ED6">
        <w:rPr>
          <w:sz w:val="18"/>
          <w:szCs w:val="18"/>
        </w:rPr>
        <w:t xml:space="preserve"> </w:t>
      </w:r>
      <w:r w:rsidR="00EB4ED6">
        <w:rPr>
          <w:sz w:val="18"/>
          <w:szCs w:val="18"/>
        </w:rPr>
        <w:br w:type="page"/>
      </w:r>
    </w:p>
    <w:p w14:paraId="037931AC" w14:textId="60AC7845" w:rsidR="00C60EF0" w:rsidRPr="00732EED" w:rsidRDefault="00C60EF0" w:rsidP="00C60EF0">
      <w:pPr>
        <w:rPr>
          <w:b/>
          <w:bCs/>
          <w:sz w:val="18"/>
          <w:szCs w:val="18"/>
        </w:rPr>
      </w:pPr>
      <w:r w:rsidRPr="00732EED">
        <w:rPr>
          <w:b/>
          <w:bCs/>
          <w:sz w:val="18"/>
          <w:szCs w:val="18"/>
        </w:rPr>
        <w:lastRenderedPageBreak/>
        <w:t>Supplementary Table S</w:t>
      </w:r>
      <w:r w:rsidR="0074639D" w:rsidRPr="00732EED">
        <w:rPr>
          <w:b/>
          <w:bCs/>
          <w:sz w:val="18"/>
          <w:szCs w:val="18"/>
        </w:rPr>
        <w:t>1</w:t>
      </w:r>
      <w:r w:rsidR="00E418E3" w:rsidRPr="00732EED">
        <w:rPr>
          <w:b/>
          <w:bCs/>
          <w:sz w:val="18"/>
          <w:szCs w:val="18"/>
        </w:rPr>
        <w:t>8</w:t>
      </w:r>
      <w:r w:rsidRPr="00732EED">
        <w:rPr>
          <w:b/>
          <w:bCs/>
          <w:sz w:val="18"/>
          <w:szCs w:val="18"/>
        </w:rPr>
        <w:t>. Thematic evidence profiles and confidence judgments (</w:t>
      </w:r>
      <w:proofErr w:type="spellStart"/>
      <w:r w:rsidRPr="00732EED">
        <w:rPr>
          <w:b/>
          <w:bCs/>
          <w:sz w:val="18"/>
          <w:szCs w:val="18"/>
        </w:rPr>
        <w:t>CERQual</w:t>
      </w:r>
      <w:proofErr w:type="spellEnd"/>
      <w:r w:rsidRPr="00732EED">
        <w:rPr>
          <w:b/>
          <w:bCs/>
          <w:sz w:val="18"/>
          <w:szCs w:val="18"/>
        </w:rPr>
        <w:t xml:space="preserve">-informed, Phase </w:t>
      </w:r>
      <w:proofErr w:type="gramStart"/>
      <w:r w:rsidRPr="00732EED">
        <w:rPr>
          <w:b/>
          <w:bCs/>
          <w:sz w:val="18"/>
          <w:szCs w:val="18"/>
        </w:rPr>
        <w:t>2)*</w:t>
      </w:r>
      <w:proofErr w:type="gramEnd"/>
    </w:p>
    <w:tbl>
      <w:tblPr>
        <w:tblStyle w:val="PlainTable1"/>
        <w:tblW w:w="5000" w:type="pct"/>
        <w:tblLook w:val="04A0" w:firstRow="1" w:lastRow="0" w:firstColumn="1" w:lastColumn="0" w:noHBand="0" w:noVBand="1"/>
      </w:tblPr>
      <w:tblGrid>
        <w:gridCol w:w="1790"/>
        <w:gridCol w:w="4418"/>
        <w:gridCol w:w="3157"/>
        <w:gridCol w:w="3061"/>
        <w:gridCol w:w="1136"/>
      </w:tblGrid>
      <w:tr w:rsidR="00C60EF0" w:rsidRPr="00732EED" w14:paraId="07EE689E" w14:textId="77777777" w:rsidTr="00EB4E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pct"/>
            <w:hideMark/>
          </w:tcPr>
          <w:p w14:paraId="5B734FE0" w14:textId="4A5F6C7F" w:rsidR="00C60EF0" w:rsidRPr="00732EED" w:rsidRDefault="00C60EF0" w:rsidP="008E2192">
            <w:pPr>
              <w:rPr>
                <w:sz w:val="18"/>
                <w:szCs w:val="18"/>
              </w:rPr>
            </w:pPr>
            <w:r w:rsidRPr="00732EED">
              <w:rPr>
                <w:sz w:val="18"/>
                <w:szCs w:val="18"/>
              </w:rPr>
              <w:t>Identified Themes</w:t>
            </w:r>
          </w:p>
        </w:tc>
        <w:tc>
          <w:tcPr>
            <w:tcW w:w="1629" w:type="pct"/>
            <w:hideMark/>
          </w:tcPr>
          <w:p w14:paraId="71CC2DA6"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Evidence base</w:t>
            </w:r>
          </w:p>
        </w:tc>
        <w:tc>
          <w:tcPr>
            <w:tcW w:w="0" w:type="auto"/>
            <w:hideMark/>
          </w:tcPr>
          <w:p w14:paraId="41001B03"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Implication</w:t>
            </w:r>
          </w:p>
        </w:tc>
        <w:tc>
          <w:tcPr>
            <w:tcW w:w="0" w:type="auto"/>
            <w:hideMark/>
          </w:tcPr>
          <w:p w14:paraId="3C191689"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Key references</w:t>
            </w:r>
          </w:p>
        </w:tc>
        <w:tc>
          <w:tcPr>
            <w:tcW w:w="0" w:type="auto"/>
            <w:hideMark/>
          </w:tcPr>
          <w:p w14:paraId="29825472"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Overall confidence in theme</w:t>
            </w:r>
          </w:p>
        </w:tc>
      </w:tr>
      <w:tr w:rsidR="00C60EF0" w:rsidRPr="00732EED" w14:paraId="1706639C"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pct"/>
            <w:hideMark/>
          </w:tcPr>
          <w:p w14:paraId="603028A6" w14:textId="77777777" w:rsidR="00C60EF0" w:rsidRPr="00732EED" w:rsidRDefault="00C60EF0" w:rsidP="008E2192">
            <w:pPr>
              <w:rPr>
                <w:sz w:val="18"/>
                <w:szCs w:val="18"/>
              </w:rPr>
            </w:pPr>
            <w:r w:rsidRPr="00732EED">
              <w:rPr>
                <w:sz w:val="18"/>
                <w:szCs w:val="18"/>
              </w:rPr>
              <w:t>Pain: mindfulness, lived experience, and supportive care</w:t>
            </w:r>
          </w:p>
        </w:tc>
        <w:tc>
          <w:tcPr>
            <w:tcW w:w="1629" w:type="pct"/>
            <w:hideMark/>
          </w:tcPr>
          <w:p w14:paraId="32944B70"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The pain literature includes systematic reviews, meta-analyses, qualitative studies, participatory studies, mechanistic reviews, and service-development papers. Across this body of work, the most consistent findings relate to improvements in pain-related distress, coping, mood, quality of life, and patient engagement, rather than uniform reductions in pain intensity. Qualitative and participatory studies further demonstrate that pain is shaped by lived experience, identity, gender, culture, and inequity. Some heterogeneity and methodological limitations remain, particularly in narrative reviews and small-scale intervention studies.</w:t>
            </w:r>
          </w:p>
        </w:tc>
        <w:tc>
          <w:tcPr>
            <w:tcW w:w="0" w:type="auto"/>
            <w:hideMark/>
          </w:tcPr>
          <w:p w14:paraId="7E1EC713"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Pain management should move beyond narrowly biomedical or symptom-reduction models and incorporate whole-person, relational, and culturally responsive care. Mindfulness-based and supportive interventions may be useful adjuncts, but should be implemented with attention to accessibility, context, and variation in treatment response.</w:t>
            </w:r>
          </w:p>
        </w:tc>
        <w:tc>
          <w:tcPr>
            <w:tcW w:w="0" w:type="auto"/>
            <w:hideMark/>
          </w:tcPr>
          <w:p w14:paraId="7DC8175D"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994F9D">
              <w:rPr>
                <w:sz w:val="18"/>
                <w:szCs w:val="18"/>
                <w:lang w:val="nl-NL"/>
              </w:rPr>
              <w:t xml:space="preserve">Balogun-Mwangi et al. (2016); Hilton et al. (2017); Johnson et al. (2024); Keng et al. (2011); Marikar Bawa et al. (2023); Nizza et al. (2022); Prophet et al. (2023); Rogger et al. (2023); Rosenzweig et al. (2010); Shah et al. (2024); Shi and Wu (2023); Skaer (2015); Stilwell and Harman (2019); Yılmazer and Altinok (2024); Zeidan et al. </w:t>
            </w:r>
            <w:r w:rsidRPr="00732EED">
              <w:rPr>
                <w:sz w:val="18"/>
                <w:szCs w:val="18"/>
              </w:rPr>
              <w:t>(2019); Zeidan and Vago (2016)</w:t>
            </w:r>
          </w:p>
        </w:tc>
        <w:tc>
          <w:tcPr>
            <w:tcW w:w="0" w:type="auto"/>
            <w:hideMark/>
          </w:tcPr>
          <w:p w14:paraId="0035478C"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to high</w:t>
            </w:r>
          </w:p>
        </w:tc>
      </w:tr>
      <w:tr w:rsidR="00C60EF0" w:rsidRPr="00732EED" w14:paraId="1849E3CD" w14:textId="77777777" w:rsidTr="00EB4ED6">
        <w:tc>
          <w:tcPr>
            <w:cnfStyle w:val="001000000000" w:firstRow="0" w:lastRow="0" w:firstColumn="1" w:lastColumn="0" w:oddVBand="0" w:evenVBand="0" w:oddHBand="0" w:evenHBand="0" w:firstRowFirstColumn="0" w:firstRowLastColumn="0" w:lastRowFirstColumn="0" w:lastRowLastColumn="0"/>
            <w:tcW w:w="660" w:type="pct"/>
            <w:hideMark/>
          </w:tcPr>
          <w:p w14:paraId="6B280F6B" w14:textId="77777777" w:rsidR="00C60EF0" w:rsidRPr="00732EED" w:rsidRDefault="00C60EF0" w:rsidP="008E2192">
            <w:pPr>
              <w:rPr>
                <w:sz w:val="18"/>
                <w:szCs w:val="18"/>
              </w:rPr>
            </w:pPr>
            <w:r w:rsidRPr="00732EED">
              <w:rPr>
                <w:sz w:val="18"/>
                <w:szCs w:val="18"/>
              </w:rPr>
              <w:t>Ontology: process-based conceptualization</w:t>
            </w:r>
          </w:p>
        </w:tc>
        <w:tc>
          <w:tcPr>
            <w:tcW w:w="1629" w:type="pct"/>
            <w:hideMark/>
          </w:tcPr>
          <w:p w14:paraId="7AE46978"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This body of literature includes systematic reviews, ontology-development studies, realist reviews, conceptual informatics papers, and theoretical philosophy of biology papers. In biomedical informatics, ontologies are consistently shown to support data integration, interoperability, workflow modelling, causal representation, and decision support. In theoretical biology and philosophy, process-oriented ontologies provide a coherent account of organisms, disease, evolution, and causality as dynamic rather than static phenomena. Empirical evaluation is stronger in informatics applications than in conceptual ontology papers, though both strands show high internal coherence and strong relevance.</w:t>
            </w:r>
          </w:p>
        </w:tc>
        <w:tc>
          <w:tcPr>
            <w:tcW w:w="0" w:type="auto"/>
            <w:hideMark/>
          </w:tcPr>
          <w:p w14:paraId="27AF1EB3"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Ontological approaches should be further developed both as practical tools for biomedical data systems and as conceptual frameworks for understanding complexity in biology and medicine. Their combined use may improve both formal reasoning and theoretical clarity in health research.</w:t>
            </w:r>
          </w:p>
        </w:tc>
        <w:tc>
          <w:tcPr>
            <w:tcW w:w="0" w:type="auto"/>
            <w:hideMark/>
          </w:tcPr>
          <w:p w14:paraId="0439877B" w14:textId="77777777" w:rsidR="00C60EF0" w:rsidRPr="00994F9D" w:rsidRDefault="00C60EF0" w:rsidP="008E2192">
            <w:pPr>
              <w:cnfStyle w:val="000000000000" w:firstRow="0" w:lastRow="0" w:firstColumn="0" w:lastColumn="0" w:oddVBand="0" w:evenVBand="0" w:oddHBand="0" w:evenHBand="0" w:firstRowFirstColumn="0" w:firstRowLastColumn="0" w:lastRowFirstColumn="0" w:lastRowLastColumn="0"/>
              <w:rPr>
                <w:sz w:val="18"/>
                <w:szCs w:val="18"/>
                <w:lang w:val="nl-NL"/>
              </w:rPr>
            </w:pPr>
            <w:r w:rsidRPr="00994F9D">
              <w:rPr>
                <w:sz w:val="18"/>
                <w:szCs w:val="18"/>
                <w:lang w:val="nl-NL"/>
              </w:rPr>
              <w:t>Austin (2016); Dupré (2017); Guttinger (2018); Hoehndorf et al. (2015); Jing et al. (2023); Kearney and Rieppel (2023); Koutroufinis (2017); Liaw et al. (2013); Maitra et al. (2021); Pathiraja Rathnayaka Hitige et al. (2024); Rovetto and Mizoguchi (2015); Seibt (2018)</w:t>
            </w:r>
          </w:p>
        </w:tc>
        <w:tc>
          <w:tcPr>
            <w:tcW w:w="0" w:type="auto"/>
            <w:hideMark/>
          </w:tcPr>
          <w:p w14:paraId="2E0F33FB"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High</w:t>
            </w:r>
          </w:p>
        </w:tc>
      </w:tr>
      <w:tr w:rsidR="00C60EF0" w:rsidRPr="00732EED" w14:paraId="243100C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pct"/>
            <w:hideMark/>
          </w:tcPr>
          <w:p w14:paraId="65B4EB1D" w14:textId="77777777" w:rsidR="00C60EF0" w:rsidRPr="00732EED" w:rsidRDefault="00C60EF0" w:rsidP="008E2192">
            <w:pPr>
              <w:rPr>
                <w:sz w:val="18"/>
                <w:szCs w:val="18"/>
              </w:rPr>
            </w:pPr>
            <w:proofErr w:type="spellStart"/>
            <w:r w:rsidRPr="00732EED">
              <w:rPr>
                <w:sz w:val="18"/>
                <w:szCs w:val="18"/>
              </w:rPr>
              <w:t>Transdisciplinarity</w:t>
            </w:r>
            <w:proofErr w:type="spellEnd"/>
            <w:r w:rsidRPr="00732EED">
              <w:rPr>
                <w:sz w:val="18"/>
                <w:szCs w:val="18"/>
              </w:rPr>
              <w:t>: One Health, team science, and whole-systems research</w:t>
            </w:r>
          </w:p>
        </w:tc>
        <w:tc>
          <w:tcPr>
            <w:tcW w:w="1629" w:type="pct"/>
            <w:hideMark/>
          </w:tcPr>
          <w:p w14:paraId="68ACA7DA"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The </w:t>
            </w:r>
            <w:proofErr w:type="spellStart"/>
            <w:r w:rsidRPr="00732EED">
              <w:rPr>
                <w:sz w:val="18"/>
                <w:szCs w:val="18"/>
              </w:rPr>
              <w:t>transdisciplinarity</w:t>
            </w:r>
            <w:proofErr w:type="spellEnd"/>
            <w:r w:rsidRPr="00732EED">
              <w:rPr>
                <w:sz w:val="18"/>
                <w:szCs w:val="18"/>
              </w:rPr>
              <w:t xml:space="preserve"> literature is composed largely of perspective articles, scoping reviews, conceptual syntheses, and research mapping studies. Findings consistently suggest that transdisciplinary collaboration is necessary for addressing complex, multifactorial health issues, particularly </w:t>
            </w:r>
            <w:proofErr w:type="gramStart"/>
            <w:r w:rsidRPr="00732EED">
              <w:rPr>
                <w:sz w:val="18"/>
                <w:szCs w:val="18"/>
              </w:rPr>
              <w:t>where</w:t>
            </w:r>
            <w:proofErr w:type="gramEnd"/>
            <w:r w:rsidRPr="00732EED">
              <w:rPr>
                <w:sz w:val="18"/>
                <w:szCs w:val="18"/>
              </w:rPr>
              <w:t xml:space="preserve"> disciplinary silos limit innovation. Recurring themes include the need for shared language, enabling environments, flexible funding, institutional support, and improved collaborative infrastructures. Although the conceptual rationale is strong and highly relevant, direct evaluative evidence on comparative effectiveness is less extensive.</w:t>
            </w:r>
          </w:p>
        </w:tc>
        <w:tc>
          <w:tcPr>
            <w:tcW w:w="0" w:type="auto"/>
            <w:hideMark/>
          </w:tcPr>
          <w:p w14:paraId="42B03AC0"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Institutions, funders, and research systems should create structural conditions that support transdisciplinary collaboration, particularly for complex public health, chronic disease, and One Health problems. Future work should strengthen implementation and outcome evaluation of transdisciplinary models in practice.</w:t>
            </w:r>
          </w:p>
        </w:tc>
        <w:tc>
          <w:tcPr>
            <w:tcW w:w="0" w:type="auto"/>
            <w:hideMark/>
          </w:tcPr>
          <w:p w14:paraId="7DCAA872"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994F9D">
              <w:rPr>
                <w:sz w:val="18"/>
                <w:szCs w:val="18"/>
                <w:lang w:val="nl-NL"/>
              </w:rPr>
              <w:t xml:space="preserve">Allen-Scott et al. (2015); Ciesielski et al. (2017); Fontana et al. (2021); Lawless et al. (2025); Min et al. (2013); Nicolescu (2010); Pineo et al. (2021); Sell et al. </w:t>
            </w:r>
            <w:r w:rsidRPr="00732EED">
              <w:rPr>
                <w:sz w:val="18"/>
                <w:szCs w:val="18"/>
              </w:rPr>
              <w:t xml:space="preserve">(2022); </w:t>
            </w:r>
            <w:proofErr w:type="spellStart"/>
            <w:r w:rsidRPr="00732EED">
              <w:rPr>
                <w:sz w:val="18"/>
                <w:szCs w:val="18"/>
              </w:rPr>
              <w:t>Somerman</w:t>
            </w:r>
            <w:proofErr w:type="spellEnd"/>
            <w:r w:rsidRPr="00732EED">
              <w:rPr>
                <w:sz w:val="18"/>
                <w:szCs w:val="18"/>
              </w:rPr>
              <w:t xml:space="preserve"> and Mouradian (2020); </w:t>
            </w:r>
            <w:proofErr w:type="spellStart"/>
            <w:r w:rsidRPr="00732EED">
              <w:rPr>
                <w:sz w:val="18"/>
                <w:szCs w:val="18"/>
              </w:rPr>
              <w:t>Vienni</w:t>
            </w:r>
            <w:proofErr w:type="spellEnd"/>
            <w:r w:rsidRPr="00732EED">
              <w:rPr>
                <w:sz w:val="18"/>
                <w:szCs w:val="18"/>
              </w:rPr>
              <w:t>-Baptista and Pohl (2024); Yang et al. (2023)</w:t>
            </w:r>
          </w:p>
        </w:tc>
        <w:tc>
          <w:tcPr>
            <w:tcW w:w="0" w:type="auto"/>
            <w:hideMark/>
          </w:tcPr>
          <w:p w14:paraId="62AD0F4E"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Moderate to high</w:t>
            </w:r>
          </w:p>
        </w:tc>
      </w:tr>
      <w:tr w:rsidR="00C60EF0" w:rsidRPr="00732EED" w14:paraId="7A95590D" w14:textId="77777777" w:rsidTr="00EB4ED6">
        <w:tc>
          <w:tcPr>
            <w:cnfStyle w:val="001000000000" w:firstRow="0" w:lastRow="0" w:firstColumn="1" w:lastColumn="0" w:oddVBand="0" w:evenVBand="0" w:oddHBand="0" w:evenHBand="0" w:firstRowFirstColumn="0" w:firstRowLastColumn="0" w:lastRowFirstColumn="0" w:lastRowLastColumn="0"/>
            <w:tcW w:w="660" w:type="pct"/>
            <w:hideMark/>
          </w:tcPr>
          <w:p w14:paraId="06F772D1" w14:textId="77777777" w:rsidR="00C60EF0" w:rsidRPr="00732EED" w:rsidRDefault="00C60EF0" w:rsidP="008E2192">
            <w:pPr>
              <w:rPr>
                <w:sz w:val="18"/>
                <w:szCs w:val="18"/>
              </w:rPr>
            </w:pPr>
            <w:r w:rsidRPr="00732EED">
              <w:rPr>
                <w:sz w:val="18"/>
                <w:szCs w:val="18"/>
              </w:rPr>
              <w:t xml:space="preserve">Participatory research: CBPR, PAR, co-production, and </w:t>
            </w:r>
            <w:r w:rsidRPr="00732EED">
              <w:rPr>
                <w:sz w:val="18"/>
                <w:szCs w:val="18"/>
              </w:rPr>
              <w:lastRenderedPageBreak/>
              <w:t>community engagement</w:t>
            </w:r>
          </w:p>
        </w:tc>
        <w:tc>
          <w:tcPr>
            <w:tcW w:w="1629" w:type="pct"/>
            <w:hideMark/>
          </w:tcPr>
          <w:p w14:paraId="5DFC68F5" w14:textId="61D10EA2"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The participatory research literature includes qualitative studies, community-based participatory research papers, participatory action research studies, and methodological reflections. Across diverse settings, including Indigenous health, dementia, chronic pain, mental health, acute care, </w:t>
            </w:r>
            <w:r w:rsidRPr="00732EED">
              <w:rPr>
                <w:sz w:val="18"/>
                <w:szCs w:val="18"/>
              </w:rPr>
              <w:lastRenderedPageBreak/>
              <w:t>and deprived neighborhoods, the evidence consistently demonstrates that participatory methods enhance contextual relevance, trust, equity, and practical applicability. These approaches are especially strong in relation to relevance and coherence, although some studies are limited by small samples, flexible designs, or early-</w:t>
            </w:r>
            <w:r w:rsidR="00B93F1C" w:rsidRPr="00732EED">
              <w:rPr>
                <w:sz w:val="18"/>
                <w:szCs w:val="18"/>
              </w:rPr>
              <w:t>Phase</w:t>
            </w:r>
            <w:r w:rsidRPr="00732EED">
              <w:rPr>
                <w:sz w:val="18"/>
                <w:szCs w:val="18"/>
              </w:rPr>
              <w:t xml:space="preserve"> evaluations.</w:t>
            </w:r>
          </w:p>
        </w:tc>
        <w:tc>
          <w:tcPr>
            <w:tcW w:w="0" w:type="auto"/>
            <w:hideMark/>
          </w:tcPr>
          <w:p w14:paraId="37535F36"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 xml:space="preserve">Participatory approaches should be prioritized where the aim is to address lived experience, health inequities, or implementation challenges in real-world settings. Co-production with </w:t>
            </w:r>
            <w:r w:rsidRPr="00732EED">
              <w:rPr>
                <w:sz w:val="18"/>
                <w:szCs w:val="18"/>
              </w:rPr>
              <w:lastRenderedPageBreak/>
              <w:t>communities and service users can improve intervention design, uptake, and legitimacy.</w:t>
            </w:r>
          </w:p>
        </w:tc>
        <w:tc>
          <w:tcPr>
            <w:tcW w:w="0" w:type="auto"/>
            <w:hideMark/>
          </w:tcPr>
          <w:p w14:paraId="14787D27"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994F9D">
              <w:rPr>
                <w:sz w:val="18"/>
                <w:szCs w:val="18"/>
                <w:lang w:val="nl-NL"/>
              </w:rPr>
              <w:lastRenderedPageBreak/>
              <w:t xml:space="preserve">Balogun-Mwangi et al. (2016); Collins et al. (2018); Dupuis et al. (2021); Harkin et al. (2022); Holkup et al. (2004); Israel et al. (2010); Mooney et al. (2023); Redwood et al. </w:t>
            </w:r>
            <w:r w:rsidRPr="00732EED">
              <w:rPr>
                <w:sz w:val="18"/>
                <w:szCs w:val="18"/>
              </w:rPr>
              <w:t xml:space="preserve">(2010); </w:t>
            </w:r>
            <w:r w:rsidRPr="00732EED">
              <w:rPr>
                <w:sz w:val="18"/>
                <w:szCs w:val="18"/>
              </w:rPr>
              <w:lastRenderedPageBreak/>
              <w:t xml:space="preserve">Tapp et al. (2013); Van der </w:t>
            </w:r>
            <w:proofErr w:type="spellStart"/>
            <w:r w:rsidRPr="00732EED">
              <w:rPr>
                <w:sz w:val="18"/>
                <w:szCs w:val="18"/>
              </w:rPr>
              <w:t>Vlegel</w:t>
            </w:r>
            <w:proofErr w:type="spellEnd"/>
            <w:r w:rsidRPr="00732EED">
              <w:rPr>
                <w:sz w:val="18"/>
                <w:szCs w:val="18"/>
              </w:rPr>
              <w:t>-Brouwer et al. (2023)</w:t>
            </w:r>
          </w:p>
        </w:tc>
        <w:tc>
          <w:tcPr>
            <w:tcW w:w="0" w:type="auto"/>
            <w:hideMark/>
          </w:tcPr>
          <w:p w14:paraId="6D65EF2C"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lastRenderedPageBreak/>
              <w:t>High</w:t>
            </w:r>
          </w:p>
        </w:tc>
      </w:tr>
    </w:tbl>
    <w:p w14:paraId="4E86417B" w14:textId="15EE5BA6" w:rsidR="00C60EF0" w:rsidRPr="00732EED" w:rsidRDefault="00C60EF0" w:rsidP="00C60EF0">
      <w:pPr>
        <w:rPr>
          <w:sz w:val="18"/>
          <w:szCs w:val="18"/>
        </w:rPr>
      </w:pPr>
      <w:r w:rsidRPr="00732EED">
        <w:rPr>
          <w:sz w:val="18"/>
          <w:szCs w:val="18"/>
        </w:rPr>
        <w:t xml:space="preserve">* </w:t>
      </w:r>
      <w:r w:rsidRPr="00732EED">
        <w:rPr>
          <w:b/>
          <w:bCs/>
          <w:sz w:val="18"/>
          <w:szCs w:val="18"/>
        </w:rPr>
        <w:t>Purpose:</w:t>
      </w:r>
      <w:r w:rsidRPr="00732EED">
        <w:rPr>
          <w:sz w:val="18"/>
          <w:szCs w:val="18"/>
        </w:rPr>
        <w:t xml:space="preserve"> Synthesizes evidence and confidence for themes to guide transdisciplinary integration of solution pathways for better understanding and management of chronic illness (Results pp. 36–38, Discussion, 59–63). Across the four thematic groupings, the strongest overall confidence was observed for participatory research and ontology-related literature, particularly where studies demonstrated high relevance, strong coherence, and either rich empirical data or substantial conceptual rigor. The </w:t>
      </w:r>
      <w:proofErr w:type="spellStart"/>
      <w:r w:rsidRPr="00732EED">
        <w:rPr>
          <w:sz w:val="18"/>
          <w:szCs w:val="18"/>
        </w:rPr>
        <w:t>transdisciplinarity</w:t>
      </w:r>
      <w:proofErr w:type="spellEnd"/>
      <w:r w:rsidRPr="00732EED">
        <w:rPr>
          <w:sz w:val="18"/>
          <w:szCs w:val="18"/>
        </w:rPr>
        <w:t xml:space="preserve"> literature also showed strong thematic consistency and high relevance, though much of this evidence was conceptual or scoping in nature, limiting confidence in direct implementation outcomes. The pain literature was the most heterogeneous: while evidence consistently supported whole-person and non-pharmacological approaches, especially for pain-related distress and quality of life, methodological variability across intervention and review designs resulted in slightly lower overall confidence. Method: Confidence judgments adapted from GRADE-</w:t>
      </w:r>
      <w:proofErr w:type="spellStart"/>
      <w:r w:rsidRPr="00732EED">
        <w:rPr>
          <w:sz w:val="18"/>
          <w:szCs w:val="18"/>
        </w:rPr>
        <w:t>CERQual</w:t>
      </w:r>
      <w:proofErr w:type="spellEnd"/>
      <w:r w:rsidRPr="00732EED">
        <w:rPr>
          <w:sz w:val="18"/>
          <w:szCs w:val="18"/>
        </w:rPr>
        <w:t xml:space="preserve"> across four domains—methodological limitations, coherence, adequacy, relevance—applied to each thematic body (see Methods pp. 6–11; protocol overview pp. 56–58). Grading: Overall confidence (Very low/Low/Moderate/High) reflects collective judgment after domain appraisal; not a numeric average. Disagreements resolved by consensus; audit trail in Supplementary Methods S1. Pain: Heterogeneous interventions and reviews; strongest, consistent effects on distress, coping, QoL, engagement; pain intensity effects variable. Ontology: Strong empirical support in informatics (integration/interoperability) and high conceptual coherence in process ontology. </w:t>
      </w:r>
      <w:proofErr w:type="spellStart"/>
      <w:r w:rsidRPr="00732EED">
        <w:rPr>
          <w:sz w:val="18"/>
          <w:szCs w:val="18"/>
        </w:rPr>
        <w:t>Transdisciplinarity</w:t>
      </w:r>
      <w:proofErr w:type="spellEnd"/>
      <w:r w:rsidRPr="00732EED">
        <w:rPr>
          <w:sz w:val="18"/>
          <w:szCs w:val="18"/>
        </w:rPr>
        <w:t>: High relevance and thematic consistency; fewer comparative effectiveness evaluations. Participatory research: High relevance/coherence across settings; some studies small or early-</w:t>
      </w:r>
      <w:r w:rsidR="00B93F1C" w:rsidRPr="00732EED">
        <w:rPr>
          <w:sz w:val="18"/>
          <w:szCs w:val="18"/>
        </w:rPr>
        <w:t>Phase</w:t>
      </w:r>
      <w:r w:rsidRPr="00732EED">
        <w:rPr>
          <w:sz w:val="18"/>
          <w:szCs w:val="18"/>
        </w:rPr>
        <w:t xml:space="preserve">. Key references cited in table correspond to main reference list; full mapping of studies to themes in Supplementary Table S14. Abbreviations: </w:t>
      </w:r>
      <w:proofErr w:type="spellStart"/>
      <w:r w:rsidRPr="00732EED">
        <w:rPr>
          <w:sz w:val="18"/>
          <w:szCs w:val="18"/>
        </w:rPr>
        <w:t>CERQual</w:t>
      </w:r>
      <w:proofErr w:type="spellEnd"/>
      <w:r w:rsidRPr="00732EED">
        <w:rPr>
          <w:sz w:val="18"/>
          <w:szCs w:val="18"/>
        </w:rPr>
        <w:t xml:space="preserve"> = Confidence in the Evidence from Reviews of Qualitative Research; CBPR = Community-Based Participatory Research; PAR = Participatory Action Research; QoL = quality of life. Sensitivity: Theme-level confidence was stress-tested against inclusion/exclusion and appraisal decisions; see Supplementary Methods S2–S3.</w:t>
      </w:r>
    </w:p>
    <w:p w14:paraId="7B74D498" w14:textId="622C4383" w:rsidR="00EB4ED6" w:rsidRDefault="00EB4ED6">
      <w:pPr>
        <w:spacing w:after="160" w:line="278" w:lineRule="auto"/>
        <w:rPr>
          <w:sz w:val="18"/>
          <w:szCs w:val="18"/>
        </w:rPr>
      </w:pPr>
      <w:r>
        <w:rPr>
          <w:sz w:val="18"/>
          <w:szCs w:val="18"/>
        </w:rPr>
        <w:br w:type="page"/>
      </w:r>
    </w:p>
    <w:p w14:paraId="74AFFEF9" w14:textId="2A8FBD7E" w:rsidR="00D30385" w:rsidRPr="00732EED" w:rsidRDefault="00F54FD5" w:rsidP="00B068B0">
      <w:pPr>
        <w:rPr>
          <w:b/>
          <w:bCs/>
          <w:sz w:val="18"/>
          <w:szCs w:val="18"/>
        </w:rPr>
      </w:pPr>
      <w:r w:rsidRPr="00732EED">
        <w:rPr>
          <w:b/>
          <w:bCs/>
          <w:sz w:val="18"/>
          <w:szCs w:val="18"/>
        </w:rPr>
        <w:lastRenderedPageBreak/>
        <w:t>Table S</w:t>
      </w:r>
      <w:r w:rsidR="0074639D" w:rsidRPr="00732EED">
        <w:rPr>
          <w:b/>
          <w:bCs/>
          <w:sz w:val="18"/>
          <w:szCs w:val="18"/>
        </w:rPr>
        <w:t>1</w:t>
      </w:r>
      <w:r w:rsidR="00E418E3" w:rsidRPr="00732EED">
        <w:rPr>
          <w:b/>
          <w:bCs/>
          <w:sz w:val="18"/>
          <w:szCs w:val="18"/>
        </w:rPr>
        <w:t>9</w:t>
      </w:r>
      <w:r w:rsidRPr="00732EED">
        <w:rPr>
          <w:b/>
          <w:bCs/>
          <w:sz w:val="18"/>
          <w:szCs w:val="18"/>
        </w:rPr>
        <w:t>. Corresponding conceptual pathways linking interventions and theoretical frames to multi</w:t>
      </w:r>
      <w:r w:rsidRPr="00732EED">
        <w:rPr>
          <w:b/>
          <w:bCs/>
          <w:sz w:val="18"/>
          <w:szCs w:val="18"/>
        </w:rPr>
        <w:noBreakHyphen/>
        <w:t>domain impacts on chronic pain experience*</w:t>
      </w:r>
    </w:p>
    <w:tbl>
      <w:tblPr>
        <w:tblStyle w:val="PlainTable1"/>
        <w:tblW w:w="5000" w:type="pct"/>
        <w:tblLook w:val="0420" w:firstRow="1" w:lastRow="0" w:firstColumn="0" w:lastColumn="0" w:noHBand="0" w:noVBand="1"/>
      </w:tblPr>
      <w:tblGrid>
        <w:gridCol w:w="1511"/>
        <w:gridCol w:w="1836"/>
        <w:gridCol w:w="2140"/>
        <w:gridCol w:w="2091"/>
        <w:gridCol w:w="1926"/>
        <w:gridCol w:w="1828"/>
        <w:gridCol w:w="2230"/>
      </w:tblGrid>
      <w:tr w:rsidR="00D30385" w:rsidRPr="00732EED" w14:paraId="78226413" w14:textId="77777777" w:rsidTr="001F2CA8">
        <w:trPr>
          <w:cnfStyle w:val="100000000000" w:firstRow="1" w:lastRow="0" w:firstColumn="0" w:lastColumn="0" w:oddVBand="0" w:evenVBand="0" w:oddHBand="0" w:evenHBand="0" w:firstRowFirstColumn="0" w:firstRowLastColumn="0" w:lastRowFirstColumn="0" w:lastRowLastColumn="0"/>
        </w:trPr>
        <w:tc>
          <w:tcPr>
            <w:tcW w:w="557" w:type="pct"/>
          </w:tcPr>
          <w:p w14:paraId="1ED58248" w14:textId="77777777" w:rsidR="00D30385" w:rsidRPr="00732EED" w:rsidRDefault="00D30385" w:rsidP="009746D6">
            <w:pPr>
              <w:rPr>
                <w:sz w:val="18"/>
                <w:szCs w:val="18"/>
              </w:rPr>
            </w:pPr>
            <w:r w:rsidRPr="00732EED">
              <w:rPr>
                <w:sz w:val="18"/>
                <w:szCs w:val="18"/>
              </w:rPr>
              <w:t>Pathway</w:t>
            </w:r>
          </w:p>
        </w:tc>
        <w:tc>
          <w:tcPr>
            <w:tcW w:w="677" w:type="pct"/>
          </w:tcPr>
          <w:p w14:paraId="7FF3C650" w14:textId="77777777" w:rsidR="00D30385" w:rsidRPr="00732EED" w:rsidRDefault="00D30385" w:rsidP="009746D6">
            <w:pPr>
              <w:rPr>
                <w:sz w:val="18"/>
                <w:szCs w:val="18"/>
              </w:rPr>
            </w:pPr>
            <w:r w:rsidRPr="00732EED">
              <w:rPr>
                <w:sz w:val="18"/>
                <w:szCs w:val="18"/>
              </w:rPr>
              <w:t>Social</w:t>
            </w:r>
          </w:p>
        </w:tc>
        <w:tc>
          <w:tcPr>
            <w:tcW w:w="789" w:type="pct"/>
          </w:tcPr>
          <w:p w14:paraId="460BFA2D" w14:textId="77777777" w:rsidR="00D30385" w:rsidRPr="00732EED" w:rsidRDefault="00D30385" w:rsidP="009746D6">
            <w:pPr>
              <w:rPr>
                <w:sz w:val="18"/>
                <w:szCs w:val="18"/>
              </w:rPr>
            </w:pPr>
            <w:r w:rsidRPr="00732EED">
              <w:rPr>
                <w:sz w:val="18"/>
                <w:szCs w:val="18"/>
              </w:rPr>
              <w:t>Physical</w:t>
            </w:r>
          </w:p>
        </w:tc>
        <w:tc>
          <w:tcPr>
            <w:tcW w:w="771" w:type="pct"/>
          </w:tcPr>
          <w:p w14:paraId="548967CA" w14:textId="77777777" w:rsidR="00D30385" w:rsidRPr="00732EED" w:rsidRDefault="00D30385" w:rsidP="009746D6">
            <w:pPr>
              <w:rPr>
                <w:sz w:val="18"/>
                <w:szCs w:val="18"/>
              </w:rPr>
            </w:pPr>
            <w:r w:rsidRPr="00732EED">
              <w:rPr>
                <w:sz w:val="18"/>
                <w:szCs w:val="18"/>
              </w:rPr>
              <w:t>Psychological</w:t>
            </w:r>
          </w:p>
        </w:tc>
        <w:tc>
          <w:tcPr>
            <w:tcW w:w="710" w:type="pct"/>
          </w:tcPr>
          <w:p w14:paraId="365F8940" w14:textId="77777777" w:rsidR="00D30385" w:rsidRPr="00732EED" w:rsidRDefault="00D30385" w:rsidP="009746D6">
            <w:pPr>
              <w:rPr>
                <w:sz w:val="18"/>
                <w:szCs w:val="18"/>
              </w:rPr>
            </w:pPr>
            <w:r w:rsidRPr="00732EED">
              <w:rPr>
                <w:sz w:val="18"/>
                <w:szCs w:val="18"/>
              </w:rPr>
              <w:t>Cultural</w:t>
            </w:r>
          </w:p>
        </w:tc>
        <w:tc>
          <w:tcPr>
            <w:tcW w:w="674" w:type="pct"/>
          </w:tcPr>
          <w:p w14:paraId="0A212010" w14:textId="77777777" w:rsidR="00D30385" w:rsidRPr="00732EED" w:rsidRDefault="00D30385" w:rsidP="009746D6">
            <w:pPr>
              <w:rPr>
                <w:sz w:val="18"/>
                <w:szCs w:val="18"/>
              </w:rPr>
            </w:pPr>
            <w:r w:rsidRPr="00732EED">
              <w:rPr>
                <w:sz w:val="18"/>
                <w:szCs w:val="18"/>
              </w:rPr>
              <w:t>Cognitive</w:t>
            </w:r>
          </w:p>
        </w:tc>
        <w:tc>
          <w:tcPr>
            <w:tcW w:w="822" w:type="pct"/>
          </w:tcPr>
          <w:p w14:paraId="33D7C80D" w14:textId="77777777" w:rsidR="00D30385" w:rsidRPr="00732EED" w:rsidRDefault="00D30385" w:rsidP="009746D6">
            <w:pPr>
              <w:rPr>
                <w:sz w:val="18"/>
                <w:szCs w:val="18"/>
              </w:rPr>
            </w:pPr>
            <w:r w:rsidRPr="00732EED">
              <w:rPr>
                <w:sz w:val="18"/>
                <w:szCs w:val="18"/>
              </w:rPr>
              <w:t>Pain</w:t>
            </w:r>
          </w:p>
        </w:tc>
      </w:tr>
      <w:tr w:rsidR="00D30385" w:rsidRPr="00732EED" w14:paraId="0A7677B9" w14:textId="77777777" w:rsidTr="001F2CA8">
        <w:trPr>
          <w:cnfStyle w:val="000000100000" w:firstRow="0" w:lastRow="0" w:firstColumn="0" w:lastColumn="0" w:oddVBand="0" w:evenVBand="0" w:oddHBand="1" w:evenHBand="0" w:firstRowFirstColumn="0" w:firstRowLastColumn="0" w:lastRowFirstColumn="0" w:lastRowLastColumn="0"/>
        </w:trPr>
        <w:tc>
          <w:tcPr>
            <w:tcW w:w="557" w:type="pct"/>
          </w:tcPr>
          <w:p w14:paraId="5A66266F" w14:textId="77777777" w:rsidR="00D30385" w:rsidRPr="00732EED" w:rsidRDefault="00D30385" w:rsidP="00F54FD5">
            <w:pPr>
              <w:rPr>
                <w:sz w:val="18"/>
                <w:szCs w:val="18"/>
              </w:rPr>
            </w:pPr>
            <w:r w:rsidRPr="00732EED">
              <w:rPr>
                <w:sz w:val="18"/>
                <w:szCs w:val="18"/>
              </w:rPr>
              <w:t>Mindfulness</w:t>
            </w:r>
          </w:p>
        </w:tc>
        <w:tc>
          <w:tcPr>
            <w:tcW w:w="677" w:type="pct"/>
          </w:tcPr>
          <w:p w14:paraId="1BDD6225" w14:textId="77777777" w:rsidR="00D30385" w:rsidRPr="00732EED" w:rsidRDefault="00D30385" w:rsidP="00F54FD5">
            <w:pPr>
              <w:rPr>
                <w:sz w:val="18"/>
                <w:szCs w:val="18"/>
              </w:rPr>
            </w:pPr>
            <w:r w:rsidRPr="00732EED">
              <w:rPr>
                <w:sz w:val="18"/>
                <w:szCs w:val="18"/>
              </w:rPr>
              <w:t>Improved communication, less conflict, social validation, connection</w:t>
            </w:r>
          </w:p>
        </w:tc>
        <w:tc>
          <w:tcPr>
            <w:tcW w:w="789" w:type="pct"/>
          </w:tcPr>
          <w:p w14:paraId="170AD58C" w14:textId="77777777" w:rsidR="00D30385" w:rsidRPr="00732EED" w:rsidRDefault="00D30385" w:rsidP="00F54FD5">
            <w:pPr>
              <w:rPr>
                <w:sz w:val="18"/>
                <w:szCs w:val="18"/>
              </w:rPr>
            </w:pPr>
            <w:r w:rsidRPr="00732EED">
              <w:rPr>
                <w:sz w:val="18"/>
                <w:szCs w:val="18"/>
              </w:rPr>
              <w:t>Altered posture/movement, less guardedness, better pacing, moving “more freely”</w:t>
            </w:r>
          </w:p>
        </w:tc>
        <w:tc>
          <w:tcPr>
            <w:tcW w:w="771" w:type="pct"/>
          </w:tcPr>
          <w:p w14:paraId="15AF26DE" w14:textId="77777777" w:rsidR="00D30385" w:rsidRPr="00732EED" w:rsidRDefault="00D30385" w:rsidP="00F54FD5">
            <w:pPr>
              <w:rPr>
                <w:sz w:val="18"/>
                <w:szCs w:val="18"/>
              </w:rPr>
            </w:pPr>
            <w:r w:rsidRPr="00732EED">
              <w:rPr>
                <w:sz w:val="18"/>
                <w:szCs w:val="18"/>
              </w:rPr>
              <w:t>Decentering, reduced catastrophizing, greater acceptance, reduced anxiety/depression</w:t>
            </w:r>
          </w:p>
        </w:tc>
        <w:tc>
          <w:tcPr>
            <w:tcW w:w="710" w:type="pct"/>
          </w:tcPr>
          <w:p w14:paraId="7B72BF4D" w14:textId="77777777" w:rsidR="00D30385" w:rsidRPr="00732EED" w:rsidRDefault="00D30385" w:rsidP="00F54FD5">
            <w:pPr>
              <w:rPr>
                <w:sz w:val="18"/>
                <w:szCs w:val="18"/>
              </w:rPr>
            </w:pPr>
            <w:r w:rsidRPr="00732EED">
              <w:rPr>
                <w:sz w:val="18"/>
                <w:szCs w:val="18"/>
              </w:rPr>
              <w:t>Contemplative practices, fit, appropriation, accessibility, religious/cultural congruence</w:t>
            </w:r>
          </w:p>
        </w:tc>
        <w:tc>
          <w:tcPr>
            <w:tcW w:w="674" w:type="pct"/>
          </w:tcPr>
          <w:p w14:paraId="7C21F710" w14:textId="77777777" w:rsidR="00D30385" w:rsidRPr="00732EED" w:rsidRDefault="00D30385" w:rsidP="00F54FD5">
            <w:pPr>
              <w:rPr>
                <w:sz w:val="18"/>
                <w:szCs w:val="18"/>
              </w:rPr>
            </w:pPr>
            <w:r w:rsidRPr="00732EED">
              <w:rPr>
                <w:sz w:val="18"/>
                <w:szCs w:val="18"/>
              </w:rPr>
              <w:t>Attention regulation, metacognition, reappraisal, less ruminative thinking</w:t>
            </w:r>
          </w:p>
        </w:tc>
        <w:tc>
          <w:tcPr>
            <w:tcW w:w="822" w:type="pct"/>
          </w:tcPr>
          <w:p w14:paraId="3E101806" w14:textId="77777777" w:rsidR="00D30385" w:rsidRPr="00732EED" w:rsidRDefault="00D30385" w:rsidP="00F54FD5">
            <w:pPr>
              <w:rPr>
                <w:sz w:val="18"/>
                <w:szCs w:val="18"/>
              </w:rPr>
            </w:pPr>
            <w:r w:rsidRPr="00732EED">
              <w:rPr>
                <w:sz w:val="18"/>
                <w:szCs w:val="18"/>
              </w:rPr>
              <w:t>Reduced pain-related distress, altered appraisal, modest changes in intensity, more effect on interference</w:t>
            </w:r>
          </w:p>
        </w:tc>
      </w:tr>
      <w:tr w:rsidR="00D30385" w:rsidRPr="00732EED" w14:paraId="3A20FAA7" w14:textId="77777777" w:rsidTr="001F2CA8">
        <w:tc>
          <w:tcPr>
            <w:tcW w:w="557" w:type="pct"/>
          </w:tcPr>
          <w:p w14:paraId="7DDBAA01" w14:textId="77777777" w:rsidR="00D30385" w:rsidRPr="00732EED" w:rsidRDefault="00D30385" w:rsidP="00F54FD5">
            <w:pPr>
              <w:rPr>
                <w:sz w:val="18"/>
                <w:szCs w:val="18"/>
              </w:rPr>
            </w:pPr>
            <w:r w:rsidRPr="00732EED">
              <w:rPr>
                <w:sz w:val="18"/>
                <w:szCs w:val="18"/>
              </w:rPr>
              <w:t>Cultural affordances</w:t>
            </w:r>
          </w:p>
        </w:tc>
        <w:tc>
          <w:tcPr>
            <w:tcW w:w="677" w:type="pct"/>
          </w:tcPr>
          <w:p w14:paraId="6F15D23C" w14:textId="77777777" w:rsidR="00D30385" w:rsidRPr="00732EED" w:rsidRDefault="00D30385" w:rsidP="00F54FD5">
            <w:pPr>
              <w:rPr>
                <w:sz w:val="18"/>
                <w:szCs w:val="18"/>
              </w:rPr>
            </w:pPr>
            <w:r w:rsidRPr="00732EED">
              <w:rPr>
                <w:sz w:val="18"/>
                <w:szCs w:val="18"/>
              </w:rPr>
              <w:t>Environments offer/withhold social participation, pain shrinks/widens social affordances</w:t>
            </w:r>
          </w:p>
        </w:tc>
        <w:tc>
          <w:tcPr>
            <w:tcW w:w="789" w:type="pct"/>
          </w:tcPr>
          <w:p w14:paraId="332F3AF6" w14:textId="77777777" w:rsidR="00D30385" w:rsidRPr="00732EED" w:rsidRDefault="00D30385" w:rsidP="00F54FD5">
            <w:pPr>
              <w:rPr>
                <w:sz w:val="18"/>
                <w:szCs w:val="18"/>
              </w:rPr>
            </w:pPr>
            <w:r w:rsidRPr="00732EED">
              <w:rPr>
                <w:sz w:val="18"/>
                <w:szCs w:val="18"/>
              </w:rPr>
              <w:t>Bodily abilities shape physical affordances, pain changes environment invitations</w:t>
            </w:r>
          </w:p>
        </w:tc>
        <w:tc>
          <w:tcPr>
            <w:tcW w:w="771" w:type="pct"/>
          </w:tcPr>
          <w:p w14:paraId="35F5D040" w14:textId="77777777" w:rsidR="00D30385" w:rsidRPr="00732EED" w:rsidRDefault="00D30385" w:rsidP="00F54FD5">
            <w:pPr>
              <w:rPr>
                <w:sz w:val="18"/>
                <w:szCs w:val="18"/>
              </w:rPr>
            </w:pPr>
            <w:r w:rsidRPr="00732EED">
              <w:rPr>
                <w:sz w:val="18"/>
                <w:szCs w:val="18"/>
              </w:rPr>
              <w:t>Sense of agency, motivation, mood, hope, vitality, helplessness</w:t>
            </w:r>
          </w:p>
        </w:tc>
        <w:tc>
          <w:tcPr>
            <w:tcW w:w="710" w:type="pct"/>
          </w:tcPr>
          <w:p w14:paraId="3242FBC5" w14:textId="77777777" w:rsidR="00D30385" w:rsidRPr="00732EED" w:rsidRDefault="00D30385" w:rsidP="00F54FD5">
            <w:pPr>
              <w:rPr>
                <w:sz w:val="18"/>
                <w:szCs w:val="18"/>
              </w:rPr>
            </w:pPr>
            <w:r w:rsidRPr="00732EED">
              <w:rPr>
                <w:sz w:val="18"/>
                <w:szCs w:val="18"/>
              </w:rPr>
              <w:t>Norms, roles, practices, scripts, gendered labor, stoicism, options perceived</w:t>
            </w:r>
          </w:p>
        </w:tc>
        <w:tc>
          <w:tcPr>
            <w:tcW w:w="674" w:type="pct"/>
          </w:tcPr>
          <w:p w14:paraId="4EC18A35" w14:textId="77777777" w:rsidR="00D30385" w:rsidRPr="00732EED" w:rsidRDefault="00D30385" w:rsidP="00F54FD5">
            <w:pPr>
              <w:rPr>
                <w:sz w:val="18"/>
                <w:szCs w:val="18"/>
              </w:rPr>
            </w:pPr>
            <w:r w:rsidRPr="00732EED">
              <w:rPr>
                <w:sz w:val="18"/>
                <w:szCs w:val="18"/>
              </w:rPr>
              <w:t>Perception shaped by experience, skills, expectations, schemata filter actions</w:t>
            </w:r>
          </w:p>
        </w:tc>
        <w:tc>
          <w:tcPr>
            <w:tcW w:w="822" w:type="pct"/>
          </w:tcPr>
          <w:p w14:paraId="71E004B1" w14:textId="77777777" w:rsidR="00D30385" w:rsidRPr="00732EED" w:rsidRDefault="00D30385" w:rsidP="00F54FD5">
            <w:pPr>
              <w:rPr>
                <w:sz w:val="18"/>
                <w:szCs w:val="18"/>
              </w:rPr>
            </w:pPr>
            <w:r w:rsidRPr="00732EED">
              <w:rPr>
                <w:sz w:val="18"/>
                <w:szCs w:val="18"/>
              </w:rPr>
              <w:t>Pain as re-configuring person–environment coupling, safe vs threatening affordances</w:t>
            </w:r>
          </w:p>
        </w:tc>
      </w:tr>
      <w:tr w:rsidR="00D30385" w:rsidRPr="00732EED" w14:paraId="01C7B714" w14:textId="77777777" w:rsidTr="001F2CA8">
        <w:trPr>
          <w:cnfStyle w:val="000000100000" w:firstRow="0" w:lastRow="0" w:firstColumn="0" w:lastColumn="0" w:oddVBand="0" w:evenVBand="0" w:oddHBand="1" w:evenHBand="0" w:firstRowFirstColumn="0" w:firstRowLastColumn="0" w:lastRowFirstColumn="0" w:lastRowLastColumn="0"/>
        </w:trPr>
        <w:tc>
          <w:tcPr>
            <w:tcW w:w="557" w:type="pct"/>
          </w:tcPr>
          <w:p w14:paraId="1E3CB85B" w14:textId="77777777" w:rsidR="00D30385" w:rsidRPr="00732EED" w:rsidRDefault="00D30385" w:rsidP="00F54FD5">
            <w:pPr>
              <w:rPr>
                <w:sz w:val="18"/>
                <w:szCs w:val="18"/>
              </w:rPr>
            </w:pPr>
            <w:r w:rsidRPr="00732EED">
              <w:rPr>
                <w:sz w:val="18"/>
                <w:szCs w:val="18"/>
              </w:rPr>
              <w:t>Process ontology</w:t>
            </w:r>
          </w:p>
        </w:tc>
        <w:tc>
          <w:tcPr>
            <w:tcW w:w="677" w:type="pct"/>
          </w:tcPr>
          <w:p w14:paraId="1A792CD0" w14:textId="77777777" w:rsidR="00D30385" w:rsidRPr="00732EED" w:rsidRDefault="00D30385" w:rsidP="00F54FD5">
            <w:pPr>
              <w:rPr>
                <w:sz w:val="18"/>
                <w:szCs w:val="18"/>
              </w:rPr>
            </w:pPr>
            <w:r w:rsidRPr="00732EED">
              <w:rPr>
                <w:sz w:val="18"/>
                <w:szCs w:val="18"/>
              </w:rPr>
              <w:t>Relationships and roles as evolving processes, social negotiations, legitimacy</w:t>
            </w:r>
          </w:p>
        </w:tc>
        <w:tc>
          <w:tcPr>
            <w:tcW w:w="789" w:type="pct"/>
          </w:tcPr>
          <w:p w14:paraId="35B8F26B" w14:textId="77777777" w:rsidR="00D30385" w:rsidRPr="00732EED" w:rsidRDefault="00D30385" w:rsidP="00F54FD5">
            <w:pPr>
              <w:rPr>
                <w:sz w:val="18"/>
                <w:szCs w:val="18"/>
              </w:rPr>
            </w:pPr>
            <w:r w:rsidRPr="00732EED">
              <w:rPr>
                <w:sz w:val="18"/>
                <w:szCs w:val="18"/>
              </w:rPr>
              <w:t>Body as dynamic process, pain fluctuates, transforms</w:t>
            </w:r>
          </w:p>
        </w:tc>
        <w:tc>
          <w:tcPr>
            <w:tcW w:w="771" w:type="pct"/>
          </w:tcPr>
          <w:p w14:paraId="1338B7F5" w14:textId="77777777" w:rsidR="00D30385" w:rsidRPr="00732EED" w:rsidRDefault="00D30385" w:rsidP="00F54FD5">
            <w:pPr>
              <w:rPr>
                <w:sz w:val="18"/>
                <w:szCs w:val="18"/>
              </w:rPr>
            </w:pPr>
            <w:r w:rsidRPr="00732EED">
              <w:rPr>
                <w:sz w:val="18"/>
                <w:szCs w:val="18"/>
              </w:rPr>
              <w:t>Identity and coping as continuous processes</w:t>
            </w:r>
          </w:p>
        </w:tc>
        <w:tc>
          <w:tcPr>
            <w:tcW w:w="710" w:type="pct"/>
          </w:tcPr>
          <w:p w14:paraId="01F5F79E" w14:textId="77777777" w:rsidR="00D30385" w:rsidRPr="00732EED" w:rsidRDefault="00D30385" w:rsidP="00F54FD5">
            <w:pPr>
              <w:rPr>
                <w:sz w:val="18"/>
                <w:szCs w:val="18"/>
              </w:rPr>
            </w:pPr>
            <w:r w:rsidRPr="00732EED">
              <w:rPr>
                <w:sz w:val="18"/>
                <w:szCs w:val="18"/>
              </w:rPr>
              <w:t>Cultural categories emerge and change, shape experiences</w:t>
            </w:r>
          </w:p>
        </w:tc>
        <w:tc>
          <w:tcPr>
            <w:tcW w:w="674" w:type="pct"/>
          </w:tcPr>
          <w:p w14:paraId="5429120F" w14:textId="77777777" w:rsidR="00D30385" w:rsidRPr="00732EED" w:rsidRDefault="00D30385" w:rsidP="00F54FD5">
            <w:pPr>
              <w:rPr>
                <w:sz w:val="18"/>
                <w:szCs w:val="18"/>
              </w:rPr>
            </w:pPr>
            <w:r w:rsidRPr="00732EED">
              <w:rPr>
                <w:sz w:val="18"/>
                <w:szCs w:val="18"/>
              </w:rPr>
              <w:t>Thinking, attending, remembering as ongoing, pain in “habit loops”</w:t>
            </w:r>
          </w:p>
        </w:tc>
        <w:tc>
          <w:tcPr>
            <w:tcW w:w="822" w:type="pct"/>
          </w:tcPr>
          <w:p w14:paraId="46A6A2FE" w14:textId="77777777" w:rsidR="00D30385" w:rsidRPr="00732EED" w:rsidRDefault="00D30385" w:rsidP="00F54FD5">
            <w:pPr>
              <w:rPr>
                <w:sz w:val="18"/>
                <w:szCs w:val="18"/>
              </w:rPr>
            </w:pPr>
            <w:r w:rsidRPr="00732EED">
              <w:rPr>
                <w:sz w:val="18"/>
                <w:szCs w:val="18"/>
              </w:rPr>
              <w:t>Pain as temporally extended, event-like process, fits trajectories and flare-ups</w:t>
            </w:r>
          </w:p>
        </w:tc>
      </w:tr>
      <w:tr w:rsidR="00D30385" w:rsidRPr="00732EED" w14:paraId="0EB89E32" w14:textId="77777777" w:rsidTr="001F2CA8">
        <w:tc>
          <w:tcPr>
            <w:tcW w:w="557" w:type="pct"/>
          </w:tcPr>
          <w:p w14:paraId="65C734B5" w14:textId="77777777" w:rsidR="00D30385" w:rsidRPr="00732EED" w:rsidRDefault="00D30385" w:rsidP="00F54FD5">
            <w:pPr>
              <w:rPr>
                <w:sz w:val="18"/>
                <w:szCs w:val="18"/>
              </w:rPr>
            </w:pPr>
            <w:r w:rsidRPr="00732EED">
              <w:rPr>
                <w:sz w:val="18"/>
                <w:szCs w:val="18"/>
              </w:rPr>
              <w:t>Participatory principles (PAR, co-production)</w:t>
            </w:r>
          </w:p>
        </w:tc>
        <w:tc>
          <w:tcPr>
            <w:tcW w:w="677" w:type="pct"/>
          </w:tcPr>
          <w:p w14:paraId="263DF7AC" w14:textId="77777777" w:rsidR="00D30385" w:rsidRPr="00732EED" w:rsidRDefault="00D30385" w:rsidP="00F54FD5">
            <w:pPr>
              <w:rPr>
                <w:sz w:val="18"/>
                <w:szCs w:val="18"/>
              </w:rPr>
            </w:pPr>
            <w:r w:rsidRPr="00732EED">
              <w:rPr>
                <w:sz w:val="18"/>
                <w:szCs w:val="18"/>
              </w:rPr>
              <w:t>Redistributes power, co-defines problems, social support, empowerment</w:t>
            </w:r>
          </w:p>
        </w:tc>
        <w:tc>
          <w:tcPr>
            <w:tcW w:w="789" w:type="pct"/>
          </w:tcPr>
          <w:p w14:paraId="32534BE4" w14:textId="77777777" w:rsidR="00D30385" w:rsidRPr="00732EED" w:rsidRDefault="00D30385" w:rsidP="00F54FD5">
            <w:pPr>
              <w:rPr>
                <w:sz w:val="18"/>
                <w:szCs w:val="18"/>
              </w:rPr>
            </w:pPr>
            <w:r w:rsidRPr="00732EED">
              <w:rPr>
                <w:sz w:val="18"/>
                <w:szCs w:val="18"/>
              </w:rPr>
              <w:t>Co-designed interventions support functional goals, movement, workplace adaptations</w:t>
            </w:r>
          </w:p>
        </w:tc>
        <w:tc>
          <w:tcPr>
            <w:tcW w:w="771" w:type="pct"/>
          </w:tcPr>
          <w:p w14:paraId="40932B77" w14:textId="77777777" w:rsidR="00D30385" w:rsidRPr="00732EED" w:rsidRDefault="00D30385" w:rsidP="00F54FD5">
            <w:pPr>
              <w:rPr>
                <w:sz w:val="18"/>
                <w:szCs w:val="18"/>
              </w:rPr>
            </w:pPr>
            <w:r w:rsidRPr="00732EED">
              <w:rPr>
                <w:sz w:val="18"/>
                <w:szCs w:val="18"/>
              </w:rPr>
              <w:t>Builds mastery, self-efficacy, agency, counteracts passivity, hopelessness</w:t>
            </w:r>
          </w:p>
        </w:tc>
        <w:tc>
          <w:tcPr>
            <w:tcW w:w="710" w:type="pct"/>
          </w:tcPr>
          <w:p w14:paraId="68F75290" w14:textId="77777777" w:rsidR="00D30385" w:rsidRPr="00732EED" w:rsidRDefault="00D30385" w:rsidP="00F54FD5">
            <w:pPr>
              <w:rPr>
                <w:sz w:val="18"/>
                <w:szCs w:val="18"/>
              </w:rPr>
            </w:pPr>
            <w:r w:rsidRPr="00732EED">
              <w:rPr>
                <w:sz w:val="18"/>
                <w:szCs w:val="18"/>
              </w:rPr>
              <w:t>Surfaces local meanings, stigma, scripts, more culturally congruent interventions</w:t>
            </w:r>
          </w:p>
        </w:tc>
        <w:tc>
          <w:tcPr>
            <w:tcW w:w="674" w:type="pct"/>
          </w:tcPr>
          <w:p w14:paraId="73275273" w14:textId="77777777" w:rsidR="00D30385" w:rsidRPr="00732EED" w:rsidRDefault="00D30385" w:rsidP="00F54FD5">
            <w:pPr>
              <w:rPr>
                <w:sz w:val="18"/>
                <w:szCs w:val="18"/>
              </w:rPr>
            </w:pPr>
            <w:r w:rsidRPr="00732EED">
              <w:rPr>
                <w:sz w:val="18"/>
                <w:szCs w:val="18"/>
              </w:rPr>
              <w:t>Reflection fosters critical awareness (“critical consciousness”)</w:t>
            </w:r>
          </w:p>
        </w:tc>
        <w:tc>
          <w:tcPr>
            <w:tcW w:w="822" w:type="pct"/>
          </w:tcPr>
          <w:p w14:paraId="4692F472" w14:textId="77777777" w:rsidR="00D30385" w:rsidRPr="00732EED" w:rsidRDefault="00D30385" w:rsidP="00F54FD5">
            <w:pPr>
              <w:rPr>
                <w:sz w:val="18"/>
                <w:szCs w:val="18"/>
              </w:rPr>
            </w:pPr>
            <w:r w:rsidRPr="00732EED">
              <w:rPr>
                <w:sz w:val="18"/>
                <w:szCs w:val="18"/>
              </w:rPr>
              <w:t>Reduces pain-related distress/interference via control and service fit</w:t>
            </w:r>
          </w:p>
        </w:tc>
      </w:tr>
    </w:tbl>
    <w:p w14:paraId="301E8BF2" w14:textId="59424165" w:rsidR="00D30385" w:rsidRPr="00732EED" w:rsidRDefault="00F54FD5" w:rsidP="00F54FD5">
      <w:pPr>
        <w:rPr>
          <w:sz w:val="18"/>
          <w:szCs w:val="18"/>
        </w:rPr>
      </w:pPr>
      <w:r w:rsidRPr="00732EED">
        <w:rPr>
          <w:sz w:val="18"/>
          <w:szCs w:val="18"/>
        </w:rPr>
        <w:t>*Table maps exemplar pathways (rows) to observed or theorized effects across heuristic domains (columns). Entries summarize typical mechanisms, outcomes, and contextual moderators drawn from the reviewed literature; they are interpretive syntheses, not quantitative results.</w:t>
      </w:r>
      <w:r w:rsidR="005651BC" w:rsidRPr="00732EED">
        <w:rPr>
          <w:sz w:val="18"/>
          <w:szCs w:val="18"/>
        </w:rPr>
        <w:t xml:space="preserve"> </w:t>
      </w:r>
      <w:r w:rsidRPr="00732EED">
        <w:rPr>
          <w:sz w:val="18"/>
          <w:szCs w:val="18"/>
        </w:rPr>
        <w:t>Domain labels: Social = social roles, support, participation; Physical = bodily function, movement, activity; Psychological = mood, coping, identity; Cultural = norms, practices, meanings; Cognitive = attention, beliefs, illness representations; Pain = pain</w:t>
      </w:r>
      <w:r w:rsidRPr="00732EED">
        <w:rPr>
          <w:sz w:val="18"/>
          <w:szCs w:val="18"/>
        </w:rPr>
        <w:noBreakHyphen/>
        <w:t>specific outcomes (intensity, interference, distress). These pathway summaries draw on study</w:t>
      </w:r>
      <w:r w:rsidRPr="00732EED">
        <w:rPr>
          <w:sz w:val="18"/>
          <w:szCs w:val="18"/>
        </w:rPr>
        <w:noBreakHyphen/>
        <w:t xml:space="preserve">level coding and thematic synthesis across the 94 included studies; individual studies may exemplify multiple cells. See Methods/Supplementary Materials for study IDs linked to each pathway and for coding definitions. </w:t>
      </w:r>
      <w:r w:rsidR="005651BC" w:rsidRPr="00732EED">
        <w:rPr>
          <w:sz w:val="18"/>
          <w:szCs w:val="18"/>
        </w:rPr>
        <w:t xml:space="preserve"> I</w:t>
      </w:r>
      <w:r w:rsidRPr="00732EED">
        <w:rPr>
          <w:sz w:val="18"/>
          <w:szCs w:val="18"/>
        </w:rPr>
        <w:t>tems indicate plausible mechanism–outcome linkages reported or argued in the literature, not proven causal effects. Intervention effects vary by context, population, delivery mode, and study quality. Where terms are abbreviated or discipline</w:t>
      </w:r>
      <w:r w:rsidRPr="00732EED">
        <w:rPr>
          <w:sz w:val="18"/>
          <w:szCs w:val="18"/>
        </w:rPr>
        <w:noBreakHyphen/>
        <w:t>specific (e.g., PAR = participatory action research), see the main text glossary or Table</w:t>
      </w:r>
      <w:r w:rsidR="005651BC" w:rsidRPr="00732EED">
        <w:rPr>
          <w:sz w:val="18"/>
          <w:szCs w:val="18"/>
        </w:rPr>
        <w:t>s</w:t>
      </w:r>
      <w:r w:rsidRPr="00732EED">
        <w:rPr>
          <w:sz w:val="18"/>
          <w:szCs w:val="18"/>
        </w:rPr>
        <w:t xml:space="preserve"> S1</w:t>
      </w:r>
      <w:r w:rsidR="005651BC" w:rsidRPr="00732EED">
        <w:rPr>
          <w:sz w:val="18"/>
          <w:szCs w:val="18"/>
        </w:rPr>
        <w:t xml:space="preserve"> and S18</w:t>
      </w:r>
      <w:r w:rsidRPr="00732EED">
        <w:rPr>
          <w:sz w:val="18"/>
          <w:szCs w:val="18"/>
        </w:rPr>
        <w:t xml:space="preserve">. </w:t>
      </w:r>
      <w:r w:rsidR="005651BC" w:rsidRPr="00732EED">
        <w:rPr>
          <w:sz w:val="18"/>
          <w:szCs w:val="18"/>
        </w:rPr>
        <w:t>T</w:t>
      </w:r>
      <w:r w:rsidRPr="00732EED">
        <w:rPr>
          <w:sz w:val="18"/>
          <w:szCs w:val="18"/>
        </w:rPr>
        <w:t xml:space="preserve">his table </w:t>
      </w:r>
      <w:r w:rsidR="005651BC" w:rsidRPr="00732EED">
        <w:rPr>
          <w:sz w:val="18"/>
          <w:szCs w:val="18"/>
        </w:rPr>
        <w:t>is</w:t>
      </w:r>
      <w:r w:rsidRPr="00732EED">
        <w:rPr>
          <w:sz w:val="18"/>
          <w:szCs w:val="18"/>
        </w:rPr>
        <w:t xml:space="preserve"> a conceptual heuristic to guide interpretation and design of interventions; empirical evaluation of specific pathway components is needed for confirmation.</w:t>
      </w:r>
    </w:p>
    <w:p w14:paraId="00D1D95D" w14:textId="77777777" w:rsidR="007B3A46" w:rsidRPr="00732EED" w:rsidRDefault="007B3A46" w:rsidP="00F46C8C">
      <w:pPr>
        <w:spacing w:line="480" w:lineRule="auto"/>
        <w:rPr>
          <w:b/>
          <w:bCs/>
          <w:sz w:val="18"/>
          <w:szCs w:val="18"/>
        </w:rPr>
      </w:pPr>
    </w:p>
    <w:p w14:paraId="35B08757" w14:textId="77777777" w:rsidR="001F2CA8" w:rsidRPr="00732EED" w:rsidRDefault="001F2CA8" w:rsidP="00C60EF0">
      <w:pPr>
        <w:rPr>
          <w:b/>
          <w:bCs/>
          <w:sz w:val="18"/>
          <w:szCs w:val="18"/>
        </w:rPr>
        <w:sectPr w:rsidR="001F2CA8" w:rsidRPr="00732EED" w:rsidSect="0082039E">
          <w:pgSz w:w="15840" w:h="12240" w:orient="landscape" w:code="1"/>
          <w:pgMar w:top="1134" w:right="1134" w:bottom="1134" w:left="1134" w:header="720" w:footer="720" w:gutter="0"/>
          <w:cols w:space="720"/>
          <w:docGrid w:linePitch="360"/>
        </w:sectPr>
      </w:pPr>
    </w:p>
    <w:p w14:paraId="06CB6650" w14:textId="0609ED4E" w:rsidR="00C60EF0" w:rsidRPr="00732EED" w:rsidRDefault="00C60EF0" w:rsidP="00C60EF0">
      <w:pPr>
        <w:rPr>
          <w:b/>
          <w:bCs/>
          <w:sz w:val="18"/>
          <w:szCs w:val="18"/>
        </w:rPr>
      </w:pPr>
      <w:r w:rsidRPr="00732EED">
        <w:rPr>
          <w:b/>
          <w:bCs/>
          <w:sz w:val="18"/>
          <w:szCs w:val="18"/>
        </w:rPr>
        <w:lastRenderedPageBreak/>
        <w:t>Supplementary Table S</w:t>
      </w:r>
      <w:r w:rsidR="00E418E3" w:rsidRPr="00732EED">
        <w:rPr>
          <w:b/>
          <w:bCs/>
          <w:sz w:val="18"/>
          <w:szCs w:val="18"/>
        </w:rPr>
        <w:t>20</w:t>
      </w:r>
      <w:r w:rsidRPr="00732EED">
        <w:rPr>
          <w:b/>
          <w:bCs/>
          <w:sz w:val="18"/>
          <w:szCs w:val="18"/>
        </w:rPr>
        <w:t>. Overarching frameworks, methodological features, and distinctive contributions of the synthesis*</w:t>
      </w:r>
    </w:p>
    <w:tbl>
      <w:tblPr>
        <w:tblStyle w:val="PlainTable1"/>
        <w:tblW w:w="5080" w:type="pct"/>
        <w:tblLook w:val="04A0" w:firstRow="1" w:lastRow="0" w:firstColumn="1" w:lastColumn="0" w:noHBand="0" w:noVBand="1"/>
      </w:tblPr>
      <w:tblGrid>
        <w:gridCol w:w="1436"/>
        <w:gridCol w:w="1456"/>
        <w:gridCol w:w="1639"/>
        <w:gridCol w:w="1727"/>
        <w:gridCol w:w="1446"/>
        <w:gridCol w:w="1484"/>
        <w:gridCol w:w="1587"/>
        <w:gridCol w:w="1488"/>
        <w:gridCol w:w="1516"/>
      </w:tblGrid>
      <w:tr w:rsidR="00EB4ED6" w:rsidRPr="00732EED" w14:paraId="2F6E9F93" w14:textId="77777777" w:rsidTr="00EB4E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pct"/>
            <w:hideMark/>
          </w:tcPr>
          <w:p w14:paraId="4420BB2B" w14:textId="77777777" w:rsidR="00C60EF0" w:rsidRPr="00732EED" w:rsidRDefault="00C60EF0" w:rsidP="00EB4ED6">
            <w:pPr>
              <w:ind w:right="-86"/>
              <w:rPr>
                <w:sz w:val="18"/>
                <w:szCs w:val="18"/>
              </w:rPr>
            </w:pPr>
            <w:r w:rsidRPr="00732EED">
              <w:rPr>
                <w:sz w:val="18"/>
                <w:szCs w:val="18"/>
              </w:rPr>
              <w:t>Overarching framework / principle</w:t>
            </w:r>
          </w:p>
        </w:tc>
        <w:tc>
          <w:tcPr>
            <w:tcW w:w="528" w:type="pct"/>
            <w:hideMark/>
          </w:tcPr>
          <w:p w14:paraId="36B92BA0"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Themes</w:t>
            </w:r>
          </w:p>
        </w:tc>
        <w:tc>
          <w:tcPr>
            <w:tcW w:w="595" w:type="pct"/>
            <w:hideMark/>
          </w:tcPr>
          <w:p w14:paraId="78CB6C24"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Identified framework</w:t>
            </w:r>
          </w:p>
        </w:tc>
        <w:tc>
          <w:tcPr>
            <w:tcW w:w="627" w:type="pct"/>
            <w:hideMark/>
          </w:tcPr>
          <w:p w14:paraId="2F00AB2C"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Sequential steps</w:t>
            </w:r>
          </w:p>
        </w:tc>
        <w:tc>
          <w:tcPr>
            <w:tcW w:w="525" w:type="pct"/>
            <w:hideMark/>
          </w:tcPr>
          <w:p w14:paraId="47B387D5"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Heuristic approach</w:t>
            </w:r>
          </w:p>
        </w:tc>
        <w:tc>
          <w:tcPr>
            <w:tcW w:w="539" w:type="pct"/>
            <w:hideMark/>
          </w:tcPr>
          <w:p w14:paraId="4D6ECFD8"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Hermeneutic approach</w:t>
            </w:r>
          </w:p>
        </w:tc>
        <w:tc>
          <w:tcPr>
            <w:tcW w:w="576" w:type="pct"/>
            <w:hideMark/>
          </w:tcPr>
          <w:p w14:paraId="2F2866AA"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Transdisciplinary integration</w:t>
            </w:r>
          </w:p>
        </w:tc>
        <w:tc>
          <w:tcPr>
            <w:tcW w:w="540" w:type="pct"/>
            <w:hideMark/>
          </w:tcPr>
          <w:p w14:paraId="3BF74F64"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Solution vs. problem-focus balance</w:t>
            </w:r>
          </w:p>
        </w:tc>
        <w:tc>
          <w:tcPr>
            <w:tcW w:w="550" w:type="pct"/>
            <w:hideMark/>
          </w:tcPr>
          <w:p w14:paraId="19AD7BAF" w14:textId="77777777" w:rsidR="00C60EF0" w:rsidRPr="00732EED" w:rsidRDefault="00C60EF0" w:rsidP="008E2192">
            <w:pPr>
              <w:cnfStyle w:val="100000000000" w:firstRow="1" w:lastRow="0" w:firstColumn="0" w:lastColumn="0" w:oddVBand="0" w:evenVBand="0" w:oddHBand="0" w:evenHBand="0" w:firstRowFirstColumn="0" w:firstRowLastColumn="0" w:lastRowFirstColumn="0" w:lastRowLastColumn="0"/>
              <w:rPr>
                <w:sz w:val="18"/>
                <w:szCs w:val="18"/>
              </w:rPr>
            </w:pPr>
            <w:r w:rsidRPr="00732EED">
              <w:rPr>
                <w:sz w:val="18"/>
                <w:szCs w:val="18"/>
              </w:rPr>
              <w:t>Unique contribution</w:t>
            </w:r>
          </w:p>
        </w:tc>
      </w:tr>
      <w:tr w:rsidR="00EB4ED6" w:rsidRPr="00732EED" w14:paraId="672940BD"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pct"/>
            <w:hideMark/>
          </w:tcPr>
          <w:p w14:paraId="41EC8A51" w14:textId="77777777" w:rsidR="00C60EF0" w:rsidRPr="00732EED" w:rsidRDefault="00C60EF0" w:rsidP="00EB4ED6">
            <w:pPr>
              <w:ind w:right="-86"/>
              <w:rPr>
                <w:sz w:val="18"/>
                <w:szCs w:val="18"/>
              </w:rPr>
            </w:pPr>
            <w:r w:rsidRPr="00732EED">
              <w:rPr>
                <w:sz w:val="18"/>
                <w:szCs w:val="18"/>
              </w:rPr>
              <w:t>Ethical / axiological</w:t>
            </w:r>
          </w:p>
        </w:tc>
        <w:tc>
          <w:tcPr>
            <w:tcW w:w="528" w:type="pct"/>
            <w:hideMark/>
          </w:tcPr>
          <w:p w14:paraId="2A831CF2"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Autonomy, power dynamics, equity, epistemic justice, sustainability, collaboration, stigma, values, access to care, beneficence/non-maleficence, and community benefit.1</w:t>
            </w:r>
          </w:p>
        </w:tc>
        <w:tc>
          <w:tcPr>
            <w:tcW w:w="595" w:type="pct"/>
            <w:hideMark/>
          </w:tcPr>
          <w:p w14:paraId="02FA2963"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Participatory ethics grounded in CBPR/PAR; ethical governance through transdisciplinary reflexivity; value-sensitive intervention design, including mindfulness-based and culturally adapted approaches.2</w:t>
            </w:r>
          </w:p>
        </w:tc>
        <w:tc>
          <w:tcPr>
            <w:tcW w:w="627" w:type="pct"/>
            <w:hideMark/>
          </w:tcPr>
          <w:p w14:paraId="52127AA7"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Phase 0: team formation with explicit transdisciplinary and ethical alignment; pre-synthesis ethical framing of questions and eligibility; appraisal using CASP/MMAT and </w:t>
            </w:r>
            <w:proofErr w:type="spellStart"/>
            <w:r w:rsidRPr="00732EED">
              <w:rPr>
                <w:sz w:val="18"/>
                <w:szCs w:val="18"/>
              </w:rPr>
              <w:t>CERQual</w:t>
            </w:r>
            <w:proofErr w:type="spellEnd"/>
            <w:r w:rsidRPr="00732EED">
              <w:rPr>
                <w:sz w:val="18"/>
                <w:szCs w:val="18"/>
              </w:rPr>
              <w:t xml:space="preserve"> with attention to community relevance; Phase 2 refinement informed by PAR and sustainability considerations.3</w:t>
            </w:r>
          </w:p>
        </w:tc>
        <w:tc>
          <w:tcPr>
            <w:tcW w:w="525" w:type="pct"/>
            <w:hideMark/>
          </w:tcPr>
          <w:p w14:paraId="29F841A6"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Ethical salience was operationalized through practical prioritization rules, including emphasis on participation, equity, communication, accessibility, cultural fit, and sustainability in pathway ranking and visualization.4</w:t>
            </w:r>
          </w:p>
        </w:tc>
        <w:tc>
          <w:tcPr>
            <w:tcW w:w="539" w:type="pct"/>
            <w:hideMark/>
          </w:tcPr>
          <w:p w14:paraId="33FB33C7"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Ethics was interpreted through iterative hermeneutic cycles, reflexive </w:t>
            </w:r>
            <w:proofErr w:type="spellStart"/>
            <w:r w:rsidRPr="00732EED">
              <w:rPr>
                <w:sz w:val="18"/>
                <w:szCs w:val="18"/>
              </w:rPr>
              <w:t>memoing</w:t>
            </w:r>
            <w:proofErr w:type="spellEnd"/>
            <w:r w:rsidRPr="00732EED">
              <w:rPr>
                <w:sz w:val="18"/>
                <w:szCs w:val="18"/>
              </w:rPr>
              <w:t>, explicit attention to positionality, and preservation of unresolved value tensions; where available, community-engaged interpretation and member-checking were incorporated.5</w:t>
            </w:r>
          </w:p>
        </w:tc>
        <w:tc>
          <w:tcPr>
            <w:tcW w:w="576" w:type="pct"/>
            <w:hideMark/>
          </w:tcPr>
          <w:p w14:paraId="46FE3528"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Ethical integration was built into the design through CBPR/PAR, cross-disciplinary reflexivity, and visualization methods that exposed inequities and guided ethically prioritized pathways across clinical, social, and cultural domains.6</w:t>
            </w:r>
          </w:p>
        </w:tc>
        <w:tc>
          <w:tcPr>
            <w:tcW w:w="540" w:type="pct"/>
            <w:hideMark/>
          </w:tcPr>
          <w:p w14:paraId="214A0D89"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Primarily problem-focused in mapping injustice, access barriers, and stigma, while also informing ethically weighted, solution-oriented intervention pathways such as culturally adapted MBIs and PAR-embedded programmes.7</w:t>
            </w:r>
          </w:p>
        </w:tc>
        <w:tc>
          <w:tcPr>
            <w:tcW w:w="550" w:type="pct"/>
            <w:hideMark/>
          </w:tcPr>
          <w:p w14:paraId="30F5F79E"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Recasts CBPR/PAR and reflexive transdisciplinary practice as mechanisms of ethical governance; embeds ethical heuristics within heatmaps and node graphs to render value trade-offs explicit and actionable.8</w:t>
            </w:r>
          </w:p>
        </w:tc>
      </w:tr>
      <w:tr w:rsidR="00EB4ED6" w:rsidRPr="00732EED" w14:paraId="35A468BC" w14:textId="77777777" w:rsidTr="00EB4ED6">
        <w:tc>
          <w:tcPr>
            <w:cnfStyle w:val="001000000000" w:firstRow="0" w:lastRow="0" w:firstColumn="1" w:lastColumn="0" w:oddVBand="0" w:evenVBand="0" w:oddHBand="0" w:evenHBand="0" w:firstRowFirstColumn="0" w:firstRowLastColumn="0" w:lastRowFirstColumn="0" w:lastRowLastColumn="0"/>
            <w:tcW w:w="521" w:type="pct"/>
            <w:hideMark/>
          </w:tcPr>
          <w:p w14:paraId="34A5726B" w14:textId="77777777" w:rsidR="00C60EF0" w:rsidRPr="00732EED" w:rsidRDefault="00C60EF0" w:rsidP="00EB4ED6">
            <w:pPr>
              <w:ind w:right="-86"/>
              <w:rPr>
                <w:sz w:val="18"/>
                <w:szCs w:val="18"/>
              </w:rPr>
            </w:pPr>
            <w:r w:rsidRPr="00732EED">
              <w:rPr>
                <w:sz w:val="18"/>
                <w:szCs w:val="18"/>
              </w:rPr>
              <w:t>Ontological (process / relational ontology)</w:t>
            </w:r>
          </w:p>
        </w:tc>
        <w:tc>
          <w:tcPr>
            <w:tcW w:w="528" w:type="pct"/>
            <w:hideMark/>
          </w:tcPr>
          <w:p w14:paraId="4A2351F4"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Processuality, temporality, becoming, shifting, emerging, biological-social relations, identity change, self-organization, causal continuity, disease as dynamic process, cognition, lived experience, chronicity, coping, and adaptability.9</w:t>
            </w:r>
          </w:p>
        </w:tc>
        <w:tc>
          <w:tcPr>
            <w:tcW w:w="595" w:type="pct"/>
            <w:hideMark/>
          </w:tcPr>
          <w:p w14:paraId="480BEABC"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Process ontology, in dialogue with phenomenology, was used to conceptualize illness as dynamic, temporally extended, and relational rather than static or exclusively mechanistic.10</w:t>
            </w:r>
          </w:p>
        </w:tc>
        <w:tc>
          <w:tcPr>
            <w:tcW w:w="627" w:type="pct"/>
            <w:hideMark/>
          </w:tcPr>
          <w:p w14:paraId="0C391A1F"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Phase 0: ontology alignment and conceptual framing; Phase 1: hermeneutic phenomenology to elicit lived-process themes; Phase 1.4–1.6: heuristic simplification and node-graph construction; Phase 2: cluster analysis and heatmap mapping to operationalize processual pathways.11</w:t>
            </w:r>
          </w:p>
        </w:tc>
        <w:tc>
          <w:tcPr>
            <w:tcW w:w="525" w:type="pct"/>
            <w:hideMark/>
          </w:tcPr>
          <w:p w14:paraId="05ABD95A"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Heuristics prioritized temporal language and transition markers and grouped subthemes into principal process-oriented domains; these rules converted layered interpretive findings into usable nodes, edges, and domain structures.12</w:t>
            </w:r>
          </w:p>
        </w:tc>
        <w:tc>
          <w:tcPr>
            <w:tcW w:w="539" w:type="pct"/>
            <w:hideMark/>
          </w:tcPr>
          <w:p w14:paraId="2CBE0D1D"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IPA-informed meta-ethnography and the hermeneutic circle were used to identify first-order lived experience and iteratively develop higher-order interpretations that preserved temporal and relational nuance.13</w:t>
            </w:r>
          </w:p>
        </w:tc>
        <w:tc>
          <w:tcPr>
            <w:tcW w:w="576" w:type="pct"/>
            <w:hideMark/>
          </w:tcPr>
          <w:p w14:paraId="1209ECF3"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Process ontology enabled cross-disciplinary mapping across biomedical, psychological, sociological, and phenomenological domains; node graphs and heatmaps rendered interdomain causal and conditional relations visible for clinical and policy application.14</w:t>
            </w:r>
          </w:p>
        </w:tc>
        <w:tc>
          <w:tcPr>
            <w:tcW w:w="540" w:type="pct"/>
            <w:hideMark/>
          </w:tcPr>
          <w:p w14:paraId="21D3F0D5" w14:textId="2513E082"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Balances process-focused problem mapping of dynamic illness trajectories with solution-oriented heuristics that support </w:t>
            </w:r>
            <w:r w:rsidR="00B93F1C" w:rsidRPr="00732EED">
              <w:rPr>
                <w:sz w:val="18"/>
                <w:szCs w:val="18"/>
              </w:rPr>
              <w:t>Phase</w:t>
            </w:r>
            <w:r w:rsidRPr="00732EED">
              <w:rPr>
                <w:sz w:val="18"/>
                <w:szCs w:val="18"/>
              </w:rPr>
              <w:t>-sensitive and personalized interventions.15</w:t>
            </w:r>
          </w:p>
        </w:tc>
        <w:tc>
          <w:tcPr>
            <w:tcW w:w="550" w:type="pct"/>
            <w:hideMark/>
          </w:tcPr>
          <w:p w14:paraId="5ACAEAF4"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Novel operationalization of process ontology within a sequential hermeneutic-heuristic meta-synthesis, producing process-sensitive and clinically translatable pathways unavailable in static disease models.16</w:t>
            </w:r>
          </w:p>
        </w:tc>
      </w:tr>
      <w:tr w:rsidR="00EB4ED6" w:rsidRPr="00732EED" w14:paraId="691CD4E6" w14:textId="77777777" w:rsidTr="00EB4E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pct"/>
            <w:hideMark/>
          </w:tcPr>
          <w:p w14:paraId="7F52C2D1" w14:textId="77777777" w:rsidR="00C60EF0" w:rsidRPr="00732EED" w:rsidRDefault="00C60EF0" w:rsidP="00EB4ED6">
            <w:pPr>
              <w:ind w:right="-86"/>
              <w:rPr>
                <w:sz w:val="18"/>
                <w:szCs w:val="18"/>
              </w:rPr>
            </w:pPr>
            <w:r w:rsidRPr="00732EED">
              <w:rPr>
                <w:sz w:val="18"/>
                <w:szCs w:val="18"/>
              </w:rPr>
              <w:t>Epistemological</w:t>
            </w:r>
          </w:p>
        </w:tc>
        <w:tc>
          <w:tcPr>
            <w:tcW w:w="528" w:type="pct"/>
            <w:hideMark/>
          </w:tcPr>
          <w:p w14:paraId="2508D9EB"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t xml:space="preserve">Knowledge production, communicative processes, institutional </w:t>
            </w:r>
            <w:r w:rsidRPr="00732EED">
              <w:rPr>
                <w:sz w:val="18"/>
                <w:szCs w:val="18"/>
              </w:rPr>
              <w:lastRenderedPageBreak/>
              <w:t>influences, cultural competence, power dynamics, epistemic uncertainty, trauma, avoidance, transformation, and plural ways of knowing.17</w:t>
            </w:r>
          </w:p>
        </w:tc>
        <w:tc>
          <w:tcPr>
            <w:tcW w:w="595" w:type="pct"/>
            <w:hideMark/>
          </w:tcPr>
          <w:p w14:paraId="5F9CC7F0"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A pluralist and pragmatic epistemology privileged situated, practice-relevant, </w:t>
            </w:r>
            <w:r w:rsidRPr="00732EED">
              <w:rPr>
                <w:sz w:val="18"/>
                <w:szCs w:val="18"/>
              </w:rPr>
              <w:lastRenderedPageBreak/>
              <w:t>and co-produced knowledge, integrating participant narratives, disciplinary theory, and collective interpretation; PAR/CBPR functioned as epistemic as well as participatory devices.18</w:t>
            </w:r>
          </w:p>
        </w:tc>
        <w:tc>
          <w:tcPr>
            <w:tcW w:w="627" w:type="pct"/>
            <w:hideMark/>
          </w:tcPr>
          <w:p w14:paraId="1CAF2B8A"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Phase 0: reflexive team orientation; Phase 1: iterative hermeneutic reading and meta-</w:t>
            </w:r>
            <w:r w:rsidRPr="00732EED">
              <w:rPr>
                <w:sz w:val="18"/>
                <w:szCs w:val="18"/>
              </w:rPr>
              <w:lastRenderedPageBreak/>
              <w:t xml:space="preserve">ethnographic translation; Phase 1.4–1.7 and Phase 2.3: heuristic simplification, node-graph construction, and </w:t>
            </w:r>
            <w:proofErr w:type="spellStart"/>
            <w:r w:rsidRPr="00732EED">
              <w:rPr>
                <w:sz w:val="18"/>
                <w:szCs w:val="18"/>
              </w:rPr>
              <w:t>CERQual</w:t>
            </w:r>
            <w:proofErr w:type="spellEnd"/>
            <w:r w:rsidRPr="00732EED">
              <w:rPr>
                <w:sz w:val="18"/>
                <w:szCs w:val="18"/>
              </w:rPr>
              <w:t xml:space="preserve"> confidence assessment; Phase 2: participatory pathway refinement.19</w:t>
            </w:r>
          </w:p>
        </w:tc>
        <w:tc>
          <w:tcPr>
            <w:tcW w:w="525" w:type="pct"/>
            <w:hideMark/>
          </w:tcPr>
          <w:p w14:paraId="07260F73"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Heuristic domain organization mapped emergent </w:t>
            </w:r>
            <w:r w:rsidRPr="00732EED">
              <w:rPr>
                <w:sz w:val="18"/>
                <w:szCs w:val="18"/>
              </w:rPr>
              <w:lastRenderedPageBreak/>
              <w:t>knowledge into actionable categories and heuristics-in-use, with prioritization of recurring cross-domain motifs and temporal/process indicators.20</w:t>
            </w:r>
          </w:p>
        </w:tc>
        <w:tc>
          <w:tcPr>
            <w:tcW w:w="539" w:type="pct"/>
            <w:hideMark/>
          </w:tcPr>
          <w:p w14:paraId="5A2B58BC"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Double-hermeneutic, IPA-informed synthesis was applied at the </w:t>
            </w:r>
            <w:r w:rsidRPr="00732EED">
              <w:rPr>
                <w:sz w:val="18"/>
                <w:szCs w:val="18"/>
              </w:rPr>
              <w:lastRenderedPageBreak/>
              <w:t xml:space="preserve">synthesis level, with iterative reading, reflexive </w:t>
            </w:r>
            <w:proofErr w:type="spellStart"/>
            <w:r w:rsidRPr="00732EED">
              <w:rPr>
                <w:sz w:val="18"/>
                <w:szCs w:val="18"/>
              </w:rPr>
              <w:t>memoing</w:t>
            </w:r>
            <w:proofErr w:type="spellEnd"/>
            <w:r w:rsidRPr="00732EED">
              <w:rPr>
                <w:sz w:val="18"/>
                <w:szCs w:val="18"/>
              </w:rPr>
              <w:t>, reciprocal translation, and line-of-argument development.21</w:t>
            </w:r>
          </w:p>
        </w:tc>
        <w:tc>
          <w:tcPr>
            <w:tcW w:w="576" w:type="pct"/>
            <w:hideMark/>
          </w:tcPr>
          <w:p w14:paraId="4BF819B6"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Co-production of knowledge was operationalized through PAR/CBPR, </w:t>
            </w:r>
            <w:r w:rsidRPr="00732EED">
              <w:rPr>
                <w:sz w:val="18"/>
                <w:szCs w:val="18"/>
              </w:rPr>
              <w:lastRenderedPageBreak/>
              <w:t>cross-disciplinary reflexivity, and analytic linkage between hermeneutic themes and transdisciplinary pathways using heatmaps and node graphs.22</w:t>
            </w:r>
          </w:p>
        </w:tc>
        <w:tc>
          <w:tcPr>
            <w:tcW w:w="540" w:type="pct"/>
            <w:hideMark/>
          </w:tcPr>
          <w:p w14:paraId="07FF26CC"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Primarily problem-focused in preserving experiential complexity, </w:t>
            </w:r>
            <w:r w:rsidRPr="00732EED">
              <w:rPr>
                <w:sz w:val="18"/>
                <w:szCs w:val="18"/>
              </w:rPr>
              <w:lastRenderedPageBreak/>
              <w:t>while also oriented toward solution through generation of transferable and practice-ready pathways.23</w:t>
            </w:r>
          </w:p>
        </w:tc>
        <w:tc>
          <w:tcPr>
            <w:tcW w:w="550" w:type="pct"/>
            <w:hideMark/>
          </w:tcPr>
          <w:p w14:paraId="6280251E" w14:textId="77777777" w:rsidR="00C60EF0" w:rsidRPr="00732EED" w:rsidRDefault="00C60EF0" w:rsidP="008E2192">
            <w:pPr>
              <w:cnfStyle w:val="000000100000" w:firstRow="0" w:lastRow="0" w:firstColumn="0" w:lastColumn="0" w:oddVBand="0" w:evenVBand="0" w:oddHBand="1" w:evenHBand="0" w:firstRowFirstColumn="0" w:firstRowLastColumn="0" w:lastRowFirstColumn="0" w:lastRowLastColumn="0"/>
              <w:rPr>
                <w:sz w:val="18"/>
                <w:szCs w:val="18"/>
              </w:rPr>
            </w:pPr>
            <w:r w:rsidRPr="00732EED">
              <w:rPr>
                <w:sz w:val="18"/>
                <w:szCs w:val="18"/>
              </w:rPr>
              <w:lastRenderedPageBreak/>
              <w:t xml:space="preserve">Positions participatory methods and reflexive hermeneutics as </w:t>
            </w:r>
            <w:r w:rsidRPr="00732EED">
              <w:rPr>
                <w:sz w:val="18"/>
                <w:szCs w:val="18"/>
              </w:rPr>
              <w:lastRenderedPageBreak/>
              <w:t>tools of epistemic governance to address epistemic injustice; combines double-hermeneutic synthesis with heuristic domain mapping to generate transferable clinical pathways.24</w:t>
            </w:r>
          </w:p>
        </w:tc>
      </w:tr>
      <w:tr w:rsidR="00EB4ED6" w:rsidRPr="00732EED" w14:paraId="1C13BD88" w14:textId="77777777" w:rsidTr="00EB4ED6">
        <w:tc>
          <w:tcPr>
            <w:cnfStyle w:val="001000000000" w:firstRow="0" w:lastRow="0" w:firstColumn="1" w:lastColumn="0" w:oddVBand="0" w:evenVBand="0" w:oddHBand="0" w:evenHBand="0" w:firstRowFirstColumn="0" w:firstRowLastColumn="0" w:lastRowFirstColumn="0" w:lastRowLastColumn="0"/>
            <w:tcW w:w="521" w:type="pct"/>
            <w:hideMark/>
          </w:tcPr>
          <w:p w14:paraId="12207611" w14:textId="77777777" w:rsidR="00C60EF0" w:rsidRPr="00732EED" w:rsidRDefault="00C60EF0" w:rsidP="00EB4ED6">
            <w:pPr>
              <w:ind w:right="-86"/>
              <w:rPr>
                <w:sz w:val="18"/>
                <w:szCs w:val="18"/>
              </w:rPr>
            </w:pPr>
            <w:r w:rsidRPr="00732EED">
              <w:rPr>
                <w:sz w:val="18"/>
                <w:szCs w:val="18"/>
              </w:rPr>
              <w:lastRenderedPageBreak/>
              <w:t>Reflexivity (continuous)</w:t>
            </w:r>
          </w:p>
        </w:tc>
        <w:tc>
          <w:tcPr>
            <w:tcW w:w="528" w:type="pct"/>
            <w:hideMark/>
          </w:tcPr>
          <w:p w14:paraId="025E1CFB"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Autonomy, power, trauma/PTSD, collaboration, sustainability, cultural and social conventions, stigma, values, and access to healthcare resources.25</w:t>
            </w:r>
          </w:p>
        </w:tc>
        <w:tc>
          <w:tcPr>
            <w:tcW w:w="595" w:type="pct"/>
            <w:hideMark/>
          </w:tcPr>
          <w:p w14:paraId="6F8A8280"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Reflexivity was treated as a continuous, collaborative practice integrating participatory principles, cultural competence, awareness, mindfulness, and critical self-examination across the full synthesis process.26</w:t>
            </w:r>
          </w:p>
        </w:tc>
        <w:tc>
          <w:tcPr>
            <w:tcW w:w="627" w:type="pct"/>
            <w:hideMark/>
          </w:tcPr>
          <w:p w14:paraId="2FBD66FC" w14:textId="2700518C"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Reflexivity was embedded throughout pre-synthesis, appraisal, analysis, and summary, rather than confined to a single procedural </w:t>
            </w:r>
            <w:r w:rsidR="00B93F1C" w:rsidRPr="00732EED">
              <w:rPr>
                <w:sz w:val="18"/>
                <w:szCs w:val="18"/>
              </w:rPr>
              <w:t>Phase</w:t>
            </w:r>
            <w:r w:rsidRPr="00732EED">
              <w:rPr>
                <w:sz w:val="18"/>
                <w:szCs w:val="18"/>
              </w:rPr>
              <w:t>; team discussions were used to surface and critique methodological and personal assumptions.27</w:t>
            </w:r>
          </w:p>
        </w:tc>
        <w:tc>
          <w:tcPr>
            <w:tcW w:w="525" w:type="pct"/>
            <w:hideMark/>
          </w:tcPr>
          <w:p w14:paraId="10248D1E"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Reflexivity was also operationalized heuristically, using responsive rules of thumb to identify when bias, asymmetry, or interpretive tension required explicit examination rather than following a rigid protocol.28</w:t>
            </w:r>
          </w:p>
        </w:tc>
        <w:tc>
          <w:tcPr>
            <w:tcW w:w="539" w:type="pct"/>
            <w:hideMark/>
          </w:tcPr>
          <w:p w14:paraId="65467AE2"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Grounded in the hermeneutic view that interpretation is always situated, reflexivity proceeded through repeated movement within the hermeneutic circle to deepen understanding of lived experience and researcher implication.29</w:t>
            </w:r>
          </w:p>
        </w:tc>
        <w:tc>
          <w:tcPr>
            <w:tcW w:w="576" w:type="pct"/>
            <w:hideMark/>
          </w:tcPr>
          <w:p w14:paraId="5BE518C6"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Collective reflexivity across disciplines treated epistemic differences as productive; power asymmetries between knowledge traditions were explicitly acknowledged and negotiated to support co-production.30</w:t>
            </w:r>
          </w:p>
        </w:tc>
        <w:tc>
          <w:tcPr>
            <w:tcW w:w="540" w:type="pct"/>
            <w:hideMark/>
          </w:tcPr>
          <w:p w14:paraId="7EF45A9D" w14:textId="77777777"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Supports both poles: it prevents premature closure of the problem space while keeping the synthesis oriented toward actionable and transferable outputs.31</w:t>
            </w:r>
          </w:p>
        </w:tc>
        <w:tc>
          <w:tcPr>
            <w:tcW w:w="550" w:type="pct"/>
            <w:hideMark/>
          </w:tcPr>
          <w:p w14:paraId="7F452E72" w14:textId="40C63D73" w:rsidR="00C60EF0" w:rsidRPr="00732EED" w:rsidRDefault="00C60EF0" w:rsidP="008E2192">
            <w:pPr>
              <w:cnfStyle w:val="000000000000" w:firstRow="0" w:lastRow="0" w:firstColumn="0" w:lastColumn="0" w:oddVBand="0" w:evenVBand="0" w:oddHBand="0" w:evenHBand="0" w:firstRowFirstColumn="0" w:firstRowLastColumn="0" w:lastRowFirstColumn="0" w:lastRowLastColumn="0"/>
              <w:rPr>
                <w:sz w:val="18"/>
                <w:szCs w:val="18"/>
              </w:rPr>
            </w:pPr>
            <w:r w:rsidRPr="00732EED">
              <w:rPr>
                <w:sz w:val="18"/>
                <w:szCs w:val="18"/>
              </w:rPr>
              <w:t xml:space="preserve">Develops collaborative transdisciplinary reflexivity as a form of team-based epistemic governance operating across all </w:t>
            </w:r>
            <w:r w:rsidR="00B93F1C" w:rsidRPr="00732EED">
              <w:rPr>
                <w:sz w:val="18"/>
                <w:szCs w:val="18"/>
              </w:rPr>
              <w:t>Phase</w:t>
            </w:r>
            <w:r w:rsidRPr="00732EED">
              <w:rPr>
                <w:sz w:val="18"/>
                <w:szCs w:val="18"/>
              </w:rPr>
              <w:t>s of qualitative synthesis rather than as an isolated methodological appendix.32</w:t>
            </w:r>
          </w:p>
        </w:tc>
      </w:tr>
    </w:tbl>
    <w:p w14:paraId="3C5AD676" w14:textId="77777777" w:rsidR="00C60EF0" w:rsidRPr="00732EED" w:rsidRDefault="00C60EF0" w:rsidP="00C60EF0">
      <w:pPr>
        <w:rPr>
          <w:sz w:val="18"/>
          <w:szCs w:val="18"/>
        </w:rPr>
      </w:pPr>
      <w:r w:rsidRPr="00732EED">
        <w:rPr>
          <w:b/>
          <w:bCs/>
          <w:sz w:val="18"/>
          <w:szCs w:val="18"/>
        </w:rPr>
        <w:t>Footnotes:</w:t>
      </w:r>
    </w:p>
    <w:p w14:paraId="03E22E5C" w14:textId="77777777" w:rsidR="00C60EF0" w:rsidRPr="003A7054" w:rsidRDefault="00C60EF0">
      <w:pPr>
        <w:pStyle w:val="ListParagraph"/>
        <w:numPr>
          <w:ilvl w:val="0"/>
          <w:numId w:val="34"/>
        </w:numPr>
        <w:spacing w:after="160"/>
        <w:rPr>
          <w:sz w:val="20"/>
          <w:szCs w:val="20"/>
        </w:rPr>
      </w:pPr>
      <w:r w:rsidRPr="003A7054">
        <w:rPr>
          <w:sz w:val="20"/>
          <w:szCs w:val="20"/>
        </w:rPr>
        <w:t>Ethical and axiological themes discussed at pp. 11–13, 31–34, 59–63, and 82–86.</w:t>
      </w:r>
    </w:p>
    <w:p w14:paraId="17192976" w14:textId="77777777" w:rsidR="00C60EF0" w:rsidRDefault="00C60EF0">
      <w:pPr>
        <w:pStyle w:val="ListParagraph"/>
        <w:numPr>
          <w:ilvl w:val="0"/>
          <w:numId w:val="35"/>
        </w:numPr>
        <w:spacing w:after="160"/>
        <w:rPr>
          <w:sz w:val="20"/>
          <w:szCs w:val="20"/>
        </w:rPr>
      </w:pPr>
      <w:r>
        <w:rPr>
          <w:sz w:val="20"/>
          <w:szCs w:val="20"/>
        </w:rPr>
        <w:t>CBPR/PAR and participatory ethics at pp. 17–18 and 31–34; ethical discussion at pp. 42–43; summary framing in Table 2, pp. 59–63.</w:t>
      </w:r>
    </w:p>
    <w:p w14:paraId="3B584386" w14:textId="77777777" w:rsidR="00C60EF0" w:rsidRDefault="00C60EF0">
      <w:pPr>
        <w:pStyle w:val="ListParagraph"/>
        <w:numPr>
          <w:ilvl w:val="0"/>
          <w:numId w:val="35"/>
        </w:numPr>
        <w:spacing w:after="160"/>
        <w:rPr>
          <w:sz w:val="20"/>
          <w:szCs w:val="20"/>
        </w:rPr>
      </w:pPr>
      <w:r>
        <w:rPr>
          <w:sz w:val="20"/>
          <w:szCs w:val="20"/>
        </w:rPr>
        <w:t>Phase 0.1–0.5 and Phase 1.7 at pp. 56–58; appraisal and confidence procedures at pp. 10–11; PAR-informed integration at pp. 18–19 and 56–58.</w:t>
      </w:r>
    </w:p>
    <w:p w14:paraId="4423333C" w14:textId="77777777" w:rsidR="00C60EF0" w:rsidRDefault="00C60EF0">
      <w:pPr>
        <w:pStyle w:val="ListParagraph"/>
        <w:numPr>
          <w:ilvl w:val="0"/>
          <w:numId w:val="35"/>
        </w:numPr>
        <w:spacing w:after="160"/>
        <w:rPr>
          <w:sz w:val="20"/>
          <w:szCs w:val="20"/>
        </w:rPr>
      </w:pPr>
      <w:r>
        <w:rPr>
          <w:sz w:val="20"/>
          <w:szCs w:val="20"/>
        </w:rPr>
        <w:t>Heuristic prioritization and visual pathway ranking at pp. 19–22; Figure 2; Supplementary Tables S4.</w:t>
      </w:r>
    </w:p>
    <w:p w14:paraId="1571708C" w14:textId="77777777" w:rsidR="00C60EF0" w:rsidRDefault="00C60EF0">
      <w:pPr>
        <w:pStyle w:val="ListParagraph"/>
        <w:numPr>
          <w:ilvl w:val="0"/>
          <w:numId w:val="35"/>
        </w:numPr>
        <w:spacing w:after="160"/>
        <w:rPr>
          <w:sz w:val="20"/>
          <w:szCs w:val="20"/>
        </w:rPr>
      </w:pPr>
      <w:r>
        <w:rPr>
          <w:sz w:val="20"/>
          <w:szCs w:val="20"/>
        </w:rPr>
        <w:t>Hermeneutic reflexivity and ethical interpretation at pp. 6–9, 40–41, and 59–63; community-engaged interpretation and member-checking at pp. 17–18 and 31–34.</w:t>
      </w:r>
    </w:p>
    <w:p w14:paraId="3BF765FA" w14:textId="77777777" w:rsidR="00C60EF0" w:rsidRDefault="00C60EF0">
      <w:pPr>
        <w:pStyle w:val="ListParagraph"/>
        <w:numPr>
          <w:ilvl w:val="0"/>
          <w:numId w:val="35"/>
        </w:numPr>
        <w:spacing w:after="160"/>
        <w:rPr>
          <w:sz w:val="20"/>
          <w:szCs w:val="20"/>
        </w:rPr>
      </w:pPr>
      <w:r>
        <w:rPr>
          <w:sz w:val="20"/>
          <w:szCs w:val="20"/>
        </w:rPr>
        <w:t>Ethical integration through CBPR/PAR and cross-disciplinary reflexivity at pp. 17–18 and 31–34; visual integration in Figures 1–2 and pp. 10–11, 19–22, and 59–63.</w:t>
      </w:r>
    </w:p>
    <w:p w14:paraId="1D100DBA" w14:textId="77777777" w:rsidR="00C60EF0" w:rsidRDefault="00C60EF0">
      <w:pPr>
        <w:pStyle w:val="ListParagraph"/>
        <w:numPr>
          <w:ilvl w:val="0"/>
          <w:numId w:val="35"/>
        </w:numPr>
        <w:spacing w:after="160"/>
        <w:rPr>
          <w:sz w:val="20"/>
          <w:szCs w:val="20"/>
        </w:rPr>
      </w:pPr>
      <w:r>
        <w:rPr>
          <w:sz w:val="20"/>
          <w:szCs w:val="20"/>
        </w:rPr>
        <w:t>Problem/solution balance and ethical weighting at pp. 36–37, 42–43, and 59–63.</w:t>
      </w:r>
    </w:p>
    <w:p w14:paraId="0BEB4D40" w14:textId="77777777" w:rsidR="00C60EF0" w:rsidRDefault="00C60EF0">
      <w:pPr>
        <w:pStyle w:val="ListParagraph"/>
        <w:numPr>
          <w:ilvl w:val="0"/>
          <w:numId w:val="35"/>
        </w:numPr>
        <w:spacing w:after="160"/>
        <w:rPr>
          <w:sz w:val="20"/>
          <w:szCs w:val="20"/>
        </w:rPr>
      </w:pPr>
      <w:r>
        <w:rPr>
          <w:sz w:val="20"/>
          <w:szCs w:val="20"/>
        </w:rPr>
        <w:t>Novelty and ethical governance contributions at pp. 17–19, 19–22, and 59–63.</w:t>
      </w:r>
    </w:p>
    <w:p w14:paraId="5CFF37F6" w14:textId="77777777" w:rsidR="00C60EF0" w:rsidRDefault="00C60EF0">
      <w:pPr>
        <w:pStyle w:val="ListParagraph"/>
        <w:numPr>
          <w:ilvl w:val="0"/>
          <w:numId w:val="35"/>
        </w:numPr>
        <w:spacing w:after="160"/>
        <w:rPr>
          <w:sz w:val="20"/>
          <w:szCs w:val="20"/>
        </w:rPr>
      </w:pPr>
      <w:r>
        <w:rPr>
          <w:sz w:val="20"/>
          <w:szCs w:val="20"/>
        </w:rPr>
        <w:t>Ontological and processual themes at pp. 11–14, 23–26, and 34–38; see also Figures 1–2.</w:t>
      </w:r>
    </w:p>
    <w:p w14:paraId="4612BC8C" w14:textId="77777777" w:rsidR="00C60EF0" w:rsidRDefault="00C60EF0">
      <w:pPr>
        <w:pStyle w:val="ListParagraph"/>
        <w:numPr>
          <w:ilvl w:val="0"/>
          <w:numId w:val="35"/>
        </w:numPr>
        <w:spacing w:after="160"/>
        <w:rPr>
          <w:sz w:val="20"/>
          <w:szCs w:val="20"/>
        </w:rPr>
      </w:pPr>
      <w:r>
        <w:rPr>
          <w:sz w:val="20"/>
          <w:szCs w:val="20"/>
        </w:rPr>
        <w:t>Process ontology and phenomenology at pp. 11–14 and 23–25; see also Dupré 2017, Seibt 2018, and Austin 2016 as cited in the manuscript.</w:t>
      </w:r>
    </w:p>
    <w:p w14:paraId="57D81B14" w14:textId="5E66208E" w:rsidR="00C60EF0" w:rsidRDefault="00C60EF0">
      <w:pPr>
        <w:pStyle w:val="ListParagraph"/>
        <w:numPr>
          <w:ilvl w:val="0"/>
          <w:numId w:val="35"/>
        </w:numPr>
        <w:spacing w:after="160"/>
        <w:rPr>
          <w:sz w:val="20"/>
          <w:szCs w:val="20"/>
        </w:rPr>
      </w:pPr>
      <w:r>
        <w:rPr>
          <w:sz w:val="20"/>
          <w:szCs w:val="20"/>
        </w:rPr>
        <w:t>Phase 0.1–0.3 and Phase 1–2 procedures at pp. 56–58; lived-process analysis at pp. 6–11; node-graph methods at pp. 56–57; operationalization in pp. 19–22 and 36–37; Figure 2; Supplementary Figure S</w:t>
      </w:r>
      <w:r w:rsidR="006F606C">
        <w:rPr>
          <w:sz w:val="20"/>
          <w:szCs w:val="20"/>
        </w:rPr>
        <w:t>2</w:t>
      </w:r>
      <w:r>
        <w:rPr>
          <w:sz w:val="20"/>
          <w:szCs w:val="20"/>
        </w:rPr>
        <w:t xml:space="preserve"> and Table S4.</w:t>
      </w:r>
    </w:p>
    <w:p w14:paraId="1893AE67" w14:textId="6E76FEE4" w:rsidR="00C60EF0" w:rsidRDefault="00C60EF0">
      <w:pPr>
        <w:pStyle w:val="ListParagraph"/>
        <w:numPr>
          <w:ilvl w:val="0"/>
          <w:numId w:val="35"/>
        </w:numPr>
        <w:spacing w:after="160"/>
        <w:rPr>
          <w:sz w:val="20"/>
          <w:szCs w:val="20"/>
        </w:rPr>
      </w:pPr>
      <w:r>
        <w:rPr>
          <w:sz w:val="20"/>
          <w:szCs w:val="20"/>
        </w:rPr>
        <w:t>Heuristic treatment of temporal language and principal domains at pp. 8–11 and Table 1; Supplementary Figure S</w:t>
      </w:r>
      <w:r w:rsidR="006F606C">
        <w:rPr>
          <w:sz w:val="20"/>
          <w:szCs w:val="20"/>
        </w:rPr>
        <w:t>2</w:t>
      </w:r>
      <w:r>
        <w:rPr>
          <w:sz w:val="20"/>
          <w:szCs w:val="20"/>
        </w:rPr>
        <w:t xml:space="preserve"> and Tables S4.</w:t>
      </w:r>
    </w:p>
    <w:p w14:paraId="74965A9D" w14:textId="77777777" w:rsidR="00C60EF0" w:rsidRDefault="00C60EF0">
      <w:pPr>
        <w:pStyle w:val="ListParagraph"/>
        <w:numPr>
          <w:ilvl w:val="0"/>
          <w:numId w:val="35"/>
        </w:numPr>
        <w:spacing w:after="160"/>
        <w:rPr>
          <w:sz w:val="20"/>
          <w:szCs w:val="20"/>
        </w:rPr>
      </w:pPr>
      <w:r>
        <w:rPr>
          <w:sz w:val="20"/>
          <w:szCs w:val="20"/>
        </w:rPr>
        <w:t xml:space="preserve">Hermeneutic circle and IPA-informed meta-ethnography at pp. 6–11 and 59–63; see also Thomas and Harden 2008 and </w:t>
      </w:r>
      <w:proofErr w:type="spellStart"/>
      <w:r>
        <w:rPr>
          <w:sz w:val="20"/>
          <w:szCs w:val="20"/>
        </w:rPr>
        <w:t>Lachal</w:t>
      </w:r>
      <w:proofErr w:type="spellEnd"/>
      <w:r>
        <w:rPr>
          <w:sz w:val="20"/>
          <w:szCs w:val="20"/>
        </w:rPr>
        <w:t xml:space="preserve"> et al. 2017 as cited.</w:t>
      </w:r>
    </w:p>
    <w:p w14:paraId="471F37E3" w14:textId="77777777" w:rsidR="00C60EF0" w:rsidRDefault="00C60EF0">
      <w:pPr>
        <w:pStyle w:val="ListParagraph"/>
        <w:numPr>
          <w:ilvl w:val="0"/>
          <w:numId w:val="35"/>
        </w:numPr>
        <w:spacing w:after="160"/>
        <w:rPr>
          <w:sz w:val="20"/>
          <w:szCs w:val="20"/>
        </w:rPr>
      </w:pPr>
      <w:r>
        <w:rPr>
          <w:sz w:val="20"/>
          <w:szCs w:val="20"/>
        </w:rPr>
        <w:t>Cross-domain and ontological integration at pp. 11–14, 19–22, and 36–38; Figures 1–2; Liaw et al. 2013 and Jing et al. 2023 as cited.</w:t>
      </w:r>
    </w:p>
    <w:p w14:paraId="13AFED3D" w14:textId="77777777" w:rsidR="00C60EF0" w:rsidRDefault="00C60EF0">
      <w:pPr>
        <w:pStyle w:val="ListParagraph"/>
        <w:numPr>
          <w:ilvl w:val="0"/>
          <w:numId w:val="35"/>
        </w:numPr>
        <w:spacing w:after="160"/>
        <w:rPr>
          <w:sz w:val="20"/>
          <w:szCs w:val="20"/>
        </w:rPr>
      </w:pPr>
      <w:r>
        <w:rPr>
          <w:sz w:val="20"/>
          <w:szCs w:val="20"/>
        </w:rPr>
        <w:lastRenderedPageBreak/>
        <w:t>Process diagnosis and adaptive intervention logic at pp. 24–26, 36–38, and 59–63.</w:t>
      </w:r>
    </w:p>
    <w:p w14:paraId="5F2CF49B" w14:textId="77777777" w:rsidR="00C60EF0" w:rsidRDefault="00C60EF0">
      <w:pPr>
        <w:pStyle w:val="ListParagraph"/>
        <w:numPr>
          <w:ilvl w:val="0"/>
          <w:numId w:val="35"/>
        </w:numPr>
        <w:spacing w:after="160"/>
        <w:rPr>
          <w:sz w:val="20"/>
          <w:szCs w:val="20"/>
        </w:rPr>
      </w:pPr>
      <w:r>
        <w:rPr>
          <w:sz w:val="20"/>
          <w:szCs w:val="20"/>
        </w:rPr>
        <w:t>Methodological novelty of process-ontology operationalization discussed at pp. 11–14, 36–38, 59–63, and in Figures 1–2.</w:t>
      </w:r>
    </w:p>
    <w:p w14:paraId="5AB0C808" w14:textId="77777777" w:rsidR="00C60EF0" w:rsidRDefault="00C60EF0">
      <w:pPr>
        <w:pStyle w:val="ListParagraph"/>
        <w:numPr>
          <w:ilvl w:val="0"/>
          <w:numId w:val="35"/>
        </w:numPr>
        <w:spacing w:after="160"/>
        <w:rPr>
          <w:sz w:val="20"/>
          <w:szCs w:val="20"/>
        </w:rPr>
      </w:pPr>
      <w:r>
        <w:rPr>
          <w:sz w:val="20"/>
          <w:szCs w:val="20"/>
        </w:rPr>
        <w:t>Epistemological issues and knowledge-production themes appear across pp. 17–18, 31–34, and 59–63.</w:t>
      </w:r>
    </w:p>
    <w:p w14:paraId="4AF6C00F" w14:textId="77777777" w:rsidR="00C60EF0" w:rsidRDefault="00C60EF0">
      <w:pPr>
        <w:pStyle w:val="ListParagraph"/>
        <w:numPr>
          <w:ilvl w:val="0"/>
          <w:numId w:val="35"/>
        </w:numPr>
        <w:spacing w:after="160"/>
        <w:rPr>
          <w:sz w:val="20"/>
          <w:szCs w:val="20"/>
        </w:rPr>
      </w:pPr>
      <w:r>
        <w:rPr>
          <w:sz w:val="20"/>
          <w:szCs w:val="20"/>
        </w:rPr>
        <w:t>Participatory principles, epistemic justice framing, and pluralist/pragmatic epistemology at pp. 17–18, 31–34, and 59–63.</w:t>
      </w:r>
    </w:p>
    <w:p w14:paraId="7732E187" w14:textId="77777777" w:rsidR="00C60EF0" w:rsidRDefault="00C60EF0">
      <w:pPr>
        <w:pStyle w:val="ListParagraph"/>
        <w:numPr>
          <w:ilvl w:val="0"/>
          <w:numId w:val="35"/>
        </w:numPr>
        <w:spacing w:after="160"/>
        <w:rPr>
          <w:sz w:val="20"/>
          <w:szCs w:val="20"/>
        </w:rPr>
      </w:pPr>
      <w:r>
        <w:rPr>
          <w:sz w:val="20"/>
          <w:szCs w:val="20"/>
        </w:rPr>
        <w:t>Sequential epistemological procedures at pp. 56–58 and 10–11; participatory integration at pp. 18–19.</w:t>
      </w:r>
    </w:p>
    <w:p w14:paraId="7602EF53" w14:textId="1232B57B" w:rsidR="00C60EF0" w:rsidRDefault="00C60EF0">
      <w:pPr>
        <w:pStyle w:val="ListParagraph"/>
        <w:numPr>
          <w:ilvl w:val="0"/>
          <w:numId w:val="35"/>
        </w:numPr>
        <w:spacing w:after="160"/>
        <w:rPr>
          <w:sz w:val="20"/>
          <w:szCs w:val="20"/>
        </w:rPr>
      </w:pPr>
      <w:r>
        <w:rPr>
          <w:sz w:val="20"/>
          <w:szCs w:val="20"/>
        </w:rPr>
        <w:t>Heuristic domain organization at pp. 8–10 and Table 1; Supplementary Tables S4 and Figure S</w:t>
      </w:r>
      <w:r w:rsidR="006F606C">
        <w:rPr>
          <w:sz w:val="20"/>
          <w:szCs w:val="20"/>
        </w:rPr>
        <w:t>2</w:t>
      </w:r>
      <w:r>
        <w:rPr>
          <w:sz w:val="20"/>
          <w:szCs w:val="20"/>
        </w:rPr>
        <w:t>.</w:t>
      </w:r>
    </w:p>
    <w:p w14:paraId="69A449F2" w14:textId="77777777" w:rsidR="00C60EF0" w:rsidRDefault="00C60EF0">
      <w:pPr>
        <w:pStyle w:val="ListParagraph"/>
        <w:numPr>
          <w:ilvl w:val="0"/>
          <w:numId w:val="35"/>
        </w:numPr>
        <w:spacing w:after="160"/>
        <w:rPr>
          <w:sz w:val="20"/>
          <w:szCs w:val="20"/>
        </w:rPr>
      </w:pPr>
      <w:r>
        <w:rPr>
          <w:sz w:val="20"/>
          <w:szCs w:val="20"/>
        </w:rPr>
        <w:t xml:space="preserve">Double-hermeneutic, IPA-informed synthesis and meta-ethnographic translation at pp. 6–9 and 59–63; see also Thomas and Harden 2008 and </w:t>
      </w:r>
      <w:proofErr w:type="spellStart"/>
      <w:r>
        <w:rPr>
          <w:sz w:val="20"/>
          <w:szCs w:val="20"/>
        </w:rPr>
        <w:t>Lachal</w:t>
      </w:r>
      <w:proofErr w:type="spellEnd"/>
      <w:r>
        <w:rPr>
          <w:sz w:val="20"/>
          <w:szCs w:val="20"/>
        </w:rPr>
        <w:t xml:space="preserve"> et al. 2017 as cited.</w:t>
      </w:r>
    </w:p>
    <w:p w14:paraId="5EB5C06C" w14:textId="77777777" w:rsidR="00C60EF0" w:rsidRDefault="00C60EF0">
      <w:pPr>
        <w:pStyle w:val="ListParagraph"/>
        <w:numPr>
          <w:ilvl w:val="0"/>
          <w:numId w:val="35"/>
        </w:numPr>
        <w:spacing w:after="160"/>
        <w:rPr>
          <w:sz w:val="20"/>
          <w:szCs w:val="20"/>
        </w:rPr>
      </w:pPr>
      <w:r>
        <w:rPr>
          <w:sz w:val="20"/>
          <w:szCs w:val="20"/>
        </w:rPr>
        <w:t>Co-production and analytic integration through PAR/CBPR and visualization at pp. 10–11, 19–22, and 59–63.</w:t>
      </w:r>
    </w:p>
    <w:p w14:paraId="7DA3E492" w14:textId="77777777" w:rsidR="00C60EF0" w:rsidRDefault="00C60EF0">
      <w:pPr>
        <w:pStyle w:val="ListParagraph"/>
        <w:numPr>
          <w:ilvl w:val="0"/>
          <w:numId w:val="35"/>
        </w:numPr>
        <w:spacing w:after="160"/>
        <w:rPr>
          <w:sz w:val="20"/>
          <w:szCs w:val="20"/>
        </w:rPr>
      </w:pPr>
      <w:r>
        <w:rPr>
          <w:sz w:val="20"/>
          <w:szCs w:val="20"/>
        </w:rPr>
        <w:t>Problem mapping with solution-oriented outputs at pp. 36–37 and 59–63.</w:t>
      </w:r>
    </w:p>
    <w:p w14:paraId="1384A01D" w14:textId="77777777" w:rsidR="00C60EF0" w:rsidRDefault="00C60EF0">
      <w:pPr>
        <w:pStyle w:val="ListParagraph"/>
        <w:numPr>
          <w:ilvl w:val="0"/>
          <w:numId w:val="35"/>
        </w:numPr>
        <w:spacing w:after="160"/>
        <w:rPr>
          <w:sz w:val="20"/>
          <w:szCs w:val="20"/>
        </w:rPr>
      </w:pPr>
      <w:r>
        <w:rPr>
          <w:sz w:val="20"/>
          <w:szCs w:val="20"/>
        </w:rPr>
        <w:t>Epistemic governance and methodological novelty at pp. 59–63, especially pp. 59–61.</w:t>
      </w:r>
    </w:p>
    <w:p w14:paraId="61FF41BD" w14:textId="77777777" w:rsidR="00C60EF0" w:rsidRDefault="00C60EF0">
      <w:pPr>
        <w:pStyle w:val="ListParagraph"/>
        <w:numPr>
          <w:ilvl w:val="0"/>
          <w:numId w:val="35"/>
        </w:numPr>
        <w:spacing w:after="160"/>
        <w:rPr>
          <w:sz w:val="20"/>
          <w:szCs w:val="20"/>
        </w:rPr>
      </w:pPr>
      <w:r>
        <w:rPr>
          <w:sz w:val="20"/>
          <w:szCs w:val="20"/>
        </w:rPr>
        <w:t>Reflexivity-related themes recur across the ethics and epistemology sections, especially pp. 31–34 and 59–63.</w:t>
      </w:r>
    </w:p>
    <w:p w14:paraId="1889DB43" w14:textId="77777777" w:rsidR="00C60EF0" w:rsidRDefault="00C60EF0">
      <w:pPr>
        <w:pStyle w:val="ListParagraph"/>
        <w:numPr>
          <w:ilvl w:val="0"/>
          <w:numId w:val="35"/>
        </w:numPr>
        <w:spacing w:after="160"/>
        <w:rPr>
          <w:sz w:val="20"/>
          <w:szCs w:val="20"/>
        </w:rPr>
      </w:pPr>
      <w:r>
        <w:rPr>
          <w:sz w:val="20"/>
          <w:szCs w:val="20"/>
        </w:rPr>
        <w:t>Reflexivity as a continuous and collaborative practice is described across pre-synthesis, appraisal, and summary sections; see pp. 56–58 and 59–63.</w:t>
      </w:r>
    </w:p>
    <w:p w14:paraId="7BAD4685" w14:textId="23AB9E6C" w:rsidR="00C60EF0" w:rsidRDefault="00C60EF0">
      <w:pPr>
        <w:pStyle w:val="ListParagraph"/>
        <w:numPr>
          <w:ilvl w:val="0"/>
          <w:numId w:val="35"/>
        </w:numPr>
        <w:spacing w:after="160"/>
        <w:rPr>
          <w:sz w:val="20"/>
          <w:szCs w:val="20"/>
        </w:rPr>
      </w:pPr>
      <w:r>
        <w:rPr>
          <w:sz w:val="20"/>
          <w:szCs w:val="20"/>
        </w:rPr>
        <w:t xml:space="preserve">Team-based reflexivity across </w:t>
      </w:r>
      <w:r w:rsidR="00B93F1C">
        <w:rPr>
          <w:sz w:val="20"/>
          <w:szCs w:val="20"/>
        </w:rPr>
        <w:t>Phase</w:t>
      </w:r>
      <w:r>
        <w:rPr>
          <w:sz w:val="20"/>
          <w:szCs w:val="20"/>
        </w:rPr>
        <w:t>s at pp. 56–58 and 59–63.</w:t>
      </w:r>
    </w:p>
    <w:p w14:paraId="41774A76" w14:textId="77777777" w:rsidR="00C60EF0" w:rsidRDefault="00C60EF0">
      <w:pPr>
        <w:pStyle w:val="ListParagraph"/>
        <w:numPr>
          <w:ilvl w:val="0"/>
          <w:numId w:val="35"/>
        </w:numPr>
        <w:spacing w:after="160"/>
        <w:rPr>
          <w:sz w:val="20"/>
          <w:szCs w:val="20"/>
        </w:rPr>
      </w:pPr>
      <w:r>
        <w:rPr>
          <w:sz w:val="20"/>
          <w:szCs w:val="20"/>
        </w:rPr>
        <w:t>Responsive, heuristic reflexivity described conceptually in relation to interpretive tensions and bias management; see pp. 59–63.</w:t>
      </w:r>
    </w:p>
    <w:p w14:paraId="18706B4F" w14:textId="77777777" w:rsidR="00C60EF0" w:rsidRDefault="00C60EF0">
      <w:pPr>
        <w:pStyle w:val="ListParagraph"/>
        <w:numPr>
          <w:ilvl w:val="0"/>
          <w:numId w:val="35"/>
        </w:numPr>
        <w:spacing w:after="160"/>
        <w:rPr>
          <w:sz w:val="20"/>
          <w:szCs w:val="20"/>
        </w:rPr>
      </w:pPr>
      <w:r>
        <w:rPr>
          <w:sz w:val="20"/>
          <w:szCs w:val="20"/>
        </w:rPr>
        <w:t>Hermeneutic grounding of reflexivity at pp. 6–9; see also cited discussions of the hermeneutic circle.</w:t>
      </w:r>
    </w:p>
    <w:p w14:paraId="2BD17265" w14:textId="77777777" w:rsidR="00C60EF0" w:rsidRDefault="00C60EF0">
      <w:pPr>
        <w:pStyle w:val="ListParagraph"/>
        <w:numPr>
          <w:ilvl w:val="0"/>
          <w:numId w:val="35"/>
        </w:numPr>
        <w:spacing w:after="160"/>
        <w:rPr>
          <w:sz w:val="20"/>
          <w:szCs w:val="20"/>
        </w:rPr>
      </w:pPr>
      <w:r>
        <w:rPr>
          <w:sz w:val="20"/>
          <w:szCs w:val="20"/>
        </w:rPr>
        <w:t>Collective transdisciplinary reflexivity and negotiation of epistemic asymmetries summarized at pp. 59–63.</w:t>
      </w:r>
    </w:p>
    <w:p w14:paraId="1D1E451D" w14:textId="77777777" w:rsidR="00C60EF0" w:rsidRDefault="00C60EF0">
      <w:pPr>
        <w:pStyle w:val="ListParagraph"/>
        <w:numPr>
          <w:ilvl w:val="0"/>
          <w:numId w:val="35"/>
        </w:numPr>
        <w:spacing w:after="160"/>
        <w:rPr>
          <w:sz w:val="20"/>
          <w:szCs w:val="20"/>
        </w:rPr>
      </w:pPr>
      <w:r>
        <w:rPr>
          <w:sz w:val="20"/>
          <w:szCs w:val="20"/>
        </w:rPr>
        <w:t>Reflexivity’s role in balancing open problem-mapping with actionable outputs is described at pp. 59–63.</w:t>
      </w:r>
    </w:p>
    <w:p w14:paraId="59E8BC73" w14:textId="77777777" w:rsidR="003C4536" w:rsidRDefault="00C60EF0" w:rsidP="003C4536">
      <w:pPr>
        <w:pStyle w:val="ListParagraph"/>
        <w:numPr>
          <w:ilvl w:val="0"/>
          <w:numId w:val="35"/>
        </w:numPr>
        <w:spacing w:after="160"/>
        <w:rPr>
          <w:sz w:val="20"/>
          <w:szCs w:val="20"/>
        </w:rPr>
      </w:pPr>
      <w:r w:rsidRPr="003A7054">
        <w:rPr>
          <w:sz w:val="20"/>
          <w:szCs w:val="20"/>
        </w:rPr>
        <w:t>Team-based epistemic governance through reflexivity is a key contribution summarized at pp. 59–63.</w:t>
      </w:r>
    </w:p>
    <w:p w14:paraId="2D30FA6C" w14:textId="28D04B62" w:rsidR="00C60EF0" w:rsidRPr="003C4536" w:rsidRDefault="00C60EF0" w:rsidP="003C4536">
      <w:pPr>
        <w:pStyle w:val="ListParagraph"/>
        <w:spacing w:after="160"/>
        <w:rPr>
          <w:sz w:val="20"/>
          <w:szCs w:val="20"/>
        </w:rPr>
      </w:pPr>
      <w:r w:rsidRPr="003C4536">
        <w:rPr>
          <w:sz w:val="20"/>
          <w:szCs w:val="20"/>
        </w:rPr>
        <w:t xml:space="preserve">Abbreviations: CBPR, community-based participatory research; CASP, Critical Appraisal Skills </w:t>
      </w:r>
      <w:proofErr w:type="spellStart"/>
      <w:r w:rsidRPr="003C4536">
        <w:rPr>
          <w:sz w:val="20"/>
          <w:szCs w:val="20"/>
        </w:rPr>
        <w:t>Programme</w:t>
      </w:r>
      <w:proofErr w:type="spellEnd"/>
      <w:r w:rsidRPr="003C4536">
        <w:rPr>
          <w:sz w:val="20"/>
          <w:szCs w:val="20"/>
        </w:rPr>
        <w:t xml:space="preserve">; </w:t>
      </w:r>
      <w:proofErr w:type="spellStart"/>
      <w:r w:rsidRPr="003C4536">
        <w:rPr>
          <w:sz w:val="20"/>
          <w:szCs w:val="20"/>
        </w:rPr>
        <w:t>CERQual</w:t>
      </w:r>
      <w:proofErr w:type="spellEnd"/>
      <w:r w:rsidRPr="003C4536">
        <w:rPr>
          <w:sz w:val="20"/>
          <w:szCs w:val="20"/>
        </w:rPr>
        <w:t>, Confidence in the Evidence from Reviews of Qualitative Research; IPA, interpretative phenomenological analysis; MBI, mindfulness-based intervention; MMAT, Mixed Methods Appraisal Tool; PAR, participatory action research.</w:t>
      </w:r>
    </w:p>
    <w:p w14:paraId="7D6E54C0" w14:textId="77777777" w:rsidR="001F2CA8" w:rsidRDefault="001F2CA8" w:rsidP="00C60EF0">
      <w:pPr>
        <w:sectPr w:rsidR="001F2CA8" w:rsidSect="0082039E">
          <w:pgSz w:w="15840" w:h="12240" w:orient="landscape" w:code="1"/>
          <w:pgMar w:top="1134" w:right="1134" w:bottom="1134" w:left="1134" w:header="720" w:footer="720" w:gutter="0"/>
          <w:cols w:space="720"/>
          <w:docGrid w:linePitch="360"/>
        </w:sectPr>
      </w:pPr>
    </w:p>
    <w:p w14:paraId="67FBF53A" w14:textId="098757BA" w:rsidR="003C4536" w:rsidRPr="003C4536" w:rsidRDefault="003C4536" w:rsidP="003C4536">
      <w:pPr>
        <w:spacing w:line="480" w:lineRule="auto"/>
        <w:rPr>
          <w:rFonts w:eastAsia="Calibri" w:cstheme="minorHAnsi"/>
          <w:b/>
          <w:bCs/>
        </w:rPr>
      </w:pPr>
      <w:r w:rsidRPr="003C4536">
        <w:rPr>
          <w:rFonts w:eastAsia="Calibri" w:cstheme="minorHAnsi"/>
          <w:b/>
          <w:bCs/>
        </w:rPr>
        <w:lastRenderedPageBreak/>
        <w:t>Figure S</w:t>
      </w:r>
      <w:r w:rsidR="005F7C23">
        <w:rPr>
          <w:rFonts w:eastAsia="Calibri" w:cstheme="minorHAnsi"/>
          <w:b/>
          <w:bCs/>
        </w:rPr>
        <w:t>1</w:t>
      </w:r>
      <w:r w:rsidRPr="003C4536">
        <w:rPr>
          <w:rFonts w:eastAsia="Calibri" w:cstheme="minorHAnsi"/>
          <w:b/>
          <w:bCs/>
        </w:rPr>
        <w:t>: PRISMA Flow Diagram for the Study Selection Process</w:t>
      </w:r>
    </w:p>
    <w:p w14:paraId="47FBA695" w14:textId="5BCFC3D1" w:rsidR="003C4536" w:rsidRPr="00C97196" w:rsidRDefault="003C4536"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68480" behindDoc="0" locked="0" layoutInCell="1" allowOverlap="1" wp14:anchorId="3561F04E" wp14:editId="71937DB0">
                <wp:simplePos x="0" y="0"/>
                <wp:positionH relativeFrom="margin">
                  <wp:posOffset>133350</wp:posOffset>
                </wp:positionH>
                <wp:positionV relativeFrom="paragraph">
                  <wp:posOffset>53340</wp:posOffset>
                </wp:positionV>
                <wp:extent cx="5949315" cy="352424"/>
                <wp:effectExtent l="0" t="0" r="13335" b="10160"/>
                <wp:wrapNone/>
                <wp:docPr id="104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9315" cy="352424"/>
                        </a:xfrm>
                        <a:prstGeom prst="roundRect">
                          <a:avLst/>
                        </a:prstGeom>
                        <a:solidFill>
                          <a:srgbClr val="5B9BD5"/>
                        </a:solidFill>
                        <a:ln w="12700" cap="flat" cmpd="sng">
                          <a:solidFill>
                            <a:srgbClr val="42719B"/>
                          </a:solidFill>
                          <a:prstDash val="solid"/>
                          <a:miter/>
                          <a:headEnd type="none" w="med" len="med"/>
                          <a:tailEnd type="none" w="med" len="med"/>
                        </a:ln>
                      </wps:spPr>
                      <wps:txbx>
                        <w:txbxContent>
                          <w:p w14:paraId="6D997371" w14:textId="77777777" w:rsidR="003C4536" w:rsidRDefault="003C4536" w:rsidP="003C4536">
                            <w:pPr>
                              <w:jc w:val="center"/>
                              <w:rPr>
                                <w:b/>
                                <w:bCs/>
                              </w:rPr>
                            </w:pPr>
                            <w:r>
                              <w:rPr>
                                <w:b/>
                                <w:bCs/>
                              </w:rPr>
                              <w:t>Studies Selection Process</w:t>
                            </w:r>
                          </w:p>
                        </w:txbxContent>
                      </wps:txbx>
                      <wps:bodyPr vert="horz" wrap="square" lIns="91440" tIns="45720" rIns="91440" bIns="45720" anchor="ctr">
                        <a:prstTxWarp prst="textNoShape">
                          <a:avLst/>
                        </a:prstTxWarp>
                        <a:noAutofit/>
                      </wps:bodyPr>
                    </wps:wsp>
                  </a:graphicData>
                </a:graphic>
              </wp:anchor>
            </w:drawing>
          </mc:Choice>
          <mc:Fallback>
            <w:pict>
              <v:roundrect w14:anchorId="3561F04E" id="Rounded Rectangle 2" o:spid="_x0000_s1026" style="position:absolute;margin-left:10.5pt;margin-top:4.2pt;width:468.45pt;height:27.75pt;z-index:251668480;visibility:visible;mso-wrap-style:square;mso-wrap-distance-left:0;mso-wrap-distance-top:0;mso-wrap-distance-right:0;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" fillcolor="#5b9bd5" strokecolor="#42719b" strokeweight="1pt">
                <v:stroke joinstyle="miter"/>
                <v:path arrowok="t"/>
                <v:textbox>
                  <w:txbxContent>
                    <w:p w14:paraId="6D997371" w14:textId="77777777" w:rsidR="003C4536" w:rsidRDefault="003C4536" w:rsidP="003C4536">
                      <w:pPr>
                        <w:jc w:val="center"/>
                        <w:rPr>
                          <w:b/>
                          <w:bCs/>
                        </w:rPr>
                      </w:pPr>
                      <w:r>
                        <w:rPr>
                          <w:b/>
                          <w:bCs/>
                        </w:rPr>
                        <w:t>Studies Selection Process</w:t>
                      </w:r>
                    </w:p>
                  </w:txbxContent>
                </v:textbox>
                <w10:wrap anchorx="margin"/>
              </v:roundrect>
            </w:pict>
          </mc:Fallback>
        </mc:AlternateContent>
      </w:r>
    </w:p>
    <w:p w14:paraId="1C328D47" w14:textId="48C46E45" w:rsidR="003C4536" w:rsidRPr="00C97196" w:rsidRDefault="00135FE3"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70528" behindDoc="0" locked="0" layoutInCell="1" allowOverlap="1" wp14:anchorId="769D001F" wp14:editId="378203F7">
                <wp:simplePos x="0" y="0"/>
                <wp:positionH relativeFrom="column">
                  <wp:posOffset>3579495</wp:posOffset>
                </wp:positionH>
                <wp:positionV relativeFrom="paragraph">
                  <wp:posOffset>331470</wp:posOffset>
                </wp:positionV>
                <wp:extent cx="1997710" cy="671195"/>
                <wp:effectExtent l="0" t="0" r="8890" b="14605"/>
                <wp:wrapNone/>
                <wp:docPr id="1026" name="Rectangle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710" cy="671195"/>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72B4C405" w14:textId="77777777" w:rsidR="003C4536" w:rsidRPr="00777FBB" w:rsidRDefault="003C4536" w:rsidP="003C4536">
                            <w:pPr>
                              <w:rPr>
                                <w:rFonts w:cs="Times New Roman (Body CS)"/>
                                <w:color w:val="000000"/>
                              </w:rPr>
                            </w:pPr>
                            <w:r>
                              <w:rPr>
                                <w:rFonts w:cs="Times New Roman (Body CS)"/>
                                <w:b/>
                                <w:bCs/>
                                <w:color w:val="000000"/>
                              </w:rPr>
                              <w:t>1380</w:t>
                            </w:r>
                            <w:r w:rsidRPr="00777FBB">
                              <w:rPr>
                                <w:rFonts w:cs="Times New Roman (Body CS)"/>
                                <w:color w:val="000000"/>
                              </w:rPr>
                              <w:t xml:space="preserve"> duplicates and irrelevant titles identified and excluded</w:t>
                            </w:r>
                          </w:p>
                          <w:p w14:paraId="1BD0EDF4" w14:textId="77777777" w:rsidR="003C4536" w:rsidRPr="00777FBB" w:rsidRDefault="003C4536" w:rsidP="003C4536">
                            <w:pPr>
                              <w:rPr>
                                <w:rFonts w:cs="Times New Roman (Body CS)"/>
                                <w:color w:val="000000"/>
                              </w:rPr>
                            </w:pPr>
                          </w:p>
                          <w:p w14:paraId="3945601D" w14:textId="77777777" w:rsidR="003C4536" w:rsidRPr="00777FBB" w:rsidRDefault="003C4536" w:rsidP="003C4536">
                            <w:pPr>
                              <w:jc w:val="center"/>
                              <w:rPr>
                                <w:rFonts w:cs="Times New Roman (Body CS)"/>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D001F" id="Rectangles 3" o:spid="_x0000_s1027" style="position:absolute;margin-left:281.85pt;margin-top:26.1pt;width:157.3pt;height:52.85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" strokecolor="#2f5496" strokeweight="1pt">
                <v:path arrowok="t"/>
                <v:textbox>
                  <w:txbxContent>
                    <w:p w14:paraId="72B4C405" w14:textId="77777777" w:rsidR="003C4536" w:rsidRPr="00777FBB" w:rsidRDefault="003C4536" w:rsidP="003C4536">
                      <w:pPr>
                        <w:rPr>
                          <w:rFonts w:cs="Times New Roman (Body CS)"/>
                          <w:color w:val="000000"/>
                        </w:rPr>
                      </w:pPr>
                      <w:r>
                        <w:rPr>
                          <w:rFonts w:cs="Times New Roman (Body CS)"/>
                          <w:b/>
                          <w:bCs/>
                          <w:color w:val="000000"/>
                        </w:rPr>
                        <w:t>1380</w:t>
                      </w:r>
                      <w:r w:rsidRPr="00777FBB">
                        <w:rPr>
                          <w:rFonts w:cs="Times New Roman (Body CS)"/>
                          <w:color w:val="000000"/>
                        </w:rPr>
                        <w:t xml:space="preserve"> duplicates and irrelevant titles identified and excluded</w:t>
                      </w:r>
                    </w:p>
                    <w:p w14:paraId="1BD0EDF4" w14:textId="77777777" w:rsidR="003C4536" w:rsidRPr="00777FBB" w:rsidRDefault="003C4536" w:rsidP="003C4536">
                      <w:pPr>
                        <w:rPr>
                          <w:rFonts w:cs="Times New Roman (Body CS)"/>
                          <w:color w:val="000000"/>
                        </w:rPr>
                      </w:pPr>
                    </w:p>
                    <w:p w14:paraId="3945601D" w14:textId="77777777" w:rsidR="003C4536" w:rsidRPr="00777FBB" w:rsidRDefault="003C4536" w:rsidP="003C4536">
                      <w:pPr>
                        <w:jc w:val="center"/>
                        <w:rPr>
                          <w:rFonts w:cs="Times New Roman (Body CS)"/>
                        </w:rPr>
                      </w:pPr>
                    </w:p>
                  </w:txbxContent>
                </v:textbox>
              </v:rect>
            </w:pict>
          </mc:Fallback>
        </mc:AlternateContent>
      </w:r>
      <w:r w:rsidRPr="00C97196">
        <w:rPr>
          <w:rFonts w:eastAsia="Calibri" w:cstheme="minorHAnsi"/>
          <w:noProof/>
        </w:rPr>
        <mc:AlternateContent>
          <mc:Choice Requires="wps">
            <w:drawing>
              <wp:anchor distT="0" distB="0" distL="0" distR="0" simplePos="0" relativeHeight="251667456" behindDoc="0" locked="0" layoutInCell="1" allowOverlap="1" wp14:anchorId="5735DC4D" wp14:editId="51BB7D73">
                <wp:simplePos x="0" y="0"/>
                <wp:positionH relativeFrom="margin">
                  <wp:posOffset>-304800</wp:posOffset>
                </wp:positionH>
                <wp:positionV relativeFrom="paragraph">
                  <wp:posOffset>292735</wp:posOffset>
                </wp:positionV>
                <wp:extent cx="413385" cy="1414145"/>
                <wp:effectExtent l="0" t="0" r="18415" b="8255"/>
                <wp:wrapNone/>
                <wp:docPr id="1041"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413385" cy="1414145"/>
                        </a:xfrm>
                        <a:prstGeom prst="roundRect">
                          <a:avLst/>
                        </a:prstGeom>
                        <a:solidFill>
                          <a:srgbClr val="5B9BD5"/>
                        </a:solidFill>
                        <a:ln w="12700" cap="flat" cmpd="sng">
                          <a:solidFill>
                            <a:srgbClr val="42719B"/>
                          </a:solidFill>
                          <a:prstDash val="solid"/>
                          <a:miter/>
                          <a:headEnd type="none" w="med" len="med"/>
                          <a:tailEnd type="none" w="med" len="med"/>
                        </a:ln>
                      </wps:spPr>
                      <wps:txbx>
                        <w:txbxContent>
                          <w:p w14:paraId="41C30C1E" w14:textId="77777777" w:rsidR="003C4536" w:rsidRDefault="003C4536" w:rsidP="003C4536">
                            <w:pPr>
                              <w:jc w:val="center"/>
                              <w:rPr>
                                <w:b/>
                                <w:bCs/>
                              </w:rPr>
                            </w:pPr>
                            <w:r>
                              <w:rPr>
                                <w:b/>
                                <w:bCs/>
                              </w:rPr>
                              <w:t>Identification</w:t>
                            </w:r>
                          </w:p>
                        </w:txbxContent>
                      </wps:txbx>
                      <wps:bodyPr vert="eaVert" wrap="square" lIns="91440" tIns="45720" rIns="91440" bIns="45720" anchor="ctr">
                        <a:prstTxWarp prst="textNoShape">
                          <a:avLst/>
                        </a:prstTxWarp>
                        <a:noAutofit/>
                      </wps:bodyPr>
                    </wps:wsp>
                  </a:graphicData>
                </a:graphic>
              </wp:anchor>
            </w:drawing>
          </mc:Choice>
          <mc:Fallback>
            <w:pict>
              <v:roundrect w14:anchorId="5735DC4D" id="Rounded Rectangle 3" o:spid="_x0000_s1028" style="position:absolute;margin-left:-24pt;margin-top:23.05pt;width:32.55pt;height:111.35pt;rotation:180;z-index:251667456;visibility:visible;mso-wrap-style:square;mso-wrap-distance-left:0;mso-wrap-distance-top:0;mso-wrap-distance-right:0;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" fillcolor="#5b9bd5" strokecolor="#42719b" strokeweight="1pt">
                <v:stroke joinstyle="miter"/>
                <v:path arrowok="t"/>
                <v:textbox style="layout-flow:vertical-ideographic">
                  <w:txbxContent>
                    <w:p w14:paraId="41C30C1E" w14:textId="77777777" w:rsidR="003C4536" w:rsidRDefault="003C4536" w:rsidP="003C4536">
                      <w:pPr>
                        <w:jc w:val="center"/>
                        <w:rPr>
                          <w:b/>
                          <w:bCs/>
                        </w:rPr>
                      </w:pPr>
                      <w:r>
                        <w:rPr>
                          <w:b/>
                          <w:bCs/>
                        </w:rPr>
                        <w:t>Identification</w:t>
                      </w:r>
                    </w:p>
                  </w:txbxContent>
                </v:textbox>
                <w10:wrap anchorx="margin"/>
              </v:roundrect>
            </w:pict>
          </mc:Fallback>
        </mc:AlternateContent>
      </w:r>
      <w:r w:rsidR="003C4536" w:rsidRPr="00C97196">
        <w:rPr>
          <w:rFonts w:eastAsia="Calibri" w:cstheme="minorHAnsi"/>
          <w:noProof/>
        </w:rPr>
        <mc:AlternateContent>
          <mc:Choice Requires="wps">
            <w:drawing>
              <wp:anchor distT="0" distB="0" distL="0" distR="0" simplePos="0" relativeHeight="251669504" behindDoc="0" locked="0" layoutInCell="1" allowOverlap="1" wp14:anchorId="1972D62B" wp14:editId="32C71F6A">
                <wp:simplePos x="0" y="0"/>
                <wp:positionH relativeFrom="column">
                  <wp:posOffset>326390</wp:posOffset>
                </wp:positionH>
                <wp:positionV relativeFrom="paragraph">
                  <wp:posOffset>120015</wp:posOffset>
                </wp:positionV>
                <wp:extent cx="2319020" cy="1030605"/>
                <wp:effectExtent l="0" t="0" r="17780" b="10795"/>
                <wp:wrapNone/>
                <wp:docPr id="1031" name="Rectangle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9020" cy="1030605"/>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35851466" w14:textId="77777777" w:rsidR="003C4536" w:rsidRDefault="003C4536" w:rsidP="003C4536">
                            <w:pPr>
                              <w:rPr>
                                <w:b/>
                                <w:bCs/>
                                <w:color w:val="000000"/>
                              </w:rPr>
                            </w:pPr>
                            <w:r w:rsidRPr="00777FBB">
                              <w:rPr>
                                <w:b/>
                                <w:bCs/>
                                <w:color w:val="000000"/>
                              </w:rPr>
                              <w:t>1</w:t>
                            </w:r>
                            <w:r w:rsidRPr="00777FBB">
                              <w:rPr>
                                <w:b/>
                                <w:bCs/>
                                <w:color w:val="000000"/>
                                <w:vertAlign w:val="superscript"/>
                              </w:rPr>
                              <w:t>st</w:t>
                            </w:r>
                            <w:r w:rsidRPr="00777FBB">
                              <w:rPr>
                                <w:b/>
                                <w:bCs/>
                                <w:color w:val="000000"/>
                              </w:rPr>
                              <w:t xml:space="preserve"> </w:t>
                            </w:r>
                            <w:r>
                              <w:rPr>
                                <w:b/>
                                <w:bCs/>
                                <w:color w:val="000000"/>
                              </w:rPr>
                              <w:t>Phase</w:t>
                            </w:r>
                            <w:r w:rsidRPr="00777FBB">
                              <w:rPr>
                                <w:b/>
                                <w:bCs/>
                                <w:color w:val="000000"/>
                              </w:rPr>
                              <w:t>: Phenomenology</w:t>
                            </w:r>
                          </w:p>
                          <w:p w14:paraId="4D6C5B0E" w14:textId="77777777" w:rsidR="003C4536" w:rsidRPr="006D78FF" w:rsidRDefault="003C4536" w:rsidP="003C4536">
                            <w:pPr>
                              <w:rPr>
                                <w:rFonts w:cstheme="minorBidi"/>
                                <w:b/>
                                <w:bCs/>
                                <w:color w:val="000000"/>
                                <w:sz w:val="22"/>
                                <w:szCs w:val="22"/>
                              </w:rPr>
                            </w:pPr>
                            <w:r w:rsidRPr="00777FBB">
                              <w:rPr>
                                <w:color w:val="000000"/>
                                <w:sz w:val="16"/>
                                <w:szCs w:val="16"/>
                              </w:rPr>
                              <w:t>Records identified through database search:</w:t>
                            </w:r>
                            <w:r>
                              <w:rPr>
                                <w:color w:val="000000"/>
                                <w:sz w:val="16"/>
                                <w:szCs w:val="16"/>
                              </w:rPr>
                              <w:t xml:space="preserve"> </w:t>
                            </w:r>
                            <w:r w:rsidRPr="00777FBB">
                              <w:rPr>
                                <w:sz w:val="16"/>
                                <w:szCs w:val="16"/>
                              </w:rPr>
                              <w:t xml:space="preserve">PubMed (n=618), </w:t>
                            </w:r>
                            <w:r>
                              <w:rPr>
                                <w:sz w:val="16"/>
                                <w:szCs w:val="16"/>
                              </w:rPr>
                              <w:t xml:space="preserve">Embase (n=35); </w:t>
                            </w:r>
                            <w:r w:rsidRPr="00777FBB">
                              <w:rPr>
                                <w:sz w:val="16"/>
                                <w:szCs w:val="16"/>
                              </w:rPr>
                              <w:t>Google scholar (n=</w:t>
                            </w:r>
                            <w:r>
                              <w:rPr>
                                <w:sz w:val="16"/>
                                <w:szCs w:val="16"/>
                              </w:rPr>
                              <w:t>645</w:t>
                            </w:r>
                            <w:r w:rsidRPr="00777FBB">
                              <w:rPr>
                                <w:sz w:val="16"/>
                                <w:szCs w:val="16"/>
                              </w:rPr>
                              <w:t xml:space="preserve">), Scopus (n=125), </w:t>
                            </w:r>
                            <w:r w:rsidRPr="00777FBB">
                              <w:rPr>
                                <w:rFonts w:cs="Calibri"/>
                                <w:color w:val="000000"/>
                                <w:sz w:val="16"/>
                                <w:szCs w:val="16"/>
                              </w:rPr>
                              <w:t>Web of Science (n=87)</w:t>
                            </w:r>
                            <w:r w:rsidRPr="00777FBB">
                              <w:rPr>
                                <w:rFonts w:cs="Calibri"/>
                                <w:sz w:val="16"/>
                                <w:szCs w:val="16"/>
                              </w:rPr>
                              <w:t xml:space="preserve">, </w:t>
                            </w:r>
                            <w:r>
                              <w:rPr>
                                <w:rFonts w:cs="Calibri"/>
                                <w:sz w:val="16"/>
                                <w:szCs w:val="16"/>
                              </w:rPr>
                              <w:t xml:space="preserve">CINAHL (n=148); </w:t>
                            </w:r>
                            <w:r w:rsidRPr="00777FBB">
                              <w:rPr>
                                <w:rFonts w:cs="Calibri"/>
                                <w:sz w:val="16"/>
                                <w:szCs w:val="16"/>
                              </w:rPr>
                              <w:t>PsycINFO (n=277)</w:t>
                            </w:r>
                            <w:r>
                              <w:rPr>
                                <w:rFonts w:cs="Calibri"/>
                                <w:sz w:val="16"/>
                                <w:szCs w:val="16"/>
                              </w:rPr>
                              <w:t xml:space="preserve"> (Total: </w:t>
                            </w:r>
                            <w:r w:rsidRPr="00777FBB">
                              <w:rPr>
                                <w:rFonts w:cs="Calibri"/>
                                <w:b/>
                                <w:bCs/>
                                <w:sz w:val="16"/>
                                <w:szCs w:val="16"/>
                              </w:rPr>
                              <w:t>1</w:t>
                            </w:r>
                            <w:r>
                              <w:rPr>
                                <w:rFonts w:cs="Calibri"/>
                                <w:b/>
                                <w:bCs/>
                                <w:sz w:val="16"/>
                                <w:szCs w:val="16"/>
                              </w:rPr>
                              <w:t>787)</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2D62B" id="Rectangles 2" o:spid="_x0000_s1029" style="position:absolute;margin-left:25.7pt;margin-top:9.45pt;width:182.6pt;height:81.1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" strokecolor="#2f5496" strokeweight="1pt">
                <v:path arrowok="t"/>
                <v:textbox>
                  <w:txbxContent>
                    <w:p w14:paraId="35851466" w14:textId="77777777" w:rsidR="003C4536" w:rsidRDefault="003C4536" w:rsidP="003C4536">
                      <w:pPr>
                        <w:rPr>
                          <w:b/>
                          <w:bCs/>
                          <w:color w:val="000000"/>
                        </w:rPr>
                      </w:pPr>
                      <w:r w:rsidRPr="00777FBB">
                        <w:rPr>
                          <w:b/>
                          <w:bCs/>
                          <w:color w:val="000000"/>
                        </w:rPr>
                        <w:t>1</w:t>
                      </w:r>
                      <w:r w:rsidRPr="00777FBB">
                        <w:rPr>
                          <w:b/>
                          <w:bCs/>
                          <w:color w:val="000000"/>
                          <w:vertAlign w:val="superscript"/>
                        </w:rPr>
                        <w:t>st</w:t>
                      </w:r>
                      <w:r w:rsidRPr="00777FBB">
                        <w:rPr>
                          <w:b/>
                          <w:bCs/>
                          <w:color w:val="000000"/>
                        </w:rPr>
                        <w:t xml:space="preserve"> </w:t>
                      </w:r>
                      <w:r>
                        <w:rPr>
                          <w:b/>
                          <w:bCs/>
                          <w:color w:val="000000"/>
                        </w:rPr>
                        <w:t>Phase</w:t>
                      </w:r>
                      <w:r w:rsidRPr="00777FBB">
                        <w:rPr>
                          <w:b/>
                          <w:bCs/>
                          <w:color w:val="000000"/>
                        </w:rPr>
                        <w:t>: Phenomenology</w:t>
                      </w:r>
                    </w:p>
                    <w:p w14:paraId="4D6C5B0E" w14:textId="77777777" w:rsidR="003C4536" w:rsidRPr="006D78FF" w:rsidRDefault="003C4536" w:rsidP="003C4536">
                      <w:pPr>
                        <w:rPr>
                          <w:rFonts w:cstheme="minorBidi"/>
                          <w:b/>
                          <w:bCs/>
                          <w:color w:val="000000"/>
                          <w:sz w:val="22"/>
                          <w:szCs w:val="22"/>
                        </w:rPr>
                      </w:pPr>
                      <w:r w:rsidRPr="00777FBB">
                        <w:rPr>
                          <w:color w:val="000000"/>
                          <w:sz w:val="16"/>
                          <w:szCs w:val="16"/>
                        </w:rPr>
                        <w:t>Records identified through database search:</w:t>
                      </w:r>
                      <w:r>
                        <w:rPr>
                          <w:color w:val="000000"/>
                          <w:sz w:val="16"/>
                          <w:szCs w:val="16"/>
                        </w:rPr>
                        <w:t xml:space="preserve"> </w:t>
                      </w:r>
                      <w:r w:rsidRPr="00777FBB">
                        <w:rPr>
                          <w:sz w:val="16"/>
                          <w:szCs w:val="16"/>
                        </w:rPr>
                        <w:t xml:space="preserve">PubMed (n=618), </w:t>
                      </w:r>
                      <w:r>
                        <w:rPr>
                          <w:sz w:val="16"/>
                          <w:szCs w:val="16"/>
                        </w:rPr>
                        <w:t xml:space="preserve">Embase (n=35); </w:t>
                      </w:r>
                      <w:r w:rsidRPr="00777FBB">
                        <w:rPr>
                          <w:sz w:val="16"/>
                          <w:szCs w:val="16"/>
                        </w:rPr>
                        <w:t>Google scholar (n=</w:t>
                      </w:r>
                      <w:r>
                        <w:rPr>
                          <w:sz w:val="16"/>
                          <w:szCs w:val="16"/>
                        </w:rPr>
                        <w:t>645</w:t>
                      </w:r>
                      <w:r w:rsidRPr="00777FBB">
                        <w:rPr>
                          <w:sz w:val="16"/>
                          <w:szCs w:val="16"/>
                        </w:rPr>
                        <w:t xml:space="preserve">), Scopus (n=125), </w:t>
                      </w:r>
                      <w:r w:rsidRPr="00777FBB">
                        <w:rPr>
                          <w:rFonts w:cs="Calibri"/>
                          <w:color w:val="000000"/>
                          <w:sz w:val="16"/>
                          <w:szCs w:val="16"/>
                        </w:rPr>
                        <w:t>Web of Science (n=87)</w:t>
                      </w:r>
                      <w:r w:rsidRPr="00777FBB">
                        <w:rPr>
                          <w:rFonts w:cs="Calibri"/>
                          <w:sz w:val="16"/>
                          <w:szCs w:val="16"/>
                        </w:rPr>
                        <w:t xml:space="preserve">, </w:t>
                      </w:r>
                      <w:r>
                        <w:rPr>
                          <w:rFonts w:cs="Calibri"/>
                          <w:sz w:val="16"/>
                          <w:szCs w:val="16"/>
                        </w:rPr>
                        <w:t xml:space="preserve">CINAHL (n=148); </w:t>
                      </w:r>
                      <w:r w:rsidRPr="00777FBB">
                        <w:rPr>
                          <w:rFonts w:cs="Calibri"/>
                          <w:sz w:val="16"/>
                          <w:szCs w:val="16"/>
                        </w:rPr>
                        <w:t>PsycINFO (n=277)</w:t>
                      </w:r>
                      <w:r>
                        <w:rPr>
                          <w:rFonts w:cs="Calibri"/>
                          <w:sz w:val="16"/>
                          <w:szCs w:val="16"/>
                        </w:rPr>
                        <w:t xml:space="preserve"> (Total: </w:t>
                      </w:r>
                      <w:r w:rsidRPr="00777FBB">
                        <w:rPr>
                          <w:rFonts w:cs="Calibri"/>
                          <w:b/>
                          <w:bCs/>
                          <w:sz w:val="16"/>
                          <w:szCs w:val="16"/>
                        </w:rPr>
                        <w:t>1</w:t>
                      </w:r>
                      <w:r>
                        <w:rPr>
                          <w:rFonts w:cs="Calibri"/>
                          <w:b/>
                          <w:bCs/>
                          <w:sz w:val="16"/>
                          <w:szCs w:val="16"/>
                        </w:rPr>
                        <w:t>787)</w:t>
                      </w:r>
                    </w:p>
                  </w:txbxContent>
                </v:textbox>
              </v:rect>
            </w:pict>
          </mc:Fallback>
        </mc:AlternateContent>
      </w:r>
    </w:p>
    <w:p w14:paraId="5A62ACE4" w14:textId="6DAF36BC" w:rsidR="003C4536" w:rsidRPr="00C97196" w:rsidRDefault="003C4536"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66432" behindDoc="0" locked="0" layoutInCell="1" allowOverlap="1" wp14:anchorId="397F4A06" wp14:editId="63478C70">
                <wp:simplePos x="0" y="0"/>
                <wp:positionH relativeFrom="column">
                  <wp:posOffset>2784186</wp:posOffset>
                </wp:positionH>
                <wp:positionV relativeFrom="paragraph">
                  <wp:posOffset>282402</wp:posOffset>
                </wp:positionV>
                <wp:extent cx="729615" cy="9525"/>
                <wp:effectExtent l="0" t="49530" r="6985" b="42545"/>
                <wp:wrapNone/>
                <wp:docPr id="1040"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9615" cy="9525"/>
                        </a:xfrm>
                        <a:prstGeom prst="straightConnector1">
                          <a:avLst/>
                        </a:prstGeom>
                        <a:ln w="12700" cap="flat" cmpd="sng">
                          <a:solidFill>
                            <a:srgbClr val="5B9BD5"/>
                          </a:solidFill>
                          <a:prstDash val="solid"/>
                          <a:miter/>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1BA28C30" id="_x0000_t32" coordsize="21600,21600" o:spt="32" o:oned="t" path="m,l21600,21600e" filled="f">
                <v:path arrowok="t" fillok="f" o:connecttype="none"/>
                <o:lock v:ext="edit" shapetype="t"/>
              </v:shapetype>
              <v:shape id="Straight Arrow Connector 6" o:spid="_x0000_s1026" type="#_x0000_t32" style="position:absolute;margin-left:219.25pt;margin-top:22.25pt;width:57.45pt;height:.75pt;flip:y;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" strokecolor="#5b9bd5" strokeweight="1pt">
                <v:stroke endarrow="open" joinstyle="miter"/>
                <o:lock v:ext="edit" shapetype="f"/>
              </v:shape>
            </w:pict>
          </mc:Fallback>
        </mc:AlternateContent>
      </w:r>
    </w:p>
    <w:p w14:paraId="168F8757" w14:textId="0B72BC30" w:rsidR="003C4536" w:rsidRPr="00C97196" w:rsidRDefault="003C4536" w:rsidP="003C4536">
      <w:pPr>
        <w:spacing w:line="480" w:lineRule="auto"/>
        <w:rPr>
          <w:rFonts w:eastAsia="Calibri" w:cstheme="minorHAnsi"/>
        </w:rPr>
      </w:pPr>
    </w:p>
    <w:p w14:paraId="1B47C649" w14:textId="03EDA51C" w:rsidR="003C4536" w:rsidRPr="00C97196" w:rsidRDefault="003C4536"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81792" behindDoc="0" locked="0" layoutInCell="1" allowOverlap="1" wp14:anchorId="4AE390BC" wp14:editId="60487485">
                <wp:simplePos x="0" y="0"/>
                <wp:positionH relativeFrom="column">
                  <wp:posOffset>327660</wp:posOffset>
                </wp:positionH>
                <wp:positionV relativeFrom="paragraph">
                  <wp:posOffset>220980</wp:posOffset>
                </wp:positionV>
                <wp:extent cx="2319020" cy="946785"/>
                <wp:effectExtent l="0" t="0" r="24130" b="24765"/>
                <wp:wrapNone/>
                <wp:docPr id="98099485" name="Rectangle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9020" cy="946785"/>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50EE054C" w14:textId="77777777" w:rsidR="003C4536" w:rsidRDefault="003C4536" w:rsidP="003C4536">
                            <w:pPr>
                              <w:rPr>
                                <w:b/>
                                <w:bCs/>
                                <w:color w:val="000000"/>
                              </w:rPr>
                            </w:pPr>
                            <w:r>
                              <w:rPr>
                                <w:b/>
                                <w:bCs/>
                                <w:color w:val="000000"/>
                              </w:rPr>
                              <w:t>2</w:t>
                            </w:r>
                            <w:r w:rsidRPr="006D78FF">
                              <w:rPr>
                                <w:b/>
                                <w:bCs/>
                                <w:color w:val="000000"/>
                                <w:vertAlign w:val="superscript"/>
                              </w:rPr>
                              <w:t>nd</w:t>
                            </w:r>
                            <w:r>
                              <w:rPr>
                                <w:b/>
                                <w:bCs/>
                                <w:color w:val="000000"/>
                              </w:rPr>
                              <w:t xml:space="preserve"> Phase</w:t>
                            </w:r>
                            <w:r w:rsidRPr="00777FBB">
                              <w:rPr>
                                <w:b/>
                                <w:bCs/>
                                <w:color w:val="000000"/>
                              </w:rPr>
                              <w:t xml:space="preserve">: </w:t>
                            </w:r>
                            <w:proofErr w:type="spellStart"/>
                            <w:r>
                              <w:rPr>
                                <w:b/>
                                <w:bCs/>
                                <w:color w:val="000000"/>
                              </w:rPr>
                              <w:t>Transdisciplinarity</w:t>
                            </w:r>
                            <w:proofErr w:type="spellEnd"/>
                          </w:p>
                          <w:p w14:paraId="0B53A60A" w14:textId="4249B4E9" w:rsidR="003C4536" w:rsidRPr="00EB4ED6" w:rsidRDefault="003C4536" w:rsidP="003C4536">
                            <w:pPr>
                              <w:rPr>
                                <w:rFonts w:cstheme="minorBidi"/>
                                <w:b/>
                                <w:bCs/>
                                <w:color w:val="000000"/>
                                <w:sz w:val="22"/>
                                <w:szCs w:val="22"/>
                              </w:rPr>
                            </w:pPr>
                            <w:r w:rsidRPr="00777FBB">
                              <w:rPr>
                                <w:color w:val="000000"/>
                                <w:sz w:val="16"/>
                                <w:szCs w:val="16"/>
                              </w:rPr>
                              <w:t>Records identified through database search:</w:t>
                            </w:r>
                            <w:r>
                              <w:rPr>
                                <w:color w:val="000000"/>
                                <w:sz w:val="16"/>
                                <w:szCs w:val="16"/>
                              </w:rPr>
                              <w:t xml:space="preserve"> </w:t>
                            </w:r>
                            <w:r w:rsidRPr="00777FBB">
                              <w:rPr>
                                <w:sz w:val="16"/>
                                <w:szCs w:val="16"/>
                              </w:rPr>
                              <w:t>PubMed (n=</w:t>
                            </w:r>
                            <w:r>
                              <w:rPr>
                                <w:sz w:val="16"/>
                                <w:szCs w:val="16"/>
                              </w:rPr>
                              <w:t>268</w:t>
                            </w:r>
                            <w:r w:rsidRPr="00777FBB">
                              <w:rPr>
                                <w:sz w:val="16"/>
                                <w:szCs w:val="16"/>
                              </w:rPr>
                              <w:t xml:space="preserve">), </w:t>
                            </w:r>
                            <w:r>
                              <w:rPr>
                                <w:sz w:val="16"/>
                                <w:szCs w:val="16"/>
                              </w:rPr>
                              <w:t xml:space="preserve">Embase (n=22); </w:t>
                            </w:r>
                            <w:r w:rsidRPr="00777FBB">
                              <w:rPr>
                                <w:sz w:val="16"/>
                                <w:szCs w:val="16"/>
                              </w:rPr>
                              <w:t>Google scholar (n=</w:t>
                            </w:r>
                            <w:r>
                              <w:rPr>
                                <w:sz w:val="16"/>
                                <w:szCs w:val="16"/>
                              </w:rPr>
                              <w:t>314</w:t>
                            </w:r>
                            <w:r w:rsidRPr="00777FBB">
                              <w:rPr>
                                <w:sz w:val="16"/>
                                <w:szCs w:val="16"/>
                              </w:rPr>
                              <w:t>), Scopus (n=</w:t>
                            </w:r>
                            <w:r>
                              <w:rPr>
                                <w:sz w:val="16"/>
                                <w:szCs w:val="16"/>
                              </w:rPr>
                              <w:t>64</w:t>
                            </w:r>
                            <w:r w:rsidRPr="00777FBB">
                              <w:rPr>
                                <w:sz w:val="16"/>
                                <w:szCs w:val="16"/>
                              </w:rPr>
                              <w:t xml:space="preserve">), </w:t>
                            </w:r>
                            <w:r w:rsidRPr="00777FBB">
                              <w:rPr>
                                <w:rFonts w:cs="Calibri"/>
                                <w:color w:val="000000"/>
                                <w:sz w:val="16"/>
                                <w:szCs w:val="16"/>
                              </w:rPr>
                              <w:t>Web of Science (n=</w:t>
                            </w:r>
                            <w:r>
                              <w:rPr>
                                <w:rFonts w:cs="Calibri"/>
                                <w:color w:val="000000"/>
                                <w:sz w:val="16"/>
                                <w:szCs w:val="16"/>
                              </w:rPr>
                              <w:t>34</w:t>
                            </w:r>
                            <w:r w:rsidRPr="00777FBB">
                              <w:rPr>
                                <w:rFonts w:cs="Calibri"/>
                                <w:color w:val="000000"/>
                                <w:sz w:val="16"/>
                                <w:szCs w:val="16"/>
                              </w:rPr>
                              <w:t>)</w:t>
                            </w:r>
                            <w:r w:rsidRPr="00777FBB">
                              <w:rPr>
                                <w:rFonts w:cs="Calibri"/>
                                <w:sz w:val="16"/>
                                <w:szCs w:val="16"/>
                              </w:rPr>
                              <w:t xml:space="preserve">, </w:t>
                            </w:r>
                            <w:r>
                              <w:rPr>
                                <w:rFonts w:cs="Calibri"/>
                                <w:sz w:val="16"/>
                                <w:szCs w:val="16"/>
                              </w:rPr>
                              <w:t xml:space="preserve">CINAHL (n=103); </w:t>
                            </w:r>
                            <w:r w:rsidRPr="00777FBB">
                              <w:rPr>
                                <w:rFonts w:cs="Calibri"/>
                                <w:sz w:val="16"/>
                                <w:szCs w:val="16"/>
                              </w:rPr>
                              <w:t>PsycINFO (n=</w:t>
                            </w:r>
                            <w:r>
                              <w:rPr>
                                <w:rFonts w:cs="Calibri"/>
                                <w:sz w:val="16"/>
                                <w:szCs w:val="16"/>
                              </w:rPr>
                              <w:t>68</w:t>
                            </w:r>
                            <w:r w:rsidRPr="00777FBB">
                              <w:rPr>
                                <w:rFonts w:cs="Calibri"/>
                                <w:sz w:val="16"/>
                                <w:szCs w:val="16"/>
                              </w:rPr>
                              <w:t>)</w:t>
                            </w:r>
                            <w:r>
                              <w:rPr>
                                <w:rFonts w:cs="Calibri"/>
                                <w:sz w:val="16"/>
                                <w:szCs w:val="16"/>
                              </w:rPr>
                              <w:t xml:space="preserve"> (Total:</w:t>
                            </w:r>
                            <w:r>
                              <w:rPr>
                                <w:rFonts w:cs="Calibri"/>
                                <w:b/>
                                <w:bCs/>
                                <w:sz w:val="16"/>
                                <w:szCs w:val="16"/>
                              </w:rPr>
                              <w:t>873)</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390BC" id="_x0000_s1030" style="position:absolute;margin-left:25.8pt;margin-top:17.4pt;width:182.6pt;height:74.55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" strokecolor="#2f5496" strokeweight="1pt">
                <v:path arrowok="t"/>
                <v:textbox>
                  <w:txbxContent>
                    <w:p w14:paraId="50EE054C" w14:textId="77777777" w:rsidR="003C4536" w:rsidRDefault="003C4536" w:rsidP="003C4536">
                      <w:pPr>
                        <w:rPr>
                          <w:b/>
                          <w:bCs/>
                          <w:color w:val="000000"/>
                        </w:rPr>
                      </w:pPr>
                      <w:r>
                        <w:rPr>
                          <w:b/>
                          <w:bCs/>
                          <w:color w:val="000000"/>
                        </w:rPr>
                        <w:t>2</w:t>
                      </w:r>
                      <w:r w:rsidRPr="006D78FF">
                        <w:rPr>
                          <w:b/>
                          <w:bCs/>
                          <w:color w:val="000000"/>
                          <w:vertAlign w:val="superscript"/>
                        </w:rPr>
                        <w:t>nd</w:t>
                      </w:r>
                      <w:r>
                        <w:rPr>
                          <w:b/>
                          <w:bCs/>
                          <w:color w:val="000000"/>
                        </w:rPr>
                        <w:t xml:space="preserve"> Phase</w:t>
                      </w:r>
                      <w:r w:rsidRPr="00777FBB">
                        <w:rPr>
                          <w:b/>
                          <w:bCs/>
                          <w:color w:val="000000"/>
                        </w:rPr>
                        <w:t xml:space="preserve">: </w:t>
                      </w:r>
                      <w:proofErr w:type="spellStart"/>
                      <w:r>
                        <w:rPr>
                          <w:b/>
                          <w:bCs/>
                          <w:color w:val="000000"/>
                        </w:rPr>
                        <w:t>Transdisciplinarity</w:t>
                      </w:r>
                      <w:proofErr w:type="spellEnd"/>
                    </w:p>
                    <w:p w14:paraId="0B53A60A" w14:textId="4249B4E9" w:rsidR="003C4536" w:rsidRPr="00EB4ED6" w:rsidRDefault="003C4536" w:rsidP="003C4536">
                      <w:pPr>
                        <w:rPr>
                          <w:rFonts w:cstheme="minorBidi"/>
                          <w:b/>
                          <w:bCs/>
                          <w:color w:val="000000"/>
                          <w:sz w:val="22"/>
                          <w:szCs w:val="22"/>
                        </w:rPr>
                      </w:pPr>
                      <w:r w:rsidRPr="00777FBB">
                        <w:rPr>
                          <w:color w:val="000000"/>
                          <w:sz w:val="16"/>
                          <w:szCs w:val="16"/>
                        </w:rPr>
                        <w:t>Records identified through database search:</w:t>
                      </w:r>
                      <w:r>
                        <w:rPr>
                          <w:color w:val="000000"/>
                          <w:sz w:val="16"/>
                          <w:szCs w:val="16"/>
                        </w:rPr>
                        <w:t xml:space="preserve"> </w:t>
                      </w:r>
                      <w:r w:rsidRPr="00777FBB">
                        <w:rPr>
                          <w:sz w:val="16"/>
                          <w:szCs w:val="16"/>
                        </w:rPr>
                        <w:t>PubMed (n=</w:t>
                      </w:r>
                      <w:r>
                        <w:rPr>
                          <w:sz w:val="16"/>
                          <w:szCs w:val="16"/>
                        </w:rPr>
                        <w:t>268</w:t>
                      </w:r>
                      <w:r w:rsidRPr="00777FBB">
                        <w:rPr>
                          <w:sz w:val="16"/>
                          <w:szCs w:val="16"/>
                        </w:rPr>
                        <w:t xml:space="preserve">), </w:t>
                      </w:r>
                      <w:r>
                        <w:rPr>
                          <w:sz w:val="16"/>
                          <w:szCs w:val="16"/>
                        </w:rPr>
                        <w:t xml:space="preserve">Embase (n=22); </w:t>
                      </w:r>
                      <w:r w:rsidRPr="00777FBB">
                        <w:rPr>
                          <w:sz w:val="16"/>
                          <w:szCs w:val="16"/>
                        </w:rPr>
                        <w:t>Google scholar (n=</w:t>
                      </w:r>
                      <w:r>
                        <w:rPr>
                          <w:sz w:val="16"/>
                          <w:szCs w:val="16"/>
                        </w:rPr>
                        <w:t>314</w:t>
                      </w:r>
                      <w:r w:rsidRPr="00777FBB">
                        <w:rPr>
                          <w:sz w:val="16"/>
                          <w:szCs w:val="16"/>
                        </w:rPr>
                        <w:t>), Scopus (n=</w:t>
                      </w:r>
                      <w:r>
                        <w:rPr>
                          <w:sz w:val="16"/>
                          <w:szCs w:val="16"/>
                        </w:rPr>
                        <w:t>64</w:t>
                      </w:r>
                      <w:r w:rsidRPr="00777FBB">
                        <w:rPr>
                          <w:sz w:val="16"/>
                          <w:szCs w:val="16"/>
                        </w:rPr>
                        <w:t xml:space="preserve">), </w:t>
                      </w:r>
                      <w:r w:rsidRPr="00777FBB">
                        <w:rPr>
                          <w:rFonts w:cs="Calibri"/>
                          <w:color w:val="000000"/>
                          <w:sz w:val="16"/>
                          <w:szCs w:val="16"/>
                        </w:rPr>
                        <w:t>Web of Science (n=</w:t>
                      </w:r>
                      <w:r>
                        <w:rPr>
                          <w:rFonts w:cs="Calibri"/>
                          <w:color w:val="000000"/>
                          <w:sz w:val="16"/>
                          <w:szCs w:val="16"/>
                        </w:rPr>
                        <w:t>34</w:t>
                      </w:r>
                      <w:r w:rsidRPr="00777FBB">
                        <w:rPr>
                          <w:rFonts w:cs="Calibri"/>
                          <w:color w:val="000000"/>
                          <w:sz w:val="16"/>
                          <w:szCs w:val="16"/>
                        </w:rPr>
                        <w:t>)</w:t>
                      </w:r>
                      <w:r w:rsidRPr="00777FBB">
                        <w:rPr>
                          <w:rFonts w:cs="Calibri"/>
                          <w:sz w:val="16"/>
                          <w:szCs w:val="16"/>
                        </w:rPr>
                        <w:t xml:space="preserve">, </w:t>
                      </w:r>
                      <w:r>
                        <w:rPr>
                          <w:rFonts w:cs="Calibri"/>
                          <w:sz w:val="16"/>
                          <w:szCs w:val="16"/>
                        </w:rPr>
                        <w:t xml:space="preserve">CINAHL (n=103); </w:t>
                      </w:r>
                      <w:r w:rsidRPr="00777FBB">
                        <w:rPr>
                          <w:rFonts w:cs="Calibri"/>
                          <w:sz w:val="16"/>
                          <w:szCs w:val="16"/>
                        </w:rPr>
                        <w:t>PsycINFO (n=</w:t>
                      </w:r>
                      <w:r>
                        <w:rPr>
                          <w:rFonts w:cs="Calibri"/>
                          <w:sz w:val="16"/>
                          <w:szCs w:val="16"/>
                        </w:rPr>
                        <w:t>68</w:t>
                      </w:r>
                      <w:r w:rsidRPr="00777FBB">
                        <w:rPr>
                          <w:rFonts w:cs="Calibri"/>
                          <w:sz w:val="16"/>
                          <w:szCs w:val="16"/>
                        </w:rPr>
                        <w:t>)</w:t>
                      </w:r>
                      <w:r>
                        <w:rPr>
                          <w:rFonts w:cs="Calibri"/>
                          <w:sz w:val="16"/>
                          <w:szCs w:val="16"/>
                        </w:rPr>
                        <w:t xml:space="preserve"> (Total:</w:t>
                      </w:r>
                      <w:r>
                        <w:rPr>
                          <w:rFonts w:cs="Calibri"/>
                          <w:b/>
                          <w:bCs/>
                          <w:sz w:val="16"/>
                          <w:szCs w:val="16"/>
                        </w:rPr>
                        <w:t>873)</w:t>
                      </w:r>
                    </w:p>
                  </w:txbxContent>
                </v:textbox>
              </v:rect>
            </w:pict>
          </mc:Fallback>
        </mc:AlternateContent>
      </w:r>
    </w:p>
    <w:p w14:paraId="2B8EA268" w14:textId="4EE3DD17" w:rsidR="003C4536" w:rsidRPr="00C97196" w:rsidRDefault="00135FE3"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82816" behindDoc="0" locked="0" layoutInCell="1" allowOverlap="1" wp14:anchorId="53035A94" wp14:editId="2EC70E48">
                <wp:simplePos x="0" y="0"/>
                <wp:positionH relativeFrom="column">
                  <wp:posOffset>3600450</wp:posOffset>
                </wp:positionH>
                <wp:positionV relativeFrom="paragraph">
                  <wp:posOffset>45085</wp:posOffset>
                </wp:positionV>
                <wp:extent cx="1997710" cy="603885"/>
                <wp:effectExtent l="0" t="0" r="8890" b="18415"/>
                <wp:wrapNone/>
                <wp:docPr id="2137783677" name="Rectangle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710" cy="603885"/>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2315865B" w14:textId="77777777" w:rsidR="003C4536" w:rsidRPr="00777FBB" w:rsidRDefault="003C4536" w:rsidP="003C4536">
                            <w:pPr>
                              <w:rPr>
                                <w:rFonts w:cs="Times New Roman (Body CS)"/>
                                <w:color w:val="000000"/>
                              </w:rPr>
                            </w:pPr>
                            <w:r>
                              <w:rPr>
                                <w:rFonts w:cs="Times New Roman (Body CS)"/>
                                <w:b/>
                                <w:bCs/>
                                <w:color w:val="000000"/>
                              </w:rPr>
                              <w:t>560</w:t>
                            </w:r>
                            <w:r w:rsidRPr="00777FBB">
                              <w:rPr>
                                <w:rFonts w:cs="Times New Roman (Body CS)"/>
                                <w:color w:val="000000"/>
                              </w:rPr>
                              <w:t xml:space="preserve"> duplicates and irrelevant titles identified and excluded</w:t>
                            </w:r>
                          </w:p>
                          <w:p w14:paraId="0BD017CB" w14:textId="77777777" w:rsidR="003C4536" w:rsidRPr="00777FBB" w:rsidRDefault="003C4536" w:rsidP="003C4536">
                            <w:pPr>
                              <w:rPr>
                                <w:rFonts w:cs="Times New Roman (Body CS)"/>
                                <w:color w:val="000000"/>
                              </w:rPr>
                            </w:pPr>
                          </w:p>
                          <w:p w14:paraId="492D8C34" w14:textId="77777777" w:rsidR="003C4536" w:rsidRPr="00777FBB" w:rsidRDefault="003C4536" w:rsidP="003C4536">
                            <w:pPr>
                              <w:jc w:val="center"/>
                              <w:rPr>
                                <w:rFonts w:cs="Times New Roman (Body CS)"/>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35A94" id="_x0000_s1031" style="position:absolute;margin-left:283.5pt;margin-top:3.55pt;width:157.3pt;height:47.55pt;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" strokecolor="#2f5496" strokeweight="1pt">
                <v:path arrowok="t"/>
                <v:textbox>
                  <w:txbxContent>
                    <w:p w14:paraId="2315865B" w14:textId="77777777" w:rsidR="003C4536" w:rsidRPr="00777FBB" w:rsidRDefault="003C4536" w:rsidP="003C4536">
                      <w:pPr>
                        <w:rPr>
                          <w:rFonts w:cs="Times New Roman (Body CS)"/>
                          <w:color w:val="000000"/>
                        </w:rPr>
                      </w:pPr>
                      <w:r>
                        <w:rPr>
                          <w:rFonts w:cs="Times New Roman (Body CS)"/>
                          <w:b/>
                          <w:bCs/>
                          <w:color w:val="000000"/>
                        </w:rPr>
                        <w:t>560</w:t>
                      </w:r>
                      <w:r w:rsidRPr="00777FBB">
                        <w:rPr>
                          <w:rFonts w:cs="Times New Roman (Body CS)"/>
                          <w:color w:val="000000"/>
                        </w:rPr>
                        <w:t xml:space="preserve"> duplicates and irrelevant titles identified and excluded</w:t>
                      </w:r>
                    </w:p>
                    <w:p w14:paraId="0BD017CB" w14:textId="77777777" w:rsidR="003C4536" w:rsidRPr="00777FBB" w:rsidRDefault="003C4536" w:rsidP="003C4536">
                      <w:pPr>
                        <w:rPr>
                          <w:rFonts w:cs="Times New Roman (Body CS)"/>
                          <w:color w:val="000000"/>
                        </w:rPr>
                      </w:pPr>
                    </w:p>
                    <w:p w14:paraId="492D8C34" w14:textId="77777777" w:rsidR="003C4536" w:rsidRPr="00777FBB" w:rsidRDefault="003C4536" w:rsidP="003C4536">
                      <w:pPr>
                        <w:jc w:val="center"/>
                        <w:rPr>
                          <w:rFonts w:cs="Times New Roman (Body CS)"/>
                        </w:rPr>
                      </w:pPr>
                    </w:p>
                  </w:txbxContent>
                </v:textbox>
              </v:rect>
            </w:pict>
          </mc:Fallback>
        </mc:AlternateContent>
      </w:r>
      <w:r w:rsidR="003C4536" w:rsidRPr="00C97196">
        <w:rPr>
          <w:rFonts w:eastAsia="Calibri" w:cstheme="minorHAnsi"/>
          <w:noProof/>
        </w:rPr>
        <mc:AlternateContent>
          <mc:Choice Requires="wps">
            <w:drawing>
              <wp:anchor distT="0" distB="0" distL="0" distR="0" simplePos="0" relativeHeight="251683840" behindDoc="0" locked="0" layoutInCell="1" allowOverlap="1" wp14:anchorId="4D6C134D" wp14:editId="630AFDE9">
                <wp:simplePos x="0" y="0"/>
                <wp:positionH relativeFrom="column">
                  <wp:posOffset>2798242</wp:posOffset>
                </wp:positionH>
                <wp:positionV relativeFrom="paragraph">
                  <wp:posOffset>308529</wp:posOffset>
                </wp:positionV>
                <wp:extent cx="729615" cy="9525"/>
                <wp:effectExtent l="0" t="76200" r="0" b="79375"/>
                <wp:wrapNone/>
                <wp:docPr id="811286054"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9615" cy="9525"/>
                        </a:xfrm>
                        <a:prstGeom prst="straightConnector1">
                          <a:avLst/>
                        </a:prstGeom>
                        <a:ln w="12700" cap="flat" cmpd="sng">
                          <a:solidFill>
                            <a:srgbClr val="5B9BD5"/>
                          </a:solidFill>
                          <a:prstDash val="solid"/>
                          <a:miter/>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01AA975F" id="Straight Arrow Connector 6" o:spid="_x0000_s1026" type="#_x0000_t32" style="position:absolute;margin-left:220.35pt;margin-top:24.3pt;width:57.45pt;height:.75pt;flip:y;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" strokecolor="#5b9bd5" strokeweight="1pt">
                <v:stroke endarrow="open" joinstyle="miter"/>
                <o:lock v:ext="edit" shapetype="f"/>
              </v:shape>
            </w:pict>
          </mc:Fallback>
        </mc:AlternateContent>
      </w:r>
    </w:p>
    <w:p w14:paraId="19F938FD" w14:textId="6B8797CB" w:rsidR="003C4536" w:rsidRPr="00C97196" w:rsidRDefault="00732EED"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78720" behindDoc="0" locked="0" layoutInCell="1" allowOverlap="1" wp14:anchorId="77AD78F6" wp14:editId="74B52DDD">
                <wp:simplePos x="0" y="0"/>
                <wp:positionH relativeFrom="column">
                  <wp:posOffset>1482725</wp:posOffset>
                </wp:positionH>
                <wp:positionV relativeFrom="paragraph">
                  <wp:posOffset>245110</wp:posOffset>
                </wp:positionV>
                <wp:extent cx="635" cy="505460"/>
                <wp:effectExtent l="76200" t="0" r="88265" b="40640"/>
                <wp:wrapNone/>
                <wp:docPr id="1028"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505460"/>
                        </a:xfrm>
                        <a:prstGeom prst="straightConnector1">
                          <a:avLst/>
                        </a:prstGeom>
                        <a:ln w="12700" cap="flat" cmpd="sng">
                          <a:solidFill>
                            <a:srgbClr val="5B9BD5"/>
                          </a:solidFill>
                          <a:prstDash val="solid"/>
                          <a:miter/>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shapetype w14:anchorId="5AAE6060" id="_x0000_t32" coordsize="21600,21600" o:spt="32" o:oned="t" path="m,l21600,21600e" filled="f">
                <v:path arrowok="t" fillok="f" o:connecttype="none"/>
                <o:lock v:ext="edit" shapetype="t"/>
              </v:shapetype>
              <v:shape id="Straight Arrow Connector 11" o:spid="_x0000_s1026" type="#_x0000_t32" style="position:absolute;margin-left:116.75pt;margin-top:19.3pt;width:.05pt;height:39.8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" strokecolor="#5b9bd5" strokeweight="1pt">
                <v:stroke endarrow="open" joinstyle="miter"/>
                <o:lock v:ext="edit" shapetype="f"/>
              </v:shape>
            </w:pict>
          </mc:Fallback>
        </mc:AlternateContent>
      </w:r>
      <w:r w:rsidR="003C4536" w:rsidRPr="00C97196">
        <w:rPr>
          <w:rFonts w:eastAsia="Calibri" w:cstheme="minorHAnsi"/>
          <w:noProof/>
        </w:rPr>
        <mc:AlternateContent>
          <mc:Choice Requires="wps">
            <w:drawing>
              <wp:anchor distT="0" distB="0" distL="0" distR="0" simplePos="0" relativeHeight="251664384" behindDoc="0" locked="0" layoutInCell="1" allowOverlap="1" wp14:anchorId="5D393CEB" wp14:editId="05F72022">
                <wp:simplePos x="0" y="0"/>
                <wp:positionH relativeFrom="margin">
                  <wp:posOffset>-294641</wp:posOffset>
                </wp:positionH>
                <wp:positionV relativeFrom="paragraph">
                  <wp:posOffset>298815</wp:posOffset>
                </wp:positionV>
                <wp:extent cx="419100" cy="1978660"/>
                <wp:effectExtent l="6350" t="6350" r="6350" b="8255"/>
                <wp:wrapNone/>
                <wp:docPr id="1038"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419100" cy="1978660"/>
                        </a:xfrm>
                        <a:prstGeom prst="roundRect">
                          <a:avLst/>
                        </a:prstGeom>
                        <a:solidFill>
                          <a:srgbClr val="5B9BD5"/>
                        </a:solidFill>
                        <a:ln w="12700" cap="flat" cmpd="sng">
                          <a:solidFill>
                            <a:srgbClr val="42719B"/>
                          </a:solidFill>
                          <a:prstDash val="solid"/>
                          <a:miter/>
                          <a:headEnd type="none" w="med" len="med"/>
                          <a:tailEnd type="none" w="med" len="med"/>
                        </a:ln>
                      </wps:spPr>
                      <wps:txbx>
                        <w:txbxContent>
                          <w:p w14:paraId="32EEAD1D" w14:textId="77777777" w:rsidR="003C4536" w:rsidRDefault="003C4536" w:rsidP="003C4536">
                            <w:pPr>
                              <w:ind w:firstLineChars="500" w:firstLine="1205"/>
                              <w:jc w:val="both"/>
                              <w:rPr>
                                <w:b/>
                                <w:bCs/>
                              </w:rPr>
                            </w:pPr>
                            <w:r>
                              <w:rPr>
                                <w:b/>
                                <w:bCs/>
                              </w:rPr>
                              <w:t>Screening</w:t>
                            </w:r>
                          </w:p>
                          <w:p w14:paraId="0973FD24" w14:textId="77777777" w:rsidR="003C4536" w:rsidRDefault="003C4536" w:rsidP="003C4536">
                            <w:pPr>
                              <w:jc w:val="both"/>
                              <w:rPr>
                                <w:b/>
                                <w:bCs/>
                              </w:rPr>
                            </w:pPr>
                          </w:p>
                        </w:txbxContent>
                      </wps:txbx>
                      <wps:bodyPr vert="eaVert" wrap="square" lIns="91440" tIns="45720" rIns="91440" bIns="45720" anchor="ctr">
                        <a:prstTxWarp prst="textNoShape">
                          <a:avLst/>
                        </a:prstTxWarp>
                        <a:noAutofit/>
                      </wps:bodyPr>
                    </wps:wsp>
                  </a:graphicData>
                </a:graphic>
              </wp:anchor>
            </w:drawing>
          </mc:Choice>
          <mc:Fallback>
            <w:pict>
              <v:roundrect w14:anchorId="5D393CEB" id="Rounded Rectangle 7" o:spid="_x0000_s1032" style="position:absolute;margin-left:-23.2pt;margin-top:23.55pt;width:33pt;height:155.8pt;rotation:180;z-index:251664384;visibility:visible;mso-wrap-style:square;mso-wrap-distance-left:0;mso-wrap-distance-top:0;mso-wrap-distance-right:0;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" fillcolor="#5b9bd5" strokecolor="#42719b" strokeweight="1pt">
                <v:stroke joinstyle="miter"/>
                <v:path arrowok="t"/>
                <v:textbox style="layout-flow:vertical-ideographic">
                  <w:txbxContent>
                    <w:p w14:paraId="32EEAD1D" w14:textId="77777777" w:rsidR="003C4536" w:rsidRDefault="003C4536" w:rsidP="003C4536">
                      <w:pPr>
                        <w:ind w:firstLineChars="500" w:firstLine="1205"/>
                        <w:jc w:val="both"/>
                        <w:rPr>
                          <w:b/>
                          <w:bCs/>
                        </w:rPr>
                      </w:pPr>
                      <w:r>
                        <w:rPr>
                          <w:b/>
                          <w:bCs/>
                        </w:rPr>
                        <w:t>Screening</w:t>
                      </w:r>
                    </w:p>
                    <w:p w14:paraId="0973FD24" w14:textId="77777777" w:rsidR="003C4536" w:rsidRDefault="003C4536" w:rsidP="003C4536">
                      <w:pPr>
                        <w:jc w:val="both"/>
                        <w:rPr>
                          <w:b/>
                          <w:bCs/>
                        </w:rPr>
                      </w:pPr>
                    </w:p>
                  </w:txbxContent>
                </v:textbox>
                <w10:wrap anchorx="margin"/>
              </v:roundrect>
            </w:pict>
          </mc:Fallback>
        </mc:AlternateContent>
      </w:r>
    </w:p>
    <w:p w14:paraId="090C0726" w14:textId="0A72A744" w:rsidR="003C4536" w:rsidRPr="00C97196" w:rsidRDefault="003C4536" w:rsidP="003C4536">
      <w:pPr>
        <w:spacing w:line="480" w:lineRule="auto"/>
        <w:rPr>
          <w:rFonts w:eastAsia="Calibri" w:cstheme="minorHAnsi"/>
        </w:rPr>
      </w:pPr>
    </w:p>
    <w:p w14:paraId="2D7AE9FD" w14:textId="165A1794" w:rsidR="003C4536" w:rsidRPr="00C97196" w:rsidRDefault="00135FE3"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72576" behindDoc="0" locked="0" layoutInCell="1" allowOverlap="1" wp14:anchorId="6FFC6045" wp14:editId="65E3B59A">
                <wp:simplePos x="0" y="0"/>
                <wp:positionH relativeFrom="column">
                  <wp:posOffset>3542030</wp:posOffset>
                </wp:positionH>
                <wp:positionV relativeFrom="paragraph">
                  <wp:posOffset>44450</wp:posOffset>
                </wp:positionV>
                <wp:extent cx="2075815" cy="282575"/>
                <wp:effectExtent l="0" t="0" r="6985" b="9525"/>
                <wp:wrapNone/>
                <wp:docPr id="1030" name="Rectangle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5815" cy="282575"/>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73688F56" w14:textId="77777777" w:rsidR="003C4536" w:rsidRDefault="003C4536" w:rsidP="003C4536">
                            <w:pPr>
                              <w:jc w:val="center"/>
                            </w:pPr>
                            <w:r>
                              <w:rPr>
                                <w:b/>
                                <w:color w:val="000000"/>
                              </w:rPr>
                              <w:t>130</w:t>
                            </w:r>
                            <w:r>
                              <w:rPr>
                                <w:bCs/>
                                <w:color w:val="000000"/>
                              </w:rPr>
                              <w:t xml:space="preserve"> </w:t>
                            </w:r>
                            <w:r>
                              <w:rPr>
                                <w:color w:val="000000"/>
                              </w:rPr>
                              <w:t>irrelevant studies excluded</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w14:anchorId="6FFC6045" id="Rectangles 5" o:spid="_x0000_s1033" style="position:absolute;margin-left:278.9pt;margin-top:3.5pt;width:163.45pt;height:22.25pt;z-index:25167257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" strokecolor="#2f5496" strokeweight="1pt">
                <v:path arrowok="t"/>
                <v:textbox>
                  <w:txbxContent>
                    <w:p w14:paraId="73688F56" w14:textId="77777777" w:rsidR="003C4536" w:rsidRDefault="003C4536" w:rsidP="003C4536">
                      <w:pPr>
                        <w:jc w:val="center"/>
                      </w:pPr>
                      <w:r>
                        <w:rPr>
                          <w:b/>
                          <w:color w:val="000000"/>
                        </w:rPr>
                        <w:t>130</w:t>
                      </w:r>
                      <w:r>
                        <w:rPr>
                          <w:bCs/>
                          <w:color w:val="000000"/>
                        </w:rPr>
                        <w:t xml:space="preserve"> </w:t>
                      </w:r>
                      <w:r>
                        <w:rPr>
                          <w:color w:val="000000"/>
                        </w:rPr>
                        <w:t>irrelevant studies excluded</w:t>
                      </w:r>
                    </w:p>
                  </w:txbxContent>
                </v:textbox>
              </v:rect>
            </w:pict>
          </mc:Fallback>
        </mc:AlternateContent>
      </w:r>
      <w:r w:rsidRPr="00C97196">
        <w:rPr>
          <w:rFonts w:eastAsia="Calibri" w:cstheme="minorHAnsi"/>
          <w:noProof/>
        </w:rPr>
        <mc:AlternateContent>
          <mc:Choice Requires="wps">
            <w:drawing>
              <wp:anchor distT="0" distB="0" distL="0" distR="0" simplePos="0" relativeHeight="251671552" behindDoc="0" locked="0" layoutInCell="1" allowOverlap="1" wp14:anchorId="4A383BBE" wp14:editId="66CB969C">
                <wp:simplePos x="0" y="0"/>
                <wp:positionH relativeFrom="column">
                  <wp:posOffset>528955</wp:posOffset>
                </wp:positionH>
                <wp:positionV relativeFrom="paragraph">
                  <wp:posOffset>19050</wp:posOffset>
                </wp:positionV>
                <wp:extent cx="2037715" cy="487680"/>
                <wp:effectExtent l="0" t="0" r="6985" b="7620"/>
                <wp:wrapNone/>
                <wp:docPr id="1039" name="Rectangle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7715" cy="487680"/>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0D4FDE64" w14:textId="77777777" w:rsidR="003C4536" w:rsidRDefault="003C4536" w:rsidP="003C4536">
                            <w:pPr>
                              <w:rPr>
                                <w:color w:val="000000"/>
                              </w:rPr>
                            </w:pPr>
                            <w:r>
                              <w:rPr>
                                <w:color w:val="000000"/>
                              </w:rPr>
                              <w:t>Records screened by titles and abstract (</w:t>
                            </w:r>
                            <w:r w:rsidRPr="00DC7129">
                              <w:rPr>
                                <w:b/>
                                <w:bCs/>
                                <w:color w:val="000000"/>
                              </w:rPr>
                              <w:t>n=</w:t>
                            </w:r>
                            <w:r>
                              <w:rPr>
                                <w:b/>
                                <w:bCs/>
                                <w:color w:val="000000"/>
                              </w:rPr>
                              <w:t>407</w:t>
                            </w:r>
                            <w:r>
                              <w:rPr>
                                <w:color w:val="000000"/>
                              </w:rPr>
                              <w:t>)</w:t>
                            </w:r>
                          </w:p>
                          <w:p w14:paraId="4C135774" w14:textId="77777777" w:rsidR="003C4536" w:rsidRDefault="003C4536" w:rsidP="003C4536">
                            <w:pPr>
                              <w:rPr>
                                <w:color w:val="000000"/>
                              </w:rPr>
                            </w:pPr>
                          </w:p>
                          <w:p w14:paraId="1D0ECEAA" w14:textId="77777777" w:rsidR="003C4536" w:rsidRDefault="003C4536" w:rsidP="003C453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83BBE" id="Rectangles 4" o:spid="_x0000_s1034" style="position:absolute;margin-left:41.65pt;margin-top:1.5pt;width:160.45pt;height:38.4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" strokecolor="#2f5496" strokeweight="1pt">
                <v:path arrowok="t"/>
                <v:textbox>
                  <w:txbxContent>
                    <w:p w14:paraId="0D4FDE64" w14:textId="77777777" w:rsidR="003C4536" w:rsidRDefault="003C4536" w:rsidP="003C4536">
                      <w:pPr>
                        <w:rPr>
                          <w:color w:val="000000"/>
                        </w:rPr>
                      </w:pPr>
                      <w:r>
                        <w:rPr>
                          <w:color w:val="000000"/>
                        </w:rPr>
                        <w:t>Records screened by titles and abstract (</w:t>
                      </w:r>
                      <w:r w:rsidRPr="00DC7129">
                        <w:rPr>
                          <w:b/>
                          <w:bCs/>
                          <w:color w:val="000000"/>
                        </w:rPr>
                        <w:t>n=</w:t>
                      </w:r>
                      <w:r>
                        <w:rPr>
                          <w:b/>
                          <w:bCs/>
                          <w:color w:val="000000"/>
                        </w:rPr>
                        <w:t>407</w:t>
                      </w:r>
                      <w:r>
                        <w:rPr>
                          <w:color w:val="000000"/>
                        </w:rPr>
                        <w:t>)</w:t>
                      </w:r>
                    </w:p>
                    <w:p w14:paraId="4C135774" w14:textId="77777777" w:rsidR="003C4536" w:rsidRDefault="003C4536" w:rsidP="003C4536">
                      <w:pPr>
                        <w:rPr>
                          <w:color w:val="000000"/>
                        </w:rPr>
                      </w:pPr>
                    </w:p>
                    <w:p w14:paraId="1D0ECEAA" w14:textId="77777777" w:rsidR="003C4536" w:rsidRDefault="003C4536" w:rsidP="003C4536">
                      <w:pPr>
                        <w:jc w:val="center"/>
                      </w:pPr>
                    </w:p>
                  </w:txbxContent>
                </v:textbox>
              </v:rect>
            </w:pict>
          </mc:Fallback>
        </mc:AlternateContent>
      </w:r>
      <w:r w:rsidR="003C4536" w:rsidRPr="00C97196">
        <w:rPr>
          <w:rFonts w:eastAsia="Calibri" w:cstheme="minorHAnsi"/>
          <w:noProof/>
        </w:rPr>
        <mc:AlternateContent>
          <mc:Choice Requires="wps">
            <w:drawing>
              <wp:anchor distT="0" distB="0" distL="0" distR="0" simplePos="0" relativeHeight="251663360" behindDoc="0" locked="0" layoutInCell="1" allowOverlap="1" wp14:anchorId="67ADC880" wp14:editId="66A630F2">
                <wp:simplePos x="0" y="0"/>
                <wp:positionH relativeFrom="column">
                  <wp:posOffset>2714490</wp:posOffset>
                </wp:positionH>
                <wp:positionV relativeFrom="paragraph">
                  <wp:posOffset>171234</wp:posOffset>
                </wp:positionV>
                <wp:extent cx="729615" cy="9525"/>
                <wp:effectExtent l="0" t="76200" r="0" b="79375"/>
                <wp:wrapNone/>
                <wp:docPr id="1037"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9615" cy="9525"/>
                        </a:xfrm>
                        <a:prstGeom prst="straightConnector1">
                          <a:avLst/>
                        </a:prstGeom>
                        <a:ln w="12700" cap="flat" cmpd="sng">
                          <a:solidFill>
                            <a:srgbClr val="5B9BD5"/>
                          </a:solidFill>
                          <a:prstDash val="solid"/>
                          <a:miter/>
                          <a:headEnd type="none" w="med" len="med"/>
                          <a:tailEnd type="arrow" w="med" len="med"/>
                        </a:ln>
                      </wps:spPr>
                      <wps:bodyPr/>
                    </wps:wsp>
                  </a:graphicData>
                </a:graphic>
              </wp:anchor>
            </w:drawing>
          </mc:Choice>
          <mc:Fallback xmlns:w16sdtfl="http://schemas.microsoft.com/office/word/2024/wordml/sdtformatlock">
            <w:pict>
              <v:shape w14:anchorId="5555A7B7" id="Straight Arrow Connector 6" o:spid="_x0000_s1026" type="#_x0000_t32" style="position:absolute;margin-left:213.75pt;margin-top:13.5pt;width:57.45pt;height:.75pt;flip:y;z-index:2516633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" strokecolor="#5b9bd5" strokeweight="1pt">
                <v:stroke endarrow="open" joinstyle="miter"/>
                <o:lock v:ext="edit" shapetype="f"/>
              </v:shape>
            </w:pict>
          </mc:Fallback>
        </mc:AlternateContent>
      </w:r>
    </w:p>
    <w:p w14:paraId="5F6F56B1" w14:textId="26E5CCFB" w:rsidR="003C4536" w:rsidRPr="00C97196" w:rsidRDefault="003C4536" w:rsidP="003C4536">
      <w:pPr>
        <w:spacing w:line="480" w:lineRule="auto"/>
        <w:rPr>
          <w:rFonts w:eastAsia="Calibri" w:cstheme="minorHAnsi"/>
        </w:rPr>
      </w:pPr>
    </w:p>
    <w:p w14:paraId="4D5D9E97" w14:textId="03B3BC3A" w:rsidR="003C4536" w:rsidRPr="00C97196" w:rsidRDefault="00135FE3"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86912" behindDoc="0" locked="0" layoutInCell="1" allowOverlap="1" wp14:anchorId="2805F1BB" wp14:editId="3E6A7851">
                <wp:simplePos x="0" y="0"/>
                <wp:positionH relativeFrom="column">
                  <wp:posOffset>3540125</wp:posOffset>
                </wp:positionH>
                <wp:positionV relativeFrom="paragraph">
                  <wp:posOffset>49733</wp:posOffset>
                </wp:positionV>
                <wp:extent cx="2075815" cy="282575"/>
                <wp:effectExtent l="0" t="0" r="6985" b="9525"/>
                <wp:wrapNone/>
                <wp:docPr id="1334737653" name="Rectangle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5815" cy="282575"/>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5C1B1B36" w14:textId="77777777" w:rsidR="003C4536" w:rsidRDefault="003C4536" w:rsidP="003C4536">
                            <w:pPr>
                              <w:jc w:val="center"/>
                            </w:pPr>
                            <w:r>
                              <w:rPr>
                                <w:b/>
                                <w:color w:val="000000"/>
                              </w:rPr>
                              <w:t>187</w:t>
                            </w:r>
                            <w:r>
                              <w:rPr>
                                <w:bCs/>
                                <w:color w:val="000000"/>
                              </w:rPr>
                              <w:t xml:space="preserve"> </w:t>
                            </w:r>
                            <w:r>
                              <w:rPr>
                                <w:color w:val="000000"/>
                              </w:rPr>
                              <w:t>irrelevant studies excluded</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w14:anchorId="2805F1BB" id="_x0000_s1035" style="position:absolute;margin-left:278.75pt;margin-top:3.9pt;width:163.45pt;height:22.25pt;z-index:25168691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" strokecolor="#2f5496" strokeweight="1pt">
                <v:path arrowok="t"/>
                <v:textbox>
                  <w:txbxContent>
                    <w:p w14:paraId="5C1B1B36" w14:textId="77777777" w:rsidR="003C4536" w:rsidRDefault="003C4536" w:rsidP="003C4536">
                      <w:pPr>
                        <w:jc w:val="center"/>
                      </w:pPr>
                      <w:r>
                        <w:rPr>
                          <w:b/>
                          <w:color w:val="000000"/>
                        </w:rPr>
                        <w:t>187</w:t>
                      </w:r>
                      <w:r>
                        <w:rPr>
                          <w:bCs/>
                          <w:color w:val="000000"/>
                        </w:rPr>
                        <w:t xml:space="preserve"> </w:t>
                      </w:r>
                      <w:r>
                        <w:rPr>
                          <w:color w:val="000000"/>
                        </w:rPr>
                        <w:t>irrelevant studies excluded</w:t>
                      </w:r>
                    </w:p>
                  </w:txbxContent>
                </v:textbox>
              </v:rect>
            </w:pict>
          </mc:Fallback>
        </mc:AlternateContent>
      </w:r>
      <w:r w:rsidRPr="00C97196">
        <w:rPr>
          <w:rFonts w:eastAsia="Calibri" w:cstheme="minorHAnsi"/>
          <w:noProof/>
        </w:rPr>
        <mc:AlternateContent>
          <mc:Choice Requires="wps">
            <w:drawing>
              <wp:anchor distT="0" distB="0" distL="0" distR="0" simplePos="0" relativeHeight="251685888" behindDoc="0" locked="0" layoutInCell="1" allowOverlap="1" wp14:anchorId="24060F88" wp14:editId="2148A59C">
                <wp:simplePos x="0" y="0"/>
                <wp:positionH relativeFrom="column">
                  <wp:posOffset>2700655</wp:posOffset>
                </wp:positionH>
                <wp:positionV relativeFrom="paragraph">
                  <wp:posOffset>204038</wp:posOffset>
                </wp:positionV>
                <wp:extent cx="729615" cy="9525"/>
                <wp:effectExtent l="0" t="76200" r="0" b="79375"/>
                <wp:wrapNone/>
                <wp:docPr id="540425338"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9615" cy="9525"/>
                        </a:xfrm>
                        <a:prstGeom prst="straightConnector1">
                          <a:avLst/>
                        </a:prstGeom>
                        <a:ln w="12700" cap="flat" cmpd="sng">
                          <a:solidFill>
                            <a:srgbClr val="5B9BD5"/>
                          </a:solidFill>
                          <a:prstDash val="solid"/>
                          <a:miter/>
                          <a:headEnd type="none" w="med" len="med"/>
                          <a:tailEnd type="arrow" w="med" len="med"/>
                        </a:ln>
                      </wps:spPr>
                      <wps:bodyPr/>
                    </wps:wsp>
                  </a:graphicData>
                </a:graphic>
              </wp:anchor>
            </w:drawing>
          </mc:Choice>
          <mc:Fallback xmlns:w16sdtfl="http://schemas.microsoft.com/office/word/2024/wordml/sdtformatlock">
            <w:pict>
              <v:shape w14:anchorId="3D05AE90" id="Straight Arrow Connector 6" o:spid="_x0000_s1026" type="#_x0000_t32" style="position:absolute;margin-left:212.65pt;margin-top:16.05pt;width:57.45pt;height:.75pt;flip:y;z-index:2516858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" strokecolor="#5b9bd5" strokeweight="1pt">
                <v:stroke endarrow="open" joinstyle="miter"/>
                <o:lock v:ext="edit" shapetype="f"/>
              </v:shape>
            </w:pict>
          </mc:Fallback>
        </mc:AlternateContent>
      </w:r>
      <w:r w:rsidRPr="00C97196">
        <w:rPr>
          <w:rFonts w:eastAsia="Calibri" w:cstheme="minorHAnsi"/>
          <w:noProof/>
        </w:rPr>
        <mc:AlternateContent>
          <mc:Choice Requires="wps">
            <w:drawing>
              <wp:anchor distT="0" distB="0" distL="0" distR="0" simplePos="0" relativeHeight="251684864" behindDoc="0" locked="0" layoutInCell="1" allowOverlap="1" wp14:anchorId="568066EA" wp14:editId="1730CF24">
                <wp:simplePos x="0" y="0"/>
                <wp:positionH relativeFrom="column">
                  <wp:posOffset>557530</wp:posOffset>
                </wp:positionH>
                <wp:positionV relativeFrom="paragraph">
                  <wp:posOffset>3810</wp:posOffset>
                </wp:positionV>
                <wp:extent cx="2037715" cy="487680"/>
                <wp:effectExtent l="0" t="0" r="6985" b="7620"/>
                <wp:wrapNone/>
                <wp:docPr id="2046915868" name="Rectangle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7715" cy="487680"/>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16EFBD16" w14:textId="77777777" w:rsidR="003C4536" w:rsidRDefault="003C4536" w:rsidP="003C4536">
                            <w:pPr>
                              <w:rPr>
                                <w:color w:val="000000"/>
                              </w:rPr>
                            </w:pPr>
                            <w:r>
                              <w:rPr>
                                <w:color w:val="000000"/>
                              </w:rPr>
                              <w:t>Records screened by titles and abstract (</w:t>
                            </w:r>
                            <w:r w:rsidRPr="00DC7129">
                              <w:rPr>
                                <w:b/>
                                <w:bCs/>
                                <w:color w:val="000000"/>
                              </w:rPr>
                              <w:t>n=</w:t>
                            </w:r>
                            <w:r>
                              <w:rPr>
                                <w:b/>
                                <w:bCs/>
                                <w:color w:val="000000"/>
                              </w:rPr>
                              <w:t>313</w:t>
                            </w:r>
                            <w:r>
                              <w:rPr>
                                <w:color w:val="000000"/>
                              </w:rPr>
                              <w:t>)</w:t>
                            </w:r>
                          </w:p>
                          <w:p w14:paraId="0635C000" w14:textId="77777777" w:rsidR="003C4536" w:rsidRDefault="003C4536" w:rsidP="003C4536">
                            <w:pPr>
                              <w:rPr>
                                <w:color w:val="000000"/>
                              </w:rPr>
                            </w:pPr>
                          </w:p>
                          <w:p w14:paraId="57136CA8" w14:textId="77777777" w:rsidR="003C4536" w:rsidRDefault="003C4536" w:rsidP="003C4536">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066EA" id="_x0000_s1036" style="position:absolute;margin-left:43.9pt;margin-top:.3pt;width:160.45pt;height:38.4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" strokecolor="#2f5496" strokeweight="1pt">
                <v:path arrowok="t"/>
                <v:textbox>
                  <w:txbxContent>
                    <w:p w14:paraId="16EFBD16" w14:textId="77777777" w:rsidR="003C4536" w:rsidRDefault="003C4536" w:rsidP="003C4536">
                      <w:pPr>
                        <w:rPr>
                          <w:color w:val="000000"/>
                        </w:rPr>
                      </w:pPr>
                      <w:r>
                        <w:rPr>
                          <w:color w:val="000000"/>
                        </w:rPr>
                        <w:t>Records screened by titles and abstract (</w:t>
                      </w:r>
                      <w:r w:rsidRPr="00DC7129">
                        <w:rPr>
                          <w:b/>
                          <w:bCs/>
                          <w:color w:val="000000"/>
                        </w:rPr>
                        <w:t>n=</w:t>
                      </w:r>
                      <w:r>
                        <w:rPr>
                          <w:b/>
                          <w:bCs/>
                          <w:color w:val="000000"/>
                        </w:rPr>
                        <w:t>313</w:t>
                      </w:r>
                      <w:r>
                        <w:rPr>
                          <w:color w:val="000000"/>
                        </w:rPr>
                        <w:t>)</w:t>
                      </w:r>
                    </w:p>
                    <w:p w14:paraId="0635C000" w14:textId="77777777" w:rsidR="003C4536" w:rsidRDefault="003C4536" w:rsidP="003C4536">
                      <w:pPr>
                        <w:rPr>
                          <w:color w:val="000000"/>
                        </w:rPr>
                      </w:pPr>
                    </w:p>
                    <w:p w14:paraId="57136CA8" w14:textId="77777777" w:rsidR="003C4536" w:rsidRDefault="003C4536" w:rsidP="003C4536">
                      <w:pPr>
                        <w:jc w:val="center"/>
                      </w:pPr>
                    </w:p>
                  </w:txbxContent>
                </v:textbox>
              </v:rect>
            </w:pict>
          </mc:Fallback>
        </mc:AlternateContent>
      </w:r>
    </w:p>
    <w:p w14:paraId="1B99DBFA" w14:textId="7FF2CBA9" w:rsidR="003C4536" w:rsidRPr="00C97196" w:rsidRDefault="003C4536"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88960" behindDoc="0" locked="0" layoutInCell="1" allowOverlap="1" wp14:anchorId="7DE486B6" wp14:editId="18D167E2">
                <wp:simplePos x="0" y="0"/>
                <wp:positionH relativeFrom="margin">
                  <wp:posOffset>1578610</wp:posOffset>
                </wp:positionH>
                <wp:positionV relativeFrom="paragraph">
                  <wp:posOffset>169748</wp:posOffset>
                </wp:positionV>
                <wp:extent cx="635" cy="734695"/>
                <wp:effectExtent l="76200" t="0" r="50165" b="40005"/>
                <wp:wrapNone/>
                <wp:docPr id="1721920517"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734695"/>
                        </a:xfrm>
                        <a:prstGeom prst="straightConnector1">
                          <a:avLst/>
                        </a:prstGeom>
                        <a:ln w="12700" cap="flat" cmpd="sng">
                          <a:solidFill>
                            <a:srgbClr val="5B9BD5"/>
                          </a:solidFill>
                          <a:prstDash val="solid"/>
                          <a:miter/>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D007E82" id="Straight Arrow Connector 11" o:spid="_x0000_s1026" type="#_x0000_t32" style="position:absolute;margin-left:124.3pt;margin-top:13.35pt;width:.05pt;height:57.85pt;flip:x;z-index:25168896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" strokecolor="#5b9bd5" strokeweight="1pt">
                <v:stroke endarrow="open" joinstyle="miter"/>
                <o:lock v:ext="edit" shapetype="f"/>
                <w10:wrap anchorx="margin"/>
              </v:shape>
            </w:pict>
          </mc:Fallback>
        </mc:AlternateContent>
      </w:r>
    </w:p>
    <w:p w14:paraId="7898C67B" w14:textId="1EC606CF" w:rsidR="003C4536" w:rsidRPr="00C97196" w:rsidRDefault="00732EED"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76672" behindDoc="0" locked="0" layoutInCell="1" allowOverlap="1" wp14:anchorId="67EE1452" wp14:editId="024F7A8F">
                <wp:simplePos x="0" y="0"/>
                <wp:positionH relativeFrom="margin">
                  <wp:posOffset>3413760</wp:posOffset>
                </wp:positionH>
                <wp:positionV relativeFrom="paragraph">
                  <wp:posOffset>61595</wp:posOffset>
                </wp:positionV>
                <wp:extent cx="3005455" cy="3086100"/>
                <wp:effectExtent l="0" t="0" r="23495" b="19050"/>
                <wp:wrapNone/>
                <wp:docPr id="1043" name="Rectangle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5455" cy="3086100"/>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1F3C4CC3" w14:textId="77777777" w:rsidR="003C4536" w:rsidRDefault="003C4536" w:rsidP="003C4536">
                            <w:pPr>
                              <w:jc w:val="both"/>
                              <w:rPr>
                                <w:color w:val="000000"/>
                              </w:rPr>
                            </w:pPr>
                            <w:r>
                              <w:rPr>
                                <w:b/>
                                <w:bCs/>
                                <w:color w:val="000000"/>
                              </w:rPr>
                              <w:t>183</w:t>
                            </w:r>
                            <w:r>
                              <w:rPr>
                                <w:color w:val="000000"/>
                              </w:rPr>
                              <w:t> studies excluded in Phase 1</w:t>
                            </w:r>
                          </w:p>
                          <w:p w14:paraId="6759A59C" w14:textId="77777777" w:rsidR="003C4536" w:rsidRDefault="003C4536" w:rsidP="003C4536">
                            <w:pPr>
                              <w:jc w:val="both"/>
                              <w:rPr>
                                <w:color w:val="000000"/>
                              </w:rPr>
                            </w:pPr>
                            <w:r>
                              <w:rPr>
                                <w:b/>
                                <w:bCs/>
                                <w:color w:val="000000"/>
                              </w:rPr>
                              <w:t>68</w:t>
                            </w:r>
                            <w:r>
                              <w:rPr>
                                <w:color w:val="000000"/>
                              </w:rPr>
                              <w:t> studies excluded in Phase 2</w:t>
                            </w:r>
                          </w:p>
                          <w:p w14:paraId="75334A87" w14:textId="77777777" w:rsidR="003C4536" w:rsidRPr="0003611C" w:rsidRDefault="003C4536" w:rsidP="003C4536">
                            <w:pPr>
                              <w:ind w:left="720"/>
                              <w:rPr>
                                <w:color w:val="000000"/>
                                <w:sz w:val="22"/>
                                <w:szCs w:val="22"/>
                              </w:rPr>
                            </w:pPr>
                            <w:r w:rsidRPr="0003611C">
                              <w:rPr>
                                <w:color w:val="000000"/>
                                <w:sz w:val="22"/>
                                <w:szCs w:val="22"/>
                              </w:rPr>
                              <w:t>Phase</w:t>
                            </w:r>
                            <w:r w:rsidRPr="0003611C">
                              <w:rPr>
                                <w:rFonts w:asciiTheme="minorHAnsi" w:hAnsiTheme="minorHAnsi"/>
                                <w:color w:val="000000"/>
                                <w:sz w:val="22"/>
                                <w:szCs w:val="22"/>
                              </w:rPr>
                              <w:t xml:space="preserve"> 1 &amp; 2—Reasons for exclusion</w:t>
                            </w:r>
                          </w:p>
                          <w:p w14:paraId="4BBF1CB8" w14:textId="77777777" w:rsidR="003C4536" w:rsidRPr="0003611C" w:rsidRDefault="003C4536" w:rsidP="003C4536">
                            <w:pPr>
                              <w:pStyle w:val="ListParagraph"/>
                              <w:numPr>
                                <w:ilvl w:val="0"/>
                                <w:numId w:val="75"/>
                              </w:numPr>
                              <w:spacing w:after="160" w:line="259" w:lineRule="auto"/>
                              <w:ind w:left="360"/>
                              <w:rPr>
                                <w:color w:val="000000"/>
                                <w:sz w:val="22"/>
                                <w:szCs w:val="22"/>
                              </w:rPr>
                            </w:pPr>
                            <w:r w:rsidRPr="0003611C">
                              <w:rPr>
                                <w:color w:val="000000"/>
                                <w:sz w:val="22"/>
                                <w:szCs w:val="22"/>
                              </w:rPr>
                              <w:t>Eligibility mismatch: poor quality; not about lived experiences/perceptions/narratives of chronic pain or chronic illness; not related to transdisciplinary science  </w:t>
                            </w:r>
                          </w:p>
                          <w:p w14:paraId="7DBDAC76" w14:textId="77777777" w:rsidR="003C4536" w:rsidRPr="0003611C" w:rsidRDefault="003C4536" w:rsidP="003C4536">
                            <w:pPr>
                              <w:pStyle w:val="ListParagraph"/>
                              <w:ind w:left="360"/>
                              <w:rPr>
                                <w:color w:val="000000"/>
                                <w:sz w:val="22"/>
                                <w:szCs w:val="22"/>
                              </w:rPr>
                            </w:pPr>
                          </w:p>
                          <w:p w14:paraId="708E211A" w14:textId="77777777" w:rsidR="003C4536" w:rsidRPr="0003611C" w:rsidRDefault="003C4536" w:rsidP="003C4536">
                            <w:pPr>
                              <w:pStyle w:val="ListParagraph"/>
                              <w:numPr>
                                <w:ilvl w:val="0"/>
                                <w:numId w:val="75"/>
                              </w:numPr>
                              <w:spacing w:after="160" w:line="259" w:lineRule="auto"/>
                              <w:ind w:left="360"/>
                              <w:rPr>
                                <w:color w:val="000000"/>
                                <w:sz w:val="22"/>
                                <w:szCs w:val="22"/>
                              </w:rPr>
                            </w:pPr>
                            <w:r>
                              <w:rPr>
                                <w:color w:val="000000"/>
                              </w:rPr>
                              <w:t xml:space="preserve">Publication type: </w:t>
                            </w:r>
                            <w:r w:rsidRPr="0003611C">
                              <w:rPr>
                                <w:color w:val="000000"/>
                                <w:sz w:val="22"/>
                                <w:szCs w:val="22"/>
                              </w:rPr>
                              <w:t>Conference abstracts/dissertations/book chapters/non–peer reviewed sources  </w:t>
                            </w:r>
                          </w:p>
                          <w:p w14:paraId="1798D490" w14:textId="77777777" w:rsidR="003C4536" w:rsidRPr="0003611C" w:rsidRDefault="003C4536" w:rsidP="003C4536">
                            <w:pPr>
                              <w:pStyle w:val="ListParagraph"/>
                              <w:ind w:left="360"/>
                              <w:rPr>
                                <w:color w:val="000000"/>
                                <w:sz w:val="22"/>
                                <w:szCs w:val="22"/>
                              </w:rPr>
                            </w:pPr>
                          </w:p>
                          <w:p w14:paraId="5D1F645D" w14:textId="77777777" w:rsidR="003C4536" w:rsidRPr="0003611C" w:rsidRDefault="003C4536" w:rsidP="003C4536">
                            <w:pPr>
                              <w:pStyle w:val="ListParagraph"/>
                              <w:numPr>
                                <w:ilvl w:val="0"/>
                                <w:numId w:val="75"/>
                              </w:numPr>
                              <w:spacing w:after="160" w:line="259" w:lineRule="auto"/>
                              <w:ind w:left="360"/>
                              <w:rPr>
                                <w:color w:val="000000"/>
                                <w:sz w:val="22"/>
                                <w:szCs w:val="22"/>
                              </w:rPr>
                            </w:pPr>
                            <w:r w:rsidRPr="0003611C">
                              <w:rPr>
                                <w:color w:val="000000"/>
                                <w:sz w:val="22"/>
                                <w:szCs w:val="22"/>
                              </w:rPr>
                              <w:t>Publication</w:t>
                            </w:r>
                            <w:r>
                              <w:rPr>
                                <w:color w:val="000000"/>
                              </w:rPr>
                              <w:t xml:space="preserve"> </w:t>
                            </w:r>
                            <w:r w:rsidRPr="0003611C">
                              <w:rPr>
                                <w:color w:val="000000"/>
                                <w:sz w:val="22"/>
                                <w:szCs w:val="22"/>
                              </w:rPr>
                              <w:t>timing: outside 2009–2025</w:t>
                            </w:r>
                          </w:p>
                          <w:p w14:paraId="185A2BA3" w14:textId="77777777" w:rsidR="003C4536" w:rsidRPr="0003611C" w:rsidRDefault="003C4536" w:rsidP="003C4536">
                            <w:pPr>
                              <w:pStyle w:val="ListParagraph"/>
                              <w:ind w:left="360"/>
                              <w:rPr>
                                <w:color w:val="000000"/>
                                <w:sz w:val="22"/>
                                <w:szCs w:val="22"/>
                              </w:rPr>
                            </w:pPr>
                          </w:p>
                          <w:p w14:paraId="4444490E" w14:textId="383AAB34" w:rsidR="003C4536" w:rsidRPr="00732EED" w:rsidRDefault="003C4536" w:rsidP="003C4536">
                            <w:pPr>
                              <w:pStyle w:val="ListParagraph"/>
                              <w:numPr>
                                <w:ilvl w:val="0"/>
                                <w:numId w:val="75"/>
                              </w:numPr>
                              <w:spacing w:after="160" w:line="259" w:lineRule="auto"/>
                              <w:ind w:left="360"/>
                              <w:rPr>
                                <w:color w:val="000000"/>
                                <w:sz w:val="22"/>
                                <w:szCs w:val="22"/>
                              </w:rPr>
                            </w:pPr>
                            <w:r w:rsidRPr="0003611C">
                              <w:rPr>
                                <w:color w:val="000000"/>
                                <w:sz w:val="22"/>
                                <w:szCs w:val="22"/>
                              </w:rPr>
                              <w:t>Review fit: wrong population; wrong research design; wrong topic; wrong aim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E1452" id="Rectangles 6" o:spid="_x0000_s1037" style="position:absolute;margin-left:268.8pt;margin-top:4.85pt;width:236.65pt;height:243pt;z-index:2516766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" strokecolor="#2f5496" strokeweight="1pt">
                <v:path arrowok="t"/>
                <v:textbox>
                  <w:txbxContent>
                    <w:p w14:paraId="1F3C4CC3" w14:textId="77777777" w:rsidR="003C4536" w:rsidRDefault="003C4536" w:rsidP="003C4536">
                      <w:pPr>
                        <w:jc w:val="both"/>
                        <w:rPr>
                          <w:color w:val="000000"/>
                        </w:rPr>
                      </w:pPr>
                      <w:r>
                        <w:rPr>
                          <w:b/>
                          <w:bCs/>
                          <w:color w:val="000000"/>
                        </w:rPr>
                        <w:t>183</w:t>
                      </w:r>
                      <w:r>
                        <w:rPr>
                          <w:color w:val="000000"/>
                        </w:rPr>
                        <w:t> studies excluded in Phase 1</w:t>
                      </w:r>
                    </w:p>
                    <w:p w14:paraId="6759A59C" w14:textId="77777777" w:rsidR="003C4536" w:rsidRDefault="003C4536" w:rsidP="003C4536">
                      <w:pPr>
                        <w:jc w:val="both"/>
                        <w:rPr>
                          <w:color w:val="000000"/>
                        </w:rPr>
                      </w:pPr>
                      <w:r>
                        <w:rPr>
                          <w:b/>
                          <w:bCs/>
                          <w:color w:val="000000"/>
                        </w:rPr>
                        <w:t>68</w:t>
                      </w:r>
                      <w:r>
                        <w:rPr>
                          <w:color w:val="000000"/>
                        </w:rPr>
                        <w:t> studies excluded in Phase 2</w:t>
                      </w:r>
                    </w:p>
                    <w:p w14:paraId="75334A87" w14:textId="77777777" w:rsidR="003C4536" w:rsidRPr="0003611C" w:rsidRDefault="003C4536" w:rsidP="003C4536">
                      <w:pPr>
                        <w:ind w:left="720"/>
                        <w:rPr>
                          <w:color w:val="000000"/>
                          <w:sz w:val="22"/>
                          <w:szCs w:val="22"/>
                        </w:rPr>
                      </w:pPr>
                      <w:r w:rsidRPr="0003611C">
                        <w:rPr>
                          <w:color w:val="000000"/>
                          <w:sz w:val="22"/>
                          <w:szCs w:val="22"/>
                        </w:rPr>
                        <w:t>Phase</w:t>
                      </w:r>
                      <w:r w:rsidRPr="0003611C">
                        <w:rPr>
                          <w:rFonts w:asciiTheme="minorHAnsi" w:hAnsiTheme="minorHAnsi"/>
                          <w:color w:val="000000"/>
                          <w:sz w:val="22"/>
                          <w:szCs w:val="22"/>
                        </w:rPr>
                        <w:t xml:space="preserve"> 1 &amp; 2—Reasons for exclusion</w:t>
                      </w:r>
                    </w:p>
                    <w:p w14:paraId="4BBF1CB8" w14:textId="77777777" w:rsidR="003C4536" w:rsidRPr="0003611C" w:rsidRDefault="003C4536" w:rsidP="003C4536">
                      <w:pPr>
                        <w:pStyle w:val="ListParagraph"/>
                        <w:numPr>
                          <w:ilvl w:val="0"/>
                          <w:numId w:val="75"/>
                        </w:numPr>
                        <w:spacing w:after="160" w:line="259" w:lineRule="auto"/>
                        <w:ind w:left="360"/>
                        <w:rPr>
                          <w:color w:val="000000"/>
                          <w:sz w:val="22"/>
                          <w:szCs w:val="22"/>
                        </w:rPr>
                      </w:pPr>
                      <w:r w:rsidRPr="0003611C">
                        <w:rPr>
                          <w:color w:val="000000"/>
                          <w:sz w:val="22"/>
                          <w:szCs w:val="22"/>
                        </w:rPr>
                        <w:t>Eligibility mismatch: poor quality; not about lived experiences/perceptions/narratives of chronic pain or chronic illness; not related to transdisciplinary science  </w:t>
                      </w:r>
                    </w:p>
                    <w:p w14:paraId="7DBDAC76" w14:textId="77777777" w:rsidR="003C4536" w:rsidRPr="0003611C" w:rsidRDefault="003C4536" w:rsidP="003C4536">
                      <w:pPr>
                        <w:pStyle w:val="ListParagraph"/>
                        <w:ind w:left="360"/>
                        <w:rPr>
                          <w:color w:val="000000"/>
                          <w:sz w:val="22"/>
                          <w:szCs w:val="22"/>
                        </w:rPr>
                      </w:pPr>
                    </w:p>
                    <w:p w14:paraId="708E211A" w14:textId="77777777" w:rsidR="003C4536" w:rsidRPr="0003611C" w:rsidRDefault="003C4536" w:rsidP="003C4536">
                      <w:pPr>
                        <w:pStyle w:val="ListParagraph"/>
                        <w:numPr>
                          <w:ilvl w:val="0"/>
                          <w:numId w:val="75"/>
                        </w:numPr>
                        <w:spacing w:after="160" w:line="259" w:lineRule="auto"/>
                        <w:ind w:left="360"/>
                        <w:rPr>
                          <w:color w:val="000000"/>
                          <w:sz w:val="22"/>
                          <w:szCs w:val="22"/>
                        </w:rPr>
                      </w:pPr>
                      <w:r>
                        <w:rPr>
                          <w:color w:val="000000"/>
                        </w:rPr>
                        <w:t xml:space="preserve">Publication type: </w:t>
                      </w:r>
                      <w:r w:rsidRPr="0003611C">
                        <w:rPr>
                          <w:color w:val="000000"/>
                          <w:sz w:val="22"/>
                          <w:szCs w:val="22"/>
                        </w:rPr>
                        <w:t>Conference abstracts/dissertations/book chapters/non–peer reviewed sources  </w:t>
                      </w:r>
                    </w:p>
                    <w:p w14:paraId="1798D490" w14:textId="77777777" w:rsidR="003C4536" w:rsidRPr="0003611C" w:rsidRDefault="003C4536" w:rsidP="003C4536">
                      <w:pPr>
                        <w:pStyle w:val="ListParagraph"/>
                        <w:ind w:left="360"/>
                        <w:rPr>
                          <w:color w:val="000000"/>
                          <w:sz w:val="22"/>
                          <w:szCs w:val="22"/>
                        </w:rPr>
                      </w:pPr>
                    </w:p>
                    <w:p w14:paraId="5D1F645D" w14:textId="77777777" w:rsidR="003C4536" w:rsidRPr="0003611C" w:rsidRDefault="003C4536" w:rsidP="003C4536">
                      <w:pPr>
                        <w:pStyle w:val="ListParagraph"/>
                        <w:numPr>
                          <w:ilvl w:val="0"/>
                          <w:numId w:val="75"/>
                        </w:numPr>
                        <w:spacing w:after="160" w:line="259" w:lineRule="auto"/>
                        <w:ind w:left="360"/>
                        <w:rPr>
                          <w:color w:val="000000"/>
                          <w:sz w:val="22"/>
                          <w:szCs w:val="22"/>
                        </w:rPr>
                      </w:pPr>
                      <w:r w:rsidRPr="0003611C">
                        <w:rPr>
                          <w:color w:val="000000"/>
                          <w:sz w:val="22"/>
                          <w:szCs w:val="22"/>
                        </w:rPr>
                        <w:t>Publication</w:t>
                      </w:r>
                      <w:r>
                        <w:rPr>
                          <w:color w:val="000000"/>
                        </w:rPr>
                        <w:t xml:space="preserve"> </w:t>
                      </w:r>
                      <w:r w:rsidRPr="0003611C">
                        <w:rPr>
                          <w:color w:val="000000"/>
                          <w:sz w:val="22"/>
                          <w:szCs w:val="22"/>
                        </w:rPr>
                        <w:t>timing: outside 2009–2025</w:t>
                      </w:r>
                    </w:p>
                    <w:p w14:paraId="185A2BA3" w14:textId="77777777" w:rsidR="003C4536" w:rsidRPr="0003611C" w:rsidRDefault="003C4536" w:rsidP="003C4536">
                      <w:pPr>
                        <w:pStyle w:val="ListParagraph"/>
                        <w:ind w:left="360"/>
                        <w:rPr>
                          <w:color w:val="000000"/>
                          <w:sz w:val="22"/>
                          <w:szCs w:val="22"/>
                        </w:rPr>
                      </w:pPr>
                    </w:p>
                    <w:p w14:paraId="4444490E" w14:textId="383AAB34" w:rsidR="003C4536" w:rsidRPr="00732EED" w:rsidRDefault="003C4536" w:rsidP="003C4536">
                      <w:pPr>
                        <w:pStyle w:val="ListParagraph"/>
                        <w:numPr>
                          <w:ilvl w:val="0"/>
                          <w:numId w:val="75"/>
                        </w:numPr>
                        <w:spacing w:after="160" w:line="259" w:lineRule="auto"/>
                        <w:ind w:left="360"/>
                        <w:rPr>
                          <w:color w:val="000000"/>
                          <w:sz w:val="22"/>
                          <w:szCs w:val="22"/>
                        </w:rPr>
                      </w:pPr>
                      <w:r w:rsidRPr="0003611C">
                        <w:rPr>
                          <w:color w:val="000000"/>
                          <w:sz w:val="22"/>
                          <w:szCs w:val="22"/>
                        </w:rPr>
                        <w:t>Review fit: wrong population; wrong research design; wrong topic; wrong aim  </w:t>
                      </w:r>
                    </w:p>
                  </w:txbxContent>
                </v:textbox>
                <w10:wrap anchorx="margin"/>
              </v:rect>
            </w:pict>
          </mc:Fallback>
        </mc:AlternateContent>
      </w:r>
      <w:r w:rsidR="003C4536" w:rsidRPr="00C97196">
        <w:rPr>
          <w:rFonts w:eastAsia="Calibri" w:cstheme="minorHAnsi"/>
          <w:noProof/>
        </w:rPr>
        <mc:AlternateContent>
          <mc:Choice Requires="wps">
            <w:drawing>
              <wp:anchor distT="0" distB="0" distL="0" distR="0" simplePos="0" relativeHeight="251665408" behindDoc="0" locked="0" layoutInCell="1" allowOverlap="1" wp14:anchorId="7B1DEF42" wp14:editId="5C17AF8F">
                <wp:simplePos x="0" y="0"/>
                <wp:positionH relativeFrom="column">
                  <wp:posOffset>-319406</wp:posOffset>
                </wp:positionH>
                <wp:positionV relativeFrom="paragraph">
                  <wp:posOffset>396199</wp:posOffset>
                </wp:positionV>
                <wp:extent cx="438150" cy="1346200"/>
                <wp:effectExtent l="6350" t="6350" r="12700" b="6350"/>
                <wp:wrapNone/>
                <wp:docPr id="103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438150" cy="1346200"/>
                        </a:xfrm>
                        <a:prstGeom prst="roundRect">
                          <a:avLst/>
                        </a:prstGeom>
                        <a:solidFill>
                          <a:srgbClr val="5B9BD5"/>
                        </a:solidFill>
                        <a:ln w="12700" cap="flat" cmpd="sng">
                          <a:solidFill>
                            <a:srgbClr val="2E75B5"/>
                          </a:solidFill>
                          <a:prstDash val="solid"/>
                          <a:miter/>
                          <a:headEnd type="none" w="med" len="med"/>
                          <a:tailEnd type="none" w="med" len="med"/>
                        </a:ln>
                      </wps:spPr>
                      <wps:txbx>
                        <w:txbxContent>
                          <w:p w14:paraId="0AB365A5" w14:textId="77777777" w:rsidR="003C4536" w:rsidRDefault="003C4536" w:rsidP="003C4536">
                            <w:pPr>
                              <w:jc w:val="center"/>
                              <w:rPr>
                                <w:b/>
                                <w:bCs/>
                              </w:rPr>
                            </w:pPr>
                            <w:r>
                              <w:rPr>
                                <w:b/>
                                <w:bCs/>
                              </w:rPr>
                              <w:t>Eligibility</w:t>
                            </w:r>
                          </w:p>
                          <w:p w14:paraId="1F4F3054" w14:textId="77777777" w:rsidR="003C4536" w:rsidRDefault="003C4536" w:rsidP="003C4536">
                            <w:pPr>
                              <w:jc w:val="center"/>
                              <w:rPr>
                                <w:b/>
                                <w:bCs/>
                              </w:rPr>
                            </w:pPr>
                          </w:p>
                        </w:txbxContent>
                      </wps:txbx>
                      <wps:bodyPr vert="eaVert" wrap="square" lIns="91440" tIns="45720" rIns="91440" bIns="45720" anchor="ctr">
                        <a:prstTxWarp prst="textNoShape">
                          <a:avLst/>
                        </a:prstTxWarp>
                        <a:noAutofit/>
                      </wps:bodyPr>
                    </wps:wsp>
                  </a:graphicData>
                </a:graphic>
              </wp:anchor>
            </w:drawing>
          </mc:Choice>
          <mc:Fallback>
            <w:pict>
              <v:roundrect w14:anchorId="7B1DEF42" id="Rounded Rectangle 14" o:spid="_x0000_s1038" style="position:absolute;margin-left:-25.15pt;margin-top:31.2pt;width:34.5pt;height:106pt;rotation:180;z-index:251665408;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" fillcolor="#5b9bd5" strokecolor="#2e75b5" strokeweight="1pt">
                <v:stroke joinstyle="miter"/>
                <v:path arrowok="t"/>
                <v:textbox style="layout-flow:vertical-ideographic">
                  <w:txbxContent>
                    <w:p w14:paraId="0AB365A5" w14:textId="77777777" w:rsidR="003C4536" w:rsidRDefault="003C4536" w:rsidP="003C4536">
                      <w:pPr>
                        <w:jc w:val="center"/>
                        <w:rPr>
                          <w:b/>
                          <w:bCs/>
                        </w:rPr>
                      </w:pPr>
                      <w:r>
                        <w:rPr>
                          <w:b/>
                          <w:bCs/>
                        </w:rPr>
                        <w:t>Eligibility</w:t>
                      </w:r>
                    </w:p>
                    <w:p w14:paraId="1F4F3054" w14:textId="77777777" w:rsidR="003C4536" w:rsidRDefault="003C4536" w:rsidP="003C4536">
                      <w:pPr>
                        <w:jc w:val="center"/>
                        <w:rPr>
                          <w:b/>
                          <w:bCs/>
                        </w:rPr>
                      </w:pPr>
                    </w:p>
                  </w:txbxContent>
                </v:textbox>
              </v:roundrect>
            </w:pict>
          </mc:Fallback>
        </mc:AlternateContent>
      </w:r>
    </w:p>
    <w:p w14:paraId="18035386" w14:textId="1FCD96C3" w:rsidR="003C4536" w:rsidRPr="00C97196" w:rsidRDefault="00135FE3"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75648" behindDoc="0" locked="0" layoutInCell="1" allowOverlap="1" wp14:anchorId="6972FC99" wp14:editId="072E836C">
                <wp:simplePos x="0" y="0"/>
                <wp:positionH relativeFrom="column">
                  <wp:posOffset>471805</wp:posOffset>
                </wp:positionH>
                <wp:positionV relativeFrom="paragraph">
                  <wp:posOffset>250339</wp:posOffset>
                </wp:positionV>
                <wp:extent cx="2075815" cy="436880"/>
                <wp:effectExtent l="0" t="0" r="6985" b="7620"/>
                <wp:wrapNone/>
                <wp:docPr id="1033" name="Rectangle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5815" cy="436880"/>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3BFDC1A2" w14:textId="77777777" w:rsidR="003C4536" w:rsidRDefault="003C4536" w:rsidP="003C4536">
                            <w:pPr>
                              <w:jc w:val="center"/>
                            </w:pPr>
                            <w:r w:rsidRPr="00DC7129">
                              <w:rPr>
                                <w:bCs/>
                              </w:rPr>
                              <w:t>(</w:t>
                            </w:r>
                            <w:r w:rsidRPr="00DC7129">
                              <w:rPr>
                                <w:b/>
                              </w:rPr>
                              <w:t>n=</w:t>
                            </w:r>
                            <w:r>
                              <w:rPr>
                                <w:b/>
                              </w:rPr>
                              <w:t>277</w:t>
                            </w:r>
                            <w:r w:rsidRPr="00DC7129">
                              <w:rPr>
                                <w:bCs/>
                              </w:rPr>
                              <w:t>)</w:t>
                            </w:r>
                            <w:r w:rsidRPr="00DC7129">
                              <w:t> full-text studies</w:t>
                            </w:r>
                            <w:r>
                              <w:t xml:space="preserve"> assessed for eligibility</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w14:anchorId="6972FC99" id="_x0000_s1039" style="position:absolute;margin-left:37.15pt;margin-top:19.7pt;width:163.45pt;height:34.4pt;z-index:251675648;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" strokecolor="#2f5496" strokeweight="1pt">
                <v:path arrowok="t"/>
                <v:textbox>
                  <w:txbxContent>
                    <w:p w14:paraId="3BFDC1A2" w14:textId="77777777" w:rsidR="003C4536" w:rsidRDefault="003C4536" w:rsidP="003C4536">
                      <w:pPr>
                        <w:jc w:val="center"/>
                      </w:pPr>
                      <w:r w:rsidRPr="00DC7129">
                        <w:rPr>
                          <w:bCs/>
                        </w:rPr>
                        <w:t>(</w:t>
                      </w:r>
                      <w:r w:rsidRPr="00DC7129">
                        <w:rPr>
                          <w:b/>
                        </w:rPr>
                        <w:t>n=</w:t>
                      </w:r>
                      <w:r>
                        <w:rPr>
                          <w:b/>
                        </w:rPr>
                        <w:t>277</w:t>
                      </w:r>
                      <w:r w:rsidRPr="00DC7129">
                        <w:rPr>
                          <w:bCs/>
                        </w:rPr>
                        <w:t>)</w:t>
                      </w:r>
                      <w:r w:rsidRPr="00DC7129">
                        <w:t> full-text studies</w:t>
                      </w:r>
                      <w:r>
                        <w:t xml:space="preserve"> assessed for eligibility</w:t>
                      </w:r>
                    </w:p>
                  </w:txbxContent>
                </v:textbox>
              </v:rect>
            </w:pict>
          </mc:Fallback>
        </mc:AlternateContent>
      </w:r>
    </w:p>
    <w:p w14:paraId="52A7F274" w14:textId="2D1D8597" w:rsidR="003C4536" w:rsidRPr="00C97196" w:rsidRDefault="00135FE3"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77696" behindDoc="0" locked="0" layoutInCell="1" allowOverlap="1" wp14:anchorId="7AAF3FC1" wp14:editId="572C9F1E">
                <wp:simplePos x="0" y="0"/>
                <wp:positionH relativeFrom="column">
                  <wp:posOffset>2627954</wp:posOffset>
                </wp:positionH>
                <wp:positionV relativeFrom="paragraph">
                  <wp:posOffset>123122</wp:posOffset>
                </wp:positionV>
                <wp:extent cx="729615" cy="9525"/>
                <wp:effectExtent l="0" t="76200" r="13334" b="104775"/>
                <wp:wrapNone/>
                <wp:docPr id="1032"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9615" cy="9525"/>
                        </a:xfrm>
                        <a:prstGeom prst="straightConnector1">
                          <a:avLst/>
                        </a:prstGeom>
                        <a:ln w="12700" cap="flat" cmpd="sng">
                          <a:solidFill>
                            <a:srgbClr val="5B9BD5"/>
                          </a:solidFill>
                          <a:prstDash val="solid"/>
                          <a:miter/>
                          <a:headEnd type="none" w="med" len="med"/>
                          <a:tailEnd type="arrow" w="med" len="med"/>
                        </a:ln>
                      </wps:spPr>
                      <wps:bodyPr/>
                    </wps:wsp>
                  </a:graphicData>
                </a:graphic>
              </wp:anchor>
            </w:drawing>
          </mc:Choice>
          <mc:Fallback xmlns:w16sdtfl="http://schemas.microsoft.com/office/word/2024/wordml/sdtformatlock">
            <w:pict>
              <v:shape w14:anchorId="0F45F0B9" id="Straight Arrow Connector 6" o:spid="_x0000_s1026" type="#_x0000_t32" style="position:absolute;margin-left:206.95pt;margin-top:9.7pt;width:57.45pt;height:.75pt;flip:y;z-index:2516776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" strokecolor="#5b9bd5" strokeweight="1pt">
                <v:stroke endarrow="open" joinstyle="miter"/>
                <o:lock v:ext="edit" shapetype="f"/>
              </v:shape>
            </w:pict>
          </mc:Fallback>
        </mc:AlternateContent>
      </w:r>
    </w:p>
    <w:p w14:paraId="100D1D84" w14:textId="0ECF5BB2" w:rsidR="003C4536" w:rsidRPr="00C97196" w:rsidRDefault="00135FE3" w:rsidP="003C4536">
      <w:pPr>
        <w:spacing w:line="480" w:lineRule="auto"/>
        <w:rPr>
          <w:rFonts w:eastAsia="Calibri" w:cstheme="minorHAnsi"/>
        </w:rPr>
      </w:pPr>
      <w:r w:rsidRPr="00C97196">
        <w:rPr>
          <w:rFonts w:eastAsia="Calibri" w:cstheme="minorHAnsi"/>
          <w:noProof/>
        </w:rPr>
        <mc:AlternateContent>
          <mc:Choice Requires="wps">
            <w:drawing>
              <wp:anchor distT="0" distB="0" distL="0" distR="0" simplePos="0" relativeHeight="251691008" behindDoc="0" locked="0" layoutInCell="1" allowOverlap="1" wp14:anchorId="6F4428B0" wp14:editId="6FE26B67">
                <wp:simplePos x="0" y="0"/>
                <wp:positionH relativeFrom="column">
                  <wp:posOffset>2601595</wp:posOffset>
                </wp:positionH>
                <wp:positionV relativeFrom="paragraph">
                  <wp:posOffset>338604</wp:posOffset>
                </wp:positionV>
                <wp:extent cx="729615" cy="9525"/>
                <wp:effectExtent l="0" t="76200" r="13334" b="104775"/>
                <wp:wrapNone/>
                <wp:docPr id="813999931"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9615" cy="9525"/>
                        </a:xfrm>
                        <a:prstGeom prst="straightConnector1">
                          <a:avLst/>
                        </a:prstGeom>
                        <a:ln w="12700" cap="flat" cmpd="sng">
                          <a:solidFill>
                            <a:srgbClr val="5B9BD5"/>
                          </a:solidFill>
                          <a:prstDash val="solid"/>
                          <a:miter/>
                          <a:headEnd type="none" w="med" len="med"/>
                          <a:tailEnd type="arrow" w="med" len="med"/>
                        </a:ln>
                      </wps:spPr>
                      <wps:bodyPr/>
                    </wps:wsp>
                  </a:graphicData>
                </a:graphic>
              </wp:anchor>
            </w:drawing>
          </mc:Choice>
          <mc:Fallback xmlns:w16sdtfl="http://schemas.microsoft.com/office/word/2024/wordml/sdtformatlock">
            <w:pict>
              <v:shape w14:anchorId="6356DAB0" id="Straight Arrow Connector 6" o:spid="_x0000_s1026" type="#_x0000_t32" style="position:absolute;margin-left:204.85pt;margin-top:26.65pt;width:57.45pt;height:.75pt;flip:y;z-index:2516910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" strokecolor="#5b9bd5" strokeweight="1pt">
                <v:stroke endarrow="open" joinstyle="miter"/>
                <o:lock v:ext="edit" shapetype="f"/>
              </v:shape>
            </w:pict>
          </mc:Fallback>
        </mc:AlternateContent>
      </w:r>
      <w:r w:rsidRPr="00C97196">
        <w:rPr>
          <w:rFonts w:eastAsia="Calibri" w:cstheme="minorHAnsi"/>
          <w:noProof/>
        </w:rPr>
        <mc:AlternateContent>
          <mc:Choice Requires="wps">
            <w:drawing>
              <wp:anchor distT="0" distB="0" distL="0" distR="0" simplePos="0" relativeHeight="251687936" behindDoc="0" locked="0" layoutInCell="1" allowOverlap="1" wp14:anchorId="69BED96D" wp14:editId="336EB957">
                <wp:simplePos x="0" y="0"/>
                <wp:positionH relativeFrom="column">
                  <wp:posOffset>479425</wp:posOffset>
                </wp:positionH>
                <wp:positionV relativeFrom="paragraph">
                  <wp:posOffset>115786</wp:posOffset>
                </wp:positionV>
                <wp:extent cx="2075815" cy="436880"/>
                <wp:effectExtent l="0" t="0" r="6985" b="7620"/>
                <wp:wrapNone/>
                <wp:docPr id="2095757231" name="Rectangle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5815" cy="436880"/>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6CEC4C26" w14:textId="77777777" w:rsidR="003C4536" w:rsidRDefault="003C4536" w:rsidP="003C4536">
                            <w:pPr>
                              <w:jc w:val="center"/>
                            </w:pPr>
                            <w:r w:rsidRPr="00DC7129">
                              <w:rPr>
                                <w:bCs/>
                              </w:rPr>
                              <w:t>(</w:t>
                            </w:r>
                            <w:r w:rsidRPr="00DC7129">
                              <w:rPr>
                                <w:b/>
                              </w:rPr>
                              <w:t>n=</w:t>
                            </w:r>
                            <w:r>
                              <w:rPr>
                                <w:b/>
                              </w:rPr>
                              <w:t>132</w:t>
                            </w:r>
                            <w:r w:rsidRPr="00DC7129">
                              <w:rPr>
                                <w:bCs/>
                              </w:rPr>
                              <w:t>)</w:t>
                            </w:r>
                            <w:r w:rsidRPr="00DC7129">
                              <w:t> full-text studies</w:t>
                            </w:r>
                            <w:r>
                              <w:t xml:space="preserve"> assessed for eligibility</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w14:anchorId="69BED96D" id="_x0000_s1040" style="position:absolute;margin-left:37.75pt;margin-top:9.1pt;width:163.45pt;height:34.4pt;z-index:25168793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" strokecolor="#2f5496" strokeweight="1pt">
                <v:path arrowok="t"/>
                <v:textbox>
                  <w:txbxContent>
                    <w:p w14:paraId="6CEC4C26" w14:textId="77777777" w:rsidR="003C4536" w:rsidRDefault="003C4536" w:rsidP="003C4536">
                      <w:pPr>
                        <w:jc w:val="center"/>
                      </w:pPr>
                      <w:r w:rsidRPr="00DC7129">
                        <w:rPr>
                          <w:bCs/>
                        </w:rPr>
                        <w:t>(</w:t>
                      </w:r>
                      <w:r w:rsidRPr="00DC7129">
                        <w:rPr>
                          <w:b/>
                        </w:rPr>
                        <w:t>n=</w:t>
                      </w:r>
                      <w:r>
                        <w:rPr>
                          <w:b/>
                        </w:rPr>
                        <w:t>132</w:t>
                      </w:r>
                      <w:r w:rsidRPr="00DC7129">
                        <w:rPr>
                          <w:bCs/>
                        </w:rPr>
                        <w:t>)</w:t>
                      </w:r>
                      <w:r w:rsidRPr="00DC7129">
                        <w:t> full-text studies</w:t>
                      </w:r>
                      <w:r>
                        <w:t xml:space="preserve"> assessed for eligibility</w:t>
                      </w:r>
                    </w:p>
                  </w:txbxContent>
                </v:textbox>
              </v:rect>
            </w:pict>
          </mc:Fallback>
        </mc:AlternateContent>
      </w:r>
    </w:p>
    <w:p w14:paraId="62320E78" w14:textId="69C07D4D" w:rsidR="003C4536" w:rsidRPr="00C97196" w:rsidRDefault="003C4536" w:rsidP="003C4536"/>
    <w:p w14:paraId="3E4771CE" w14:textId="437BC363" w:rsidR="007B3A46" w:rsidRPr="00F1431B" w:rsidRDefault="003C4536" w:rsidP="00F46C8C">
      <w:pPr>
        <w:spacing w:line="480" w:lineRule="auto"/>
        <w:rPr>
          <w:b/>
          <w:bCs/>
        </w:rPr>
      </w:pPr>
      <w:r w:rsidRPr="00C97196">
        <w:rPr>
          <w:rFonts w:eastAsia="Calibri" w:cstheme="minorHAnsi"/>
          <w:noProof/>
        </w:rPr>
        <mc:AlternateContent>
          <mc:Choice Requires="wps">
            <w:drawing>
              <wp:anchor distT="0" distB="0" distL="0" distR="0" simplePos="0" relativeHeight="251679744" behindDoc="0" locked="0" layoutInCell="1" allowOverlap="1" wp14:anchorId="230EB131" wp14:editId="6623984B">
                <wp:simplePos x="0" y="0"/>
                <wp:positionH relativeFrom="margin">
                  <wp:posOffset>1591945</wp:posOffset>
                </wp:positionH>
                <wp:positionV relativeFrom="paragraph">
                  <wp:posOffset>140767</wp:posOffset>
                </wp:positionV>
                <wp:extent cx="635" cy="734695"/>
                <wp:effectExtent l="76200" t="0" r="50165" b="40005"/>
                <wp:wrapNone/>
                <wp:docPr id="1027"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734695"/>
                        </a:xfrm>
                        <a:prstGeom prst="straightConnector1">
                          <a:avLst/>
                        </a:prstGeom>
                        <a:ln w="12700" cap="flat" cmpd="sng">
                          <a:solidFill>
                            <a:srgbClr val="5B9BD5"/>
                          </a:solidFill>
                          <a:prstDash val="solid"/>
                          <a:miter/>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61ABA01" id="Straight Arrow Connector 11" o:spid="_x0000_s1026" type="#_x0000_t32" style="position:absolute;margin-left:125.35pt;margin-top:11.1pt;width:.05pt;height:57.85pt;flip:x;z-index:2516797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" strokecolor="#5b9bd5" strokeweight="1pt">
                <v:stroke endarrow="open" joinstyle="miter"/>
                <o:lock v:ext="edit" shapetype="f"/>
                <w10:wrap anchorx="margin"/>
              </v:shape>
            </w:pict>
          </mc:Fallback>
        </mc:AlternateContent>
      </w:r>
    </w:p>
    <w:p w14:paraId="615E2F53" w14:textId="097118E5" w:rsidR="000C6ADF" w:rsidRPr="00F1431B" w:rsidRDefault="003C4536" w:rsidP="00F46C8C">
      <w:pPr>
        <w:spacing w:line="480" w:lineRule="auto"/>
        <w:rPr>
          <w:b/>
          <w:bCs/>
        </w:rPr>
      </w:pPr>
      <w:r w:rsidRPr="00C97196">
        <w:rPr>
          <w:rFonts w:eastAsia="Calibri" w:cstheme="minorHAnsi"/>
          <w:noProof/>
        </w:rPr>
        <mc:AlternateContent>
          <mc:Choice Requires="wps">
            <w:drawing>
              <wp:anchor distT="0" distB="0" distL="0" distR="0" simplePos="0" relativeHeight="251674624" behindDoc="0" locked="0" layoutInCell="1" allowOverlap="1" wp14:anchorId="7A3BEF6F" wp14:editId="6A841E26">
                <wp:simplePos x="0" y="0"/>
                <wp:positionH relativeFrom="column">
                  <wp:posOffset>-259851</wp:posOffset>
                </wp:positionH>
                <wp:positionV relativeFrom="paragraph">
                  <wp:posOffset>385837</wp:posOffset>
                </wp:positionV>
                <wp:extent cx="438150" cy="1346200"/>
                <wp:effectExtent l="6350" t="6350" r="12700" b="6350"/>
                <wp:wrapNone/>
                <wp:docPr id="1036"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438150" cy="1346200"/>
                        </a:xfrm>
                        <a:prstGeom prst="roundRect">
                          <a:avLst/>
                        </a:prstGeom>
                        <a:solidFill>
                          <a:srgbClr val="5B9BD5"/>
                        </a:solidFill>
                        <a:ln w="12700" cap="flat" cmpd="sng">
                          <a:solidFill>
                            <a:srgbClr val="2E75B5"/>
                          </a:solidFill>
                          <a:prstDash val="solid"/>
                          <a:miter/>
                          <a:headEnd type="none" w="med" len="med"/>
                          <a:tailEnd type="none" w="med" len="med"/>
                        </a:ln>
                      </wps:spPr>
                      <wps:txbx>
                        <w:txbxContent>
                          <w:p w14:paraId="1E7FF597" w14:textId="77777777" w:rsidR="003C4536" w:rsidRDefault="003C4536" w:rsidP="003C4536">
                            <w:pPr>
                              <w:jc w:val="center"/>
                              <w:rPr>
                                <w:b/>
                                <w:bCs/>
                              </w:rPr>
                            </w:pPr>
                            <w:r>
                              <w:rPr>
                                <w:b/>
                                <w:bCs/>
                              </w:rPr>
                              <w:t>Included</w:t>
                            </w:r>
                          </w:p>
                        </w:txbxContent>
                      </wps:txbx>
                      <wps:bodyPr vert="eaVert" wrap="square" lIns="91440" tIns="45720" rIns="91440" bIns="45720" anchor="ctr">
                        <a:prstTxWarp prst="textNoShape">
                          <a:avLst/>
                        </a:prstTxWarp>
                        <a:noAutofit/>
                      </wps:bodyPr>
                    </wps:wsp>
                  </a:graphicData>
                </a:graphic>
              </wp:anchor>
            </w:drawing>
          </mc:Choice>
          <mc:Fallback>
            <w:pict>
              <v:roundrect w14:anchorId="7A3BEF6F" id="_x0000_s1041" style="position:absolute;margin-left:-20.45pt;margin-top:30.4pt;width:34.5pt;height:106pt;rotation:180;z-index:251674624;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" fillcolor="#5b9bd5" strokecolor="#2e75b5" strokeweight="1pt">
                <v:stroke joinstyle="miter"/>
                <v:path arrowok="t"/>
                <v:textbox style="layout-flow:vertical-ideographic">
                  <w:txbxContent>
                    <w:p w14:paraId="1E7FF597" w14:textId="77777777" w:rsidR="003C4536" w:rsidRDefault="003C4536" w:rsidP="003C4536">
                      <w:pPr>
                        <w:jc w:val="center"/>
                        <w:rPr>
                          <w:b/>
                          <w:bCs/>
                        </w:rPr>
                      </w:pPr>
                      <w:r>
                        <w:rPr>
                          <w:b/>
                          <w:bCs/>
                        </w:rPr>
                        <w:t>Included</w:t>
                      </w:r>
                    </w:p>
                  </w:txbxContent>
                </v:textbox>
              </v:roundrect>
            </w:pict>
          </mc:Fallback>
        </mc:AlternateContent>
      </w:r>
    </w:p>
    <w:p w14:paraId="7B69046D" w14:textId="52D4C32F" w:rsidR="0028110E" w:rsidRPr="00F1431B" w:rsidRDefault="003C4536">
      <w:pPr>
        <w:rPr>
          <w:b/>
          <w:bCs/>
        </w:rPr>
      </w:pPr>
      <w:r w:rsidRPr="00C97196">
        <w:rPr>
          <w:rFonts w:eastAsia="Calibri" w:cstheme="minorHAnsi"/>
          <w:noProof/>
        </w:rPr>
        <mc:AlternateContent>
          <mc:Choice Requires="wps">
            <w:drawing>
              <wp:anchor distT="0" distB="0" distL="0" distR="0" simplePos="0" relativeHeight="251673600" behindDoc="0" locked="0" layoutInCell="1" allowOverlap="1" wp14:anchorId="5A3D01B2" wp14:editId="50407018">
                <wp:simplePos x="0" y="0"/>
                <wp:positionH relativeFrom="column">
                  <wp:posOffset>474034</wp:posOffset>
                </wp:positionH>
                <wp:positionV relativeFrom="paragraph">
                  <wp:posOffset>213779</wp:posOffset>
                </wp:positionV>
                <wp:extent cx="2075815" cy="518160"/>
                <wp:effectExtent l="0" t="0" r="6985" b="15240"/>
                <wp:wrapNone/>
                <wp:docPr id="1035" name="Rectangle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5815" cy="518160"/>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632428DA" w14:textId="77777777" w:rsidR="003C4536" w:rsidRPr="00AE3703" w:rsidRDefault="003C4536" w:rsidP="003C4536">
                            <w:pPr>
                              <w:jc w:val="center"/>
                              <w:rPr>
                                <w:rFonts w:cs="Times New Roman (Body CS)"/>
                              </w:rPr>
                            </w:pPr>
                            <w:r w:rsidRPr="00AE3703">
                              <w:rPr>
                                <w:rFonts w:cs="Times New Roman (Body CS)"/>
                                <w:b/>
                                <w:bCs/>
                                <w:color w:val="000000"/>
                              </w:rPr>
                              <w:t>(n=</w:t>
                            </w:r>
                            <w:r>
                              <w:rPr>
                                <w:rFonts w:cs="Times New Roman (Body CS)"/>
                                <w:b/>
                                <w:bCs/>
                                <w:color w:val="000000"/>
                              </w:rPr>
                              <w:t>94</w:t>
                            </w:r>
                            <w:r w:rsidRPr="00AE3703">
                              <w:rPr>
                                <w:rFonts w:cs="Times New Roman (Body CS)"/>
                                <w:b/>
                                <w:bCs/>
                                <w:color w:val="000000"/>
                              </w:rPr>
                              <w:t>)</w:t>
                            </w:r>
                            <w:r w:rsidRPr="00AE3703">
                              <w:rPr>
                                <w:rFonts w:cs="Times New Roman (Body CS)"/>
                                <w:color w:val="000000"/>
                              </w:rPr>
                              <w:t> studies included in hermeneutic phenomenology</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w14:anchorId="5A3D01B2" id="_x0000_s1042" style="position:absolute;margin-left:37.35pt;margin-top:16.85pt;width:163.45pt;height:40.8pt;z-index:25167360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" strokecolor="#2f5496" strokeweight="1pt">
                <v:path arrowok="t"/>
                <v:textbox>
                  <w:txbxContent>
                    <w:p w14:paraId="632428DA" w14:textId="77777777" w:rsidR="003C4536" w:rsidRPr="00AE3703" w:rsidRDefault="003C4536" w:rsidP="003C4536">
                      <w:pPr>
                        <w:jc w:val="center"/>
                        <w:rPr>
                          <w:rFonts w:cs="Times New Roman (Body CS)"/>
                        </w:rPr>
                      </w:pPr>
                      <w:r w:rsidRPr="00AE3703">
                        <w:rPr>
                          <w:rFonts w:cs="Times New Roman (Body CS)"/>
                          <w:b/>
                          <w:bCs/>
                          <w:color w:val="000000"/>
                        </w:rPr>
                        <w:t>(n=</w:t>
                      </w:r>
                      <w:r>
                        <w:rPr>
                          <w:rFonts w:cs="Times New Roman (Body CS)"/>
                          <w:b/>
                          <w:bCs/>
                          <w:color w:val="000000"/>
                        </w:rPr>
                        <w:t>94</w:t>
                      </w:r>
                      <w:r w:rsidRPr="00AE3703">
                        <w:rPr>
                          <w:rFonts w:cs="Times New Roman (Body CS)"/>
                          <w:b/>
                          <w:bCs/>
                          <w:color w:val="000000"/>
                        </w:rPr>
                        <w:t>)</w:t>
                      </w:r>
                      <w:r w:rsidRPr="00AE3703">
                        <w:rPr>
                          <w:rFonts w:cs="Times New Roman (Body CS)"/>
                          <w:color w:val="000000"/>
                        </w:rPr>
                        <w:t> studies included in hermeneutic phenomenology</w:t>
                      </w:r>
                    </w:p>
                  </w:txbxContent>
                </v:textbox>
              </v:rect>
            </w:pict>
          </mc:Fallback>
        </mc:AlternateContent>
      </w:r>
      <w:r w:rsidRPr="00C97196">
        <w:rPr>
          <w:rFonts w:eastAsia="Calibri" w:cstheme="minorHAnsi"/>
          <w:noProof/>
        </w:rPr>
        <mc:AlternateContent>
          <mc:Choice Requires="wps">
            <w:drawing>
              <wp:anchor distT="0" distB="0" distL="0" distR="0" simplePos="0" relativeHeight="251680768" behindDoc="0" locked="0" layoutInCell="1" allowOverlap="1" wp14:anchorId="66107B2A" wp14:editId="6756DFA8">
                <wp:simplePos x="0" y="0"/>
                <wp:positionH relativeFrom="column">
                  <wp:posOffset>475615</wp:posOffset>
                </wp:positionH>
                <wp:positionV relativeFrom="paragraph">
                  <wp:posOffset>868572</wp:posOffset>
                </wp:positionV>
                <wp:extent cx="2075815" cy="518160"/>
                <wp:effectExtent l="0" t="0" r="6985" b="15240"/>
                <wp:wrapNone/>
                <wp:docPr id="1307662962" name="Rectangle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5815" cy="518160"/>
                        </a:xfrm>
                        <a:prstGeom prst="rect">
                          <a:avLst/>
                        </a:prstGeom>
                        <a:solidFill>
                          <a:srgbClr val="FFFFFF"/>
                        </a:solidFill>
                        <a:ln w="12700" cap="flat" cmpd="sng">
                          <a:solidFill>
                            <a:srgbClr val="2F5496"/>
                          </a:solidFill>
                          <a:prstDash val="solid"/>
                          <a:miter/>
                          <a:headEnd type="none" w="med" len="med"/>
                          <a:tailEnd type="none" w="med" len="med"/>
                        </a:ln>
                      </wps:spPr>
                      <wps:txbx>
                        <w:txbxContent>
                          <w:p w14:paraId="6B212B27" w14:textId="77777777" w:rsidR="003C4536" w:rsidRPr="00AE3703" w:rsidRDefault="003C4536" w:rsidP="003C4536">
                            <w:pPr>
                              <w:jc w:val="center"/>
                              <w:rPr>
                                <w:rFonts w:cs="Times New Roman (Body CS)"/>
                              </w:rPr>
                            </w:pPr>
                            <w:r w:rsidRPr="00AE3703">
                              <w:rPr>
                                <w:rFonts w:cs="Times New Roman (Body CS)"/>
                                <w:b/>
                                <w:bCs/>
                                <w:color w:val="000000"/>
                              </w:rPr>
                              <w:t>(n=</w:t>
                            </w:r>
                            <w:r>
                              <w:rPr>
                                <w:rFonts w:cs="Times New Roman (Body CS)"/>
                                <w:b/>
                                <w:bCs/>
                                <w:color w:val="000000"/>
                              </w:rPr>
                              <w:t>64</w:t>
                            </w:r>
                            <w:r w:rsidRPr="00AE3703">
                              <w:rPr>
                                <w:rFonts w:cs="Times New Roman (Body CS)"/>
                                <w:b/>
                                <w:bCs/>
                                <w:color w:val="000000"/>
                              </w:rPr>
                              <w:t>)</w:t>
                            </w:r>
                            <w:r w:rsidRPr="00AE3703">
                              <w:rPr>
                                <w:rFonts w:cs="Times New Roman (Body CS)"/>
                                <w:color w:val="000000"/>
                              </w:rPr>
                              <w:t xml:space="preserve"> studies included in </w:t>
                            </w:r>
                            <w:r>
                              <w:rPr>
                                <w:rFonts w:cs="Times New Roman (Body CS)"/>
                                <w:color w:val="000000"/>
                              </w:rPr>
                              <w:t>transdisciplinary analysis</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w14:anchorId="66107B2A" id="_x0000_s1043" style="position:absolute;margin-left:37.45pt;margin-top:68.4pt;width:163.45pt;height:40.8pt;z-index:251680768;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" strokecolor="#2f5496" strokeweight="1pt">
                <v:path arrowok="t"/>
                <v:textbox>
                  <w:txbxContent>
                    <w:p w14:paraId="6B212B27" w14:textId="77777777" w:rsidR="003C4536" w:rsidRPr="00AE3703" w:rsidRDefault="003C4536" w:rsidP="003C4536">
                      <w:pPr>
                        <w:jc w:val="center"/>
                        <w:rPr>
                          <w:rFonts w:cs="Times New Roman (Body CS)"/>
                        </w:rPr>
                      </w:pPr>
                      <w:r w:rsidRPr="00AE3703">
                        <w:rPr>
                          <w:rFonts w:cs="Times New Roman (Body CS)"/>
                          <w:b/>
                          <w:bCs/>
                          <w:color w:val="000000"/>
                        </w:rPr>
                        <w:t>(n=</w:t>
                      </w:r>
                      <w:r>
                        <w:rPr>
                          <w:rFonts w:cs="Times New Roman (Body CS)"/>
                          <w:b/>
                          <w:bCs/>
                          <w:color w:val="000000"/>
                        </w:rPr>
                        <w:t>64</w:t>
                      </w:r>
                      <w:r w:rsidRPr="00AE3703">
                        <w:rPr>
                          <w:rFonts w:cs="Times New Roman (Body CS)"/>
                          <w:b/>
                          <w:bCs/>
                          <w:color w:val="000000"/>
                        </w:rPr>
                        <w:t>)</w:t>
                      </w:r>
                      <w:r w:rsidRPr="00AE3703">
                        <w:rPr>
                          <w:rFonts w:cs="Times New Roman (Body CS)"/>
                          <w:color w:val="000000"/>
                        </w:rPr>
                        <w:t xml:space="preserve"> studies included in </w:t>
                      </w:r>
                      <w:r>
                        <w:rPr>
                          <w:rFonts w:cs="Times New Roman (Body CS)"/>
                          <w:color w:val="000000"/>
                        </w:rPr>
                        <w:t>transdisciplinary analysis</w:t>
                      </w:r>
                    </w:p>
                  </w:txbxContent>
                </v:textbox>
              </v:rect>
            </w:pict>
          </mc:Fallback>
        </mc:AlternateContent>
      </w:r>
      <w:r w:rsidR="0028110E" w:rsidRPr="00F1431B">
        <w:rPr>
          <w:b/>
          <w:bCs/>
        </w:rPr>
        <w:br w:type="page"/>
      </w:r>
    </w:p>
    <w:p w14:paraId="68DB7714" w14:textId="08545F7D" w:rsidR="00AB1A6B" w:rsidRPr="00F1431B" w:rsidRDefault="00BB0944" w:rsidP="00193027">
      <w:pPr>
        <w:jc w:val="center"/>
      </w:pPr>
      <w:r w:rsidRPr="00F1431B">
        <w:rPr>
          <w:noProof/>
          <w:lang w:eastAsia="ja-JP" w:bidi="he-IL"/>
        </w:rPr>
        <w:lastRenderedPageBreak/>
        <mc:AlternateContent>
          <mc:Choice Requires="wpg">
            <w:drawing>
              <wp:anchor distT="0" distB="0" distL="114300" distR="114300" simplePos="0" relativeHeight="251661312" behindDoc="0" locked="0" layoutInCell="1" allowOverlap="1" wp14:anchorId="27DFF51C" wp14:editId="620DC661">
                <wp:simplePos x="0" y="0"/>
                <wp:positionH relativeFrom="column">
                  <wp:posOffset>-656492</wp:posOffset>
                </wp:positionH>
                <wp:positionV relativeFrom="paragraph">
                  <wp:posOffset>0</wp:posOffset>
                </wp:positionV>
                <wp:extent cx="7304405" cy="3526536"/>
                <wp:effectExtent l="0" t="0" r="10795" b="17145"/>
                <wp:wrapNone/>
                <wp:docPr id="800424702" name="Group 27"/>
                <wp:cNvGraphicFramePr/>
                <a:graphic xmlns:a="http://schemas.openxmlformats.org/drawingml/2006/main">
                  <a:graphicData uri="http://schemas.microsoft.com/office/word/2010/wordprocessingGroup">
                    <wpg:wgp>
                      <wpg:cNvGrpSpPr/>
                      <wpg:grpSpPr>
                        <a:xfrm>
                          <a:off x="0" y="0"/>
                          <a:ext cx="7304405" cy="3526536"/>
                          <a:chOff x="0" y="0"/>
                          <a:chExt cx="7304405" cy="3526536"/>
                        </a:xfrm>
                      </wpg:grpSpPr>
                      <wps:wsp>
                        <wps:cNvPr id="40231947" name="Text Box 2"/>
                        <wps:cNvSpPr txBox="1">
                          <a:spLocks noChangeArrowheads="1"/>
                        </wps:cNvSpPr>
                        <wps:spPr bwMode="auto">
                          <a:xfrm>
                            <a:off x="0" y="2130552"/>
                            <a:ext cx="1621155" cy="316865"/>
                          </a:xfrm>
                          <a:prstGeom prst="rect">
                            <a:avLst/>
                          </a:prstGeom>
                          <a:solidFill>
                            <a:srgbClr val="FFFFFF"/>
                          </a:solidFill>
                          <a:ln w="9525">
                            <a:solidFill>
                              <a:srgbClr val="000000"/>
                            </a:solidFill>
                            <a:miter lim="800000"/>
                            <a:headEnd/>
                            <a:tailEnd/>
                          </a:ln>
                        </wps:spPr>
                        <wps:txbx>
                          <w:txbxContent>
                            <w:p w14:paraId="02ACF269" w14:textId="77777777" w:rsidR="00991DC1" w:rsidRDefault="00991DC1" w:rsidP="00BB0944">
                              <w:pPr>
                                <w:jc w:val="center"/>
                              </w:pPr>
                              <w:r>
                                <w:t>517 patients</w:t>
                              </w:r>
                            </w:p>
                          </w:txbxContent>
                        </wps:txbx>
                        <wps:bodyPr rot="0" vert="horz" wrap="square" lIns="91440" tIns="45720" rIns="91440" bIns="45720" anchor="t" anchorCtr="0">
                          <a:noAutofit/>
                        </wps:bodyPr>
                      </wps:wsp>
                      <wps:wsp>
                        <wps:cNvPr id="1472461804" name="Text Box 2"/>
                        <wps:cNvSpPr txBox="1">
                          <a:spLocks noChangeArrowheads="1"/>
                        </wps:cNvSpPr>
                        <wps:spPr bwMode="auto">
                          <a:xfrm>
                            <a:off x="1874520" y="2130552"/>
                            <a:ext cx="1609090" cy="316865"/>
                          </a:xfrm>
                          <a:prstGeom prst="rect">
                            <a:avLst/>
                          </a:prstGeom>
                          <a:solidFill>
                            <a:srgbClr val="FFFFFF"/>
                          </a:solidFill>
                          <a:ln w="9525">
                            <a:solidFill>
                              <a:srgbClr val="000000"/>
                            </a:solidFill>
                            <a:miter lim="800000"/>
                            <a:headEnd/>
                            <a:tailEnd/>
                          </a:ln>
                        </wps:spPr>
                        <wps:txbx>
                          <w:txbxContent>
                            <w:p w14:paraId="3FDC5DE4" w14:textId="77777777" w:rsidR="00991DC1" w:rsidRDefault="00991DC1" w:rsidP="00BB0944">
                              <w:pPr>
                                <w:jc w:val="center"/>
                              </w:pPr>
                              <w:r>
                                <w:t>230 patients</w:t>
                              </w:r>
                            </w:p>
                          </w:txbxContent>
                        </wps:txbx>
                        <wps:bodyPr rot="0" vert="horz" wrap="square" lIns="91440" tIns="45720" rIns="91440" bIns="45720" anchor="t" anchorCtr="0">
                          <a:noAutofit/>
                        </wps:bodyPr>
                      </wps:wsp>
                      <wps:wsp>
                        <wps:cNvPr id="617264304" name="Text Box 2"/>
                        <wps:cNvSpPr txBox="1">
                          <a:spLocks noChangeArrowheads="1"/>
                        </wps:cNvSpPr>
                        <wps:spPr bwMode="auto">
                          <a:xfrm>
                            <a:off x="3776472" y="2130552"/>
                            <a:ext cx="1626870" cy="322580"/>
                          </a:xfrm>
                          <a:prstGeom prst="rect">
                            <a:avLst/>
                          </a:prstGeom>
                          <a:solidFill>
                            <a:srgbClr val="FFFFFF"/>
                          </a:solidFill>
                          <a:ln w="9525">
                            <a:solidFill>
                              <a:srgbClr val="000000"/>
                            </a:solidFill>
                            <a:miter lim="800000"/>
                            <a:headEnd/>
                            <a:tailEnd/>
                          </a:ln>
                        </wps:spPr>
                        <wps:txbx>
                          <w:txbxContent>
                            <w:p w14:paraId="040AD311" w14:textId="77777777" w:rsidR="00991DC1" w:rsidRDefault="00991DC1" w:rsidP="00BB0944">
                              <w:pPr>
                                <w:jc w:val="center"/>
                              </w:pPr>
                              <w:r>
                                <w:t>482 patients</w:t>
                              </w:r>
                            </w:p>
                          </w:txbxContent>
                        </wps:txbx>
                        <wps:bodyPr rot="0" vert="horz" wrap="square" lIns="91440" tIns="45720" rIns="91440" bIns="45720" anchor="t" anchorCtr="0">
                          <a:noAutofit/>
                        </wps:bodyPr>
                      </wps:wsp>
                      <wps:wsp>
                        <wps:cNvPr id="1325385742" name="Text Box 8"/>
                        <wps:cNvSpPr txBox="1"/>
                        <wps:spPr>
                          <a:xfrm>
                            <a:off x="5678424" y="2130552"/>
                            <a:ext cx="1616659" cy="316865"/>
                          </a:xfrm>
                          <a:prstGeom prst="rect">
                            <a:avLst/>
                          </a:prstGeom>
                          <a:solidFill>
                            <a:schemeClr val="lt1"/>
                          </a:solidFill>
                          <a:ln w="6350">
                            <a:solidFill>
                              <a:prstClr val="black"/>
                            </a:solidFill>
                          </a:ln>
                        </wps:spPr>
                        <wps:txbx>
                          <w:txbxContent>
                            <w:p w14:paraId="2E4FF87C" w14:textId="77777777" w:rsidR="00991DC1" w:rsidRDefault="00991DC1" w:rsidP="00BB0944">
                              <w:pPr>
                                <w:jc w:val="center"/>
                              </w:pPr>
                              <w:r>
                                <w:t>16,239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5093634" name="Straight Arrow Connector 10"/>
                        <wps:cNvCnPr/>
                        <wps:spPr>
                          <a:xfrm>
                            <a:off x="779526" y="1563624"/>
                            <a:ext cx="14630" cy="56596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65088592" name="Straight Arrow Connector 11"/>
                        <wps:cNvCnPr/>
                        <wps:spPr>
                          <a:xfrm>
                            <a:off x="2680716" y="1572768"/>
                            <a:ext cx="7315" cy="55961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275158587" name="Straight Arrow Connector 12"/>
                        <wps:cNvCnPr/>
                        <wps:spPr>
                          <a:xfrm>
                            <a:off x="4591812" y="1572768"/>
                            <a:ext cx="14630" cy="55961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327716995" name="Straight Arrow Connector 13"/>
                        <wps:cNvCnPr/>
                        <wps:spPr>
                          <a:xfrm>
                            <a:off x="6503670" y="1572768"/>
                            <a:ext cx="18288" cy="55961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14523360" name="Text Box 2"/>
                        <wps:cNvSpPr txBox="1">
                          <a:spLocks noChangeArrowheads="1"/>
                        </wps:cNvSpPr>
                        <wps:spPr bwMode="auto">
                          <a:xfrm>
                            <a:off x="2487168" y="2916936"/>
                            <a:ext cx="2354580" cy="609600"/>
                          </a:xfrm>
                          <a:prstGeom prst="rect">
                            <a:avLst/>
                          </a:prstGeom>
                          <a:solidFill>
                            <a:srgbClr val="FFFFFF"/>
                          </a:solidFill>
                          <a:ln w="9525">
                            <a:solidFill>
                              <a:srgbClr val="000000"/>
                            </a:solidFill>
                            <a:miter lim="800000"/>
                            <a:headEnd/>
                            <a:tailEnd/>
                          </a:ln>
                        </wps:spPr>
                        <wps:txbx>
                          <w:txbxContent>
                            <w:p w14:paraId="4CFC878F" w14:textId="77F41191" w:rsidR="00991DC1" w:rsidRDefault="00991DC1" w:rsidP="00BB0944">
                              <w:pPr>
                                <w:jc w:val="center"/>
                              </w:pPr>
                              <w:r>
                                <w:t>Total patients = 17,468</w:t>
                              </w:r>
                            </w:p>
                            <w:p w14:paraId="0EE962FA" w14:textId="77777777" w:rsidR="00991DC1" w:rsidRDefault="00991DC1" w:rsidP="00BB0944">
                              <w:pPr>
                                <w:jc w:val="center"/>
                              </w:pPr>
                              <w:r>
                                <w:t>Across 28 countries</w:t>
                              </w:r>
                            </w:p>
                          </w:txbxContent>
                        </wps:txbx>
                        <wps:bodyPr rot="0" vert="horz" wrap="square" lIns="91440" tIns="45720" rIns="91440" bIns="45720" anchor="t" anchorCtr="0">
                          <a:noAutofit/>
                        </wps:bodyPr>
                      </wps:wsp>
                      <wps:wsp>
                        <wps:cNvPr id="611441803" name="Straight Arrow Connector 14"/>
                        <wps:cNvCnPr/>
                        <wps:spPr>
                          <a:xfrm>
                            <a:off x="786384" y="2450592"/>
                            <a:ext cx="1685925" cy="76422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835974875" name="Straight Arrow Connector 15"/>
                        <wps:cNvCnPr/>
                        <wps:spPr>
                          <a:xfrm flipH="1">
                            <a:off x="4838700" y="2459736"/>
                            <a:ext cx="1679893" cy="76803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424791094" name="Straight Arrow Connector 16"/>
                        <wps:cNvCnPr/>
                        <wps:spPr>
                          <a:xfrm>
                            <a:off x="2688336" y="2450592"/>
                            <a:ext cx="431165" cy="46196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073729514" name="Straight Arrow Connector 17"/>
                        <wps:cNvCnPr/>
                        <wps:spPr>
                          <a:xfrm flipH="1">
                            <a:off x="4216908" y="2459736"/>
                            <a:ext cx="390842" cy="45688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638108514" name="Text Box 2"/>
                        <wps:cNvSpPr txBox="1">
                          <a:spLocks noChangeArrowheads="1"/>
                        </wps:cNvSpPr>
                        <wps:spPr bwMode="auto">
                          <a:xfrm>
                            <a:off x="2487168" y="0"/>
                            <a:ext cx="2354580" cy="298450"/>
                          </a:xfrm>
                          <a:prstGeom prst="rect">
                            <a:avLst/>
                          </a:prstGeom>
                          <a:solidFill>
                            <a:srgbClr val="FFFFFF"/>
                          </a:solidFill>
                          <a:ln w="9525">
                            <a:solidFill>
                              <a:srgbClr val="000000"/>
                            </a:solidFill>
                            <a:miter lim="800000"/>
                            <a:headEnd/>
                            <a:tailEnd/>
                          </a:ln>
                        </wps:spPr>
                        <wps:txbx>
                          <w:txbxContent>
                            <w:p w14:paraId="2A86C51F" w14:textId="2AADCA79" w:rsidR="00991DC1" w:rsidRDefault="00991DC1" w:rsidP="00BB0944">
                              <w:pPr>
                                <w:jc w:val="center"/>
                              </w:pPr>
                              <w:r>
                                <w:t>Total included studies (n = 94)</w:t>
                              </w:r>
                            </w:p>
                          </w:txbxContent>
                        </wps:txbx>
                        <wps:bodyPr rot="0" vert="horz" wrap="square" lIns="91440" tIns="45720" rIns="91440" bIns="45720" anchor="t" anchorCtr="0">
                          <a:noAutofit/>
                        </wps:bodyPr>
                      </wps:wsp>
                      <wps:wsp>
                        <wps:cNvPr id="941566664" name="Text Box 2"/>
                        <wps:cNvSpPr txBox="1">
                          <a:spLocks noChangeArrowheads="1"/>
                        </wps:cNvSpPr>
                        <wps:spPr bwMode="auto">
                          <a:xfrm>
                            <a:off x="9144" y="749808"/>
                            <a:ext cx="1602740" cy="816610"/>
                          </a:xfrm>
                          <a:prstGeom prst="rect">
                            <a:avLst/>
                          </a:prstGeom>
                          <a:solidFill>
                            <a:srgbClr val="FFFFFF"/>
                          </a:solidFill>
                          <a:ln w="9525">
                            <a:solidFill>
                              <a:srgbClr val="000000"/>
                            </a:solidFill>
                            <a:miter lim="800000"/>
                            <a:headEnd/>
                            <a:tailEnd/>
                          </a:ln>
                        </wps:spPr>
                        <wps:txbx>
                          <w:txbxContent>
                            <w:p w14:paraId="0F4507DD" w14:textId="683D47FD" w:rsidR="00991DC1" w:rsidRDefault="00991DC1" w:rsidP="00BB0944">
                              <w:pPr>
                                <w:jc w:val="center"/>
                              </w:pPr>
                              <w:r>
                                <w:t>Phenomenological study (n = 42)</w:t>
                              </w:r>
                            </w:p>
                          </w:txbxContent>
                        </wps:txbx>
                        <wps:bodyPr rot="0" vert="horz" wrap="square" lIns="91440" tIns="45720" rIns="91440" bIns="45720" anchor="t" anchorCtr="0">
                          <a:noAutofit/>
                        </wps:bodyPr>
                      </wps:wsp>
                      <wps:wsp>
                        <wps:cNvPr id="1277985196" name="Text Box 2"/>
                        <wps:cNvSpPr txBox="1">
                          <a:spLocks noChangeArrowheads="1"/>
                        </wps:cNvSpPr>
                        <wps:spPr bwMode="auto">
                          <a:xfrm>
                            <a:off x="1874520" y="749808"/>
                            <a:ext cx="1621155" cy="822960"/>
                          </a:xfrm>
                          <a:prstGeom prst="rect">
                            <a:avLst/>
                          </a:prstGeom>
                          <a:solidFill>
                            <a:srgbClr val="FFFFFF"/>
                          </a:solidFill>
                          <a:ln w="9525">
                            <a:solidFill>
                              <a:srgbClr val="000000"/>
                            </a:solidFill>
                            <a:miter lim="800000"/>
                            <a:headEnd/>
                            <a:tailEnd/>
                          </a:ln>
                        </wps:spPr>
                        <wps:txbx>
                          <w:txbxContent>
                            <w:p w14:paraId="664B5557" w14:textId="196C6FDE" w:rsidR="00991DC1" w:rsidRDefault="00991DC1" w:rsidP="00991DC1">
                              <w:pPr>
                                <w:jc w:val="center"/>
                              </w:pPr>
                              <w:r>
                                <w:t>Interpretive phenomenological analysis (n = 23)</w:t>
                              </w:r>
                            </w:p>
                          </w:txbxContent>
                        </wps:txbx>
                        <wps:bodyPr rot="0" vert="horz" wrap="square" lIns="91440" tIns="45720" rIns="91440" bIns="45720" anchor="t" anchorCtr="0">
                          <a:noAutofit/>
                        </wps:bodyPr>
                      </wps:wsp>
                      <wps:wsp>
                        <wps:cNvPr id="1630163689" name="Text Box 2"/>
                        <wps:cNvSpPr txBox="1">
                          <a:spLocks noChangeArrowheads="1"/>
                        </wps:cNvSpPr>
                        <wps:spPr bwMode="auto">
                          <a:xfrm>
                            <a:off x="3767328" y="740664"/>
                            <a:ext cx="1633220" cy="835025"/>
                          </a:xfrm>
                          <a:prstGeom prst="rect">
                            <a:avLst/>
                          </a:prstGeom>
                          <a:solidFill>
                            <a:srgbClr val="FFFFFF"/>
                          </a:solidFill>
                          <a:ln w="9525">
                            <a:solidFill>
                              <a:srgbClr val="000000"/>
                            </a:solidFill>
                            <a:miter lim="800000"/>
                            <a:headEnd/>
                            <a:tailEnd/>
                          </a:ln>
                        </wps:spPr>
                        <wps:txbx>
                          <w:txbxContent>
                            <w:p w14:paraId="7315E350" w14:textId="21D625DE" w:rsidR="00991DC1" w:rsidRDefault="00991DC1" w:rsidP="00BB0944">
                              <w:pPr>
                                <w:jc w:val="center"/>
                              </w:pPr>
                              <w:r>
                                <w:t>Qualitative interview study (n = 16)</w:t>
                              </w:r>
                            </w:p>
                          </w:txbxContent>
                        </wps:txbx>
                        <wps:bodyPr rot="0" vert="horz" wrap="square" lIns="91440" tIns="45720" rIns="91440" bIns="45720" anchor="t" anchorCtr="0">
                          <a:noAutofit/>
                        </wps:bodyPr>
                      </wps:wsp>
                      <wps:wsp>
                        <wps:cNvPr id="185354034" name="Text Box 2"/>
                        <wps:cNvSpPr txBox="1">
                          <a:spLocks noChangeArrowheads="1"/>
                        </wps:cNvSpPr>
                        <wps:spPr bwMode="auto">
                          <a:xfrm>
                            <a:off x="5669280" y="731520"/>
                            <a:ext cx="1635125" cy="841248"/>
                          </a:xfrm>
                          <a:prstGeom prst="rect">
                            <a:avLst/>
                          </a:prstGeom>
                          <a:solidFill>
                            <a:srgbClr val="FFFFFF"/>
                          </a:solidFill>
                          <a:ln w="9525">
                            <a:solidFill>
                              <a:srgbClr val="000000"/>
                            </a:solidFill>
                            <a:miter lim="800000"/>
                            <a:headEnd/>
                            <a:tailEnd/>
                          </a:ln>
                        </wps:spPr>
                        <wps:txbx>
                          <w:txbxContent>
                            <w:p w14:paraId="29BE65CE" w14:textId="2F778D17" w:rsidR="00991DC1" w:rsidRDefault="00991DC1" w:rsidP="00BB0944">
                              <w:pPr>
                                <w:jc w:val="center"/>
                              </w:pPr>
                              <w:r>
                                <w:t>Meta-ethnography (n = 13)</w:t>
                              </w:r>
                            </w:p>
                          </w:txbxContent>
                        </wps:txbx>
                        <wps:bodyPr rot="0" vert="horz" wrap="square" lIns="91440" tIns="45720" rIns="91440" bIns="45720" anchor="t" anchorCtr="0">
                          <a:noAutofit/>
                        </wps:bodyPr>
                      </wps:wsp>
                      <wps:wsp>
                        <wps:cNvPr id="1779029920" name="Straight Arrow Connector 4"/>
                        <wps:cNvCnPr/>
                        <wps:spPr>
                          <a:xfrm flipH="1">
                            <a:off x="833628" y="146304"/>
                            <a:ext cx="1643062" cy="595948"/>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274736659" name="Straight Arrow Connector 5"/>
                        <wps:cNvCnPr/>
                        <wps:spPr>
                          <a:xfrm>
                            <a:off x="4864608" y="155448"/>
                            <a:ext cx="1674812" cy="55086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20538016" name="Straight Arrow Connector 6"/>
                        <wps:cNvCnPr/>
                        <wps:spPr>
                          <a:xfrm flipH="1">
                            <a:off x="2662428" y="301752"/>
                            <a:ext cx="377952" cy="45110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559035021" name="Straight Arrow Connector 7"/>
                        <wps:cNvCnPr/>
                        <wps:spPr>
                          <a:xfrm>
                            <a:off x="4197096" y="301752"/>
                            <a:ext cx="426720" cy="43891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27DFF51C" id="Group 27" o:spid="_x0000_s1044" style="position:absolute;left:0;text-align:left;margin-left:-51.7pt;margin-top:0;width:575.15pt;height:277.7pt;z-index:251661312" coordsize="73044,3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">
                <v:shapetype id="_x0000_t202" coordsize="21600,21600" o:spt="202" path="m,l,21600r21600,l21600,xe">
                  <v:stroke joinstyle="miter"/>
                  <v:path gradientshapeok="t" o:connecttype="rect"/>
                </v:shapetype>
                <v:shape id="Text Box 2" o:spid="_x0000_s1045" type="#_x0000_t202" style="position:absolute;top:21305;width:16211;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">
                  <v:textbox>
                    <w:txbxContent>
                      <w:p w14:paraId="02ACF269" w14:textId="77777777" w:rsidR="00991DC1" w:rsidRDefault="00991DC1" w:rsidP="00BB0944">
                        <w:pPr>
                          <w:jc w:val="center"/>
                        </w:pPr>
                        <w:r>
                          <w:t>517 patients</w:t>
                        </w:r>
                      </w:p>
                    </w:txbxContent>
                  </v:textbox>
                </v:shape>
                <v:shape id="Text Box 2" o:spid="_x0000_s1046" type="#_x0000_t202" style="position:absolute;left:18745;top:21305;width:16091;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">
                  <v:textbox>
                    <w:txbxContent>
                      <w:p w14:paraId="3FDC5DE4" w14:textId="77777777" w:rsidR="00991DC1" w:rsidRDefault="00991DC1" w:rsidP="00BB0944">
                        <w:pPr>
                          <w:jc w:val="center"/>
                        </w:pPr>
                        <w:r>
                          <w:t>230 patients</w:t>
                        </w:r>
                      </w:p>
                    </w:txbxContent>
                  </v:textbox>
                </v:shape>
                <v:shape id="Text Box 2" o:spid="_x0000_s1047" type="#_x0000_t202" style="position:absolute;left:37764;top:21305;width:16269;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">
                  <v:textbox>
                    <w:txbxContent>
                      <w:p w14:paraId="040AD311" w14:textId="77777777" w:rsidR="00991DC1" w:rsidRDefault="00991DC1" w:rsidP="00BB0944">
                        <w:pPr>
                          <w:jc w:val="center"/>
                        </w:pPr>
                        <w:r>
                          <w:t>482 patients</w:t>
                        </w:r>
                      </w:p>
                    </w:txbxContent>
                  </v:textbox>
                </v:shape>
                <v:shape id="Text Box 8" o:spid="_x0000_s1048" type="#_x0000_t202" style="position:absolute;left:56784;top:21305;width:16166;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" fillcolor="white [3201]" strokeweight=".5pt">
                  <v:textbox>
                    <w:txbxContent>
                      <w:p w14:paraId="2E4FF87C" w14:textId="77777777" w:rsidR="00991DC1" w:rsidRDefault="00991DC1" w:rsidP="00BB0944">
                        <w:pPr>
                          <w:jc w:val="center"/>
                        </w:pPr>
                        <w:r>
                          <w:t>16,239 patients</w:t>
                        </w:r>
                      </w:p>
                    </w:txbxContent>
                  </v:textbox>
                </v:shape>
                <v:shape id="Straight Arrow Connector 10" o:spid="_x0000_s1049" type="#_x0000_t32" style="position:absolute;left:7795;top:15636;width:146;height:56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" strokecolor="#156082 [3204]" strokeweight="1.5pt">
                  <v:stroke endarrow="block" joinstyle="miter"/>
                </v:shape>
                <v:shape id="Straight Arrow Connector 11" o:spid="_x0000_s1050" type="#_x0000_t32" style="position:absolute;left:26807;top:15727;width:73;height:55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" strokecolor="#156082 [3204]" strokeweight="1.5pt">
                  <v:stroke endarrow="block" joinstyle="miter"/>
                </v:shape>
                <v:shape id="Straight Arrow Connector 12" o:spid="_x0000_s1051" type="#_x0000_t32" style="position:absolute;left:45918;top:15727;width:146;height:55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" strokecolor="#156082 [3204]" strokeweight="1.5pt">
                  <v:stroke endarrow="block" joinstyle="miter"/>
                </v:shape>
                <v:shape id="Straight Arrow Connector 13" o:spid="_x0000_s1052" type="#_x0000_t32" style="position:absolute;left:65036;top:15727;width:183;height:55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" strokecolor="#156082 [3204]" strokeweight="1.5pt">
                  <v:stroke endarrow="block" joinstyle="miter"/>
                </v:shape>
                <v:shape id="Text Box 2" o:spid="_x0000_s1053" type="#_x0000_t202" style="position:absolute;left:24871;top:29169;width:2354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">
                  <v:textbox>
                    <w:txbxContent>
                      <w:p w14:paraId="4CFC878F" w14:textId="77F41191" w:rsidR="00991DC1" w:rsidRDefault="00991DC1" w:rsidP="00BB0944">
                        <w:pPr>
                          <w:jc w:val="center"/>
                        </w:pPr>
                        <w:r>
                          <w:t>Total patients = 17,468</w:t>
                        </w:r>
                      </w:p>
                      <w:p w14:paraId="0EE962FA" w14:textId="77777777" w:rsidR="00991DC1" w:rsidRDefault="00991DC1" w:rsidP="00BB0944">
                        <w:pPr>
                          <w:jc w:val="center"/>
                        </w:pPr>
                        <w:r>
                          <w:t>Across 28 countries</w:t>
                        </w:r>
                      </w:p>
                    </w:txbxContent>
                  </v:textbox>
                </v:shape>
                <v:shape id="Straight Arrow Connector 14" o:spid="_x0000_s1054" type="#_x0000_t32" style="position:absolute;left:7863;top:24505;width:16860;height:76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" strokecolor="#156082 [3204]" strokeweight="1.5pt">
                  <v:stroke endarrow="block" joinstyle="miter"/>
                </v:shape>
                <v:shape id="Straight Arrow Connector 15" o:spid="_x0000_s1055" type="#_x0000_t32" style="position:absolute;left:48387;top:24597;width:16798;height:7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" strokecolor="#156082 [3204]" strokeweight="1.5pt">
                  <v:stroke endarrow="block" joinstyle="miter"/>
                </v:shape>
                <v:shape id="Straight Arrow Connector 16" o:spid="_x0000_s1056" type="#_x0000_t32" style="position:absolute;left:26883;top:24505;width:4312;height:4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" strokecolor="#156082 [3204]" strokeweight="1.5pt">
                  <v:stroke endarrow="block" joinstyle="miter"/>
                </v:shape>
                <v:shape id="Straight Arrow Connector 17" o:spid="_x0000_s1057" type="#_x0000_t32" style="position:absolute;left:42169;top:24597;width:3908;height:45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" strokecolor="#156082 [3204]" strokeweight="1.5pt">
                  <v:stroke endarrow="block" joinstyle="miter"/>
                </v:shape>
                <v:shape id="Text Box 2" o:spid="_x0000_s1058" type="#_x0000_t202" style="position:absolute;left:24871;width:2354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">
                  <v:textbox>
                    <w:txbxContent>
                      <w:p w14:paraId="2A86C51F" w14:textId="2AADCA79" w:rsidR="00991DC1" w:rsidRDefault="00991DC1" w:rsidP="00BB0944">
                        <w:pPr>
                          <w:jc w:val="center"/>
                        </w:pPr>
                        <w:r>
                          <w:t>Total included studies (n = 94)</w:t>
                        </w:r>
                      </w:p>
                    </w:txbxContent>
                  </v:textbox>
                </v:shape>
                <v:shape id="Text Box 2" o:spid="_x0000_s1059" type="#_x0000_t202" style="position:absolute;left:91;top:7498;width:16027;height:8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">
                  <v:textbox>
                    <w:txbxContent>
                      <w:p w14:paraId="0F4507DD" w14:textId="683D47FD" w:rsidR="00991DC1" w:rsidRDefault="00991DC1" w:rsidP="00BB0944">
                        <w:pPr>
                          <w:jc w:val="center"/>
                        </w:pPr>
                        <w:r>
                          <w:t>Phenomenological study (n = 42)</w:t>
                        </w:r>
                      </w:p>
                    </w:txbxContent>
                  </v:textbox>
                </v:shape>
                <v:shape id="Text Box 2" o:spid="_x0000_s1060" type="#_x0000_t202" style="position:absolute;left:18745;top:7498;width:16211;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">
                  <v:textbox>
                    <w:txbxContent>
                      <w:p w14:paraId="664B5557" w14:textId="196C6FDE" w:rsidR="00991DC1" w:rsidRDefault="00991DC1" w:rsidP="00991DC1">
                        <w:pPr>
                          <w:jc w:val="center"/>
                        </w:pPr>
                        <w:r>
                          <w:t>Interpretive phenomenological analysis (n = 23)</w:t>
                        </w:r>
                      </w:p>
                    </w:txbxContent>
                  </v:textbox>
                </v:shape>
                <v:shape id="Text Box 2" o:spid="_x0000_s1061" type="#_x0000_t202" style="position:absolute;left:37673;top:7406;width:16332;height:8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">
                  <v:textbox>
                    <w:txbxContent>
                      <w:p w14:paraId="7315E350" w14:textId="21D625DE" w:rsidR="00991DC1" w:rsidRDefault="00991DC1" w:rsidP="00BB0944">
                        <w:pPr>
                          <w:jc w:val="center"/>
                        </w:pPr>
                        <w:r>
                          <w:t>Qualitative interview study (n = 16)</w:t>
                        </w:r>
                      </w:p>
                    </w:txbxContent>
                  </v:textbox>
                </v:shape>
                <v:shape id="Text Box 2" o:spid="_x0000_s1062" type="#_x0000_t202" style="position:absolute;left:56692;top:7315;width:16352;height:8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">
                  <v:textbox>
                    <w:txbxContent>
                      <w:p w14:paraId="29BE65CE" w14:textId="2F778D17" w:rsidR="00991DC1" w:rsidRDefault="00991DC1" w:rsidP="00BB0944">
                        <w:pPr>
                          <w:jc w:val="center"/>
                        </w:pPr>
                        <w:r>
                          <w:t>Meta-ethnography (n = 13)</w:t>
                        </w:r>
                      </w:p>
                    </w:txbxContent>
                  </v:textbox>
                </v:shape>
                <v:shape id="Straight Arrow Connector 4" o:spid="_x0000_s1063" type="#_x0000_t32" style="position:absolute;left:8336;top:1463;width:16430;height:59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" strokecolor="#156082 [3204]" strokeweight="1.5pt">
                  <v:stroke endarrow="block" joinstyle="miter"/>
                </v:shape>
                <v:shape id="Straight Arrow Connector 5" o:spid="_x0000_s1064" type="#_x0000_t32" style="position:absolute;left:48646;top:1554;width:16748;height:5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" strokecolor="#156082 [3204]" strokeweight="1.5pt">
                  <v:stroke endarrow="block" joinstyle="miter"/>
                </v:shape>
                <v:shape id="Straight Arrow Connector 6" o:spid="_x0000_s1065" type="#_x0000_t32" style="position:absolute;left:26624;top:3017;width:3779;height:45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" strokecolor="#156082 [3204]" strokeweight="1.5pt">
                  <v:stroke endarrow="block" joinstyle="miter"/>
                </v:shape>
                <v:shape id="Straight Arrow Connector 7" o:spid="_x0000_s1066" type="#_x0000_t32" style="position:absolute;left:41970;top:3017;width:4268;height:4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" strokecolor="#156082 [3204]" strokeweight="1.5pt">
                  <v:stroke endarrow="block" joinstyle="miter"/>
                </v:shape>
              </v:group>
            </w:pict>
          </mc:Fallback>
        </mc:AlternateContent>
      </w:r>
    </w:p>
    <w:p w14:paraId="6EDDB9D9" w14:textId="77777777" w:rsidR="00AB1A6B" w:rsidRPr="00F1431B" w:rsidRDefault="00AB1A6B" w:rsidP="00193027">
      <w:pPr>
        <w:jc w:val="center"/>
      </w:pPr>
    </w:p>
    <w:p w14:paraId="7D56B6BB" w14:textId="77777777" w:rsidR="00AB1A6B" w:rsidRPr="00F1431B" w:rsidRDefault="00AB1A6B" w:rsidP="00193027">
      <w:pPr>
        <w:jc w:val="center"/>
      </w:pPr>
    </w:p>
    <w:p w14:paraId="495B4CED" w14:textId="77777777" w:rsidR="00AB1A6B" w:rsidRPr="00F1431B" w:rsidRDefault="00AB1A6B" w:rsidP="00193027">
      <w:pPr>
        <w:jc w:val="center"/>
      </w:pPr>
    </w:p>
    <w:p w14:paraId="04138BEC" w14:textId="77777777" w:rsidR="00BB0944" w:rsidRPr="00F1431B" w:rsidRDefault="00BB0944" w:rsidP="00193027">
      <w:pPr>
        <w:jc w:val="center"/>
      </w:pPr>
    </w:p>
    <w:p w14:paraId="00934755" w14:textId="77777777" w:rsidR="00BB0944" w:rsidRPr="00F1431B" w:rsidRDefault="00BB0944" w:rsidP="00193027">
      <w:pPr>
        <w:jc w:val="center"/>
      </w:pPr>
    </w:p>
    <w:p w14:paraId="62B25BF8" w14:textId="77777777" w:rsidR="00BB0944" w:rsidRPr="00F1431B" w:rsidRDefault="00BB0944" w:rsidP="00193027">
      <w:pPr>
        <w:jc w:val="center"/>
      </w:pPr>
    </w:p>
    <w:p w14:paraId="7DDE84BA" w14:textId="77777777" w:rsidR="00BB0944" w:rsidRPr="00F1431B" w:rsidRDefault="00BB0944" w:rsidP="00193027">
      <w:pPr>
        <w:jc w:val="center"/>
      </w:pPr>
    </w:p>
    <w:p w14:paraId="7DCE8BB8" w14:textId="77777777" w:rsidR="00BB0944" w:rsidRPr="00F1431B" w:rsidRDefault="00BB0944" w:rsidP="00193027">
      <w:pPr>
        <w:jc w:val="center"/>
      </w:pPr>
    </w:p>
    <w:p w14:paraId="76BE8FA9" w14:textId="77777777" w:rsidR="00BB0944" w:rsidRPr="00F1431B" w:rsidRDefault="00BB0944" w:rsidP="00193027">
      <w:pPr>
        <w:jc w:val="center"/>
      </w:pPr>
    </w:p>
    <w:p w14:paraId="40B659D1" w14:textId="77777777" w:rsidR="00BB0944" w:rsidRPr="00F1431B" w:rsidRDefault="00BB0944" w:rsidP="00193027">
      <w:pPr>
        <w:jc w:val="center"/>
      </w:pPr>
    </w:p>
    <w:p w14:paraId="00E87170" w14:textId="77777777" w:rsidR="00BB0944" w:rsidRPr="00F1431B" w:rsidRDefault="00BB0944" w:rsidP="00193027">
      <w:pPr>
        <w:jc w:val="center"/>
      </w:pPr>
    </w:p>
    <w:p w14:paraId="76FF17D7" w14:textId="77777777" w:rsidR="00BB0944" w:rsidRPr="00F1431B" w:rsidRDefault="00BB0944" w:rsidP="00193027">
      <w:pPr>
        <w:jc w:val="center"/>
      </w:pPr>
    </w:p>
    <w:p w14:paraId="691F2AD0" w14:textId="77777777" w:rsidR="00BB0944" w:rsidRPr="00F1431B" w:rsidRDefault="00BB0944" w:rsidP="00193027">
      <w:pPr>
        <w:jc w:val="center"/>
      </w:pPr>
    </w:p>
    <w:p w14:paraId="2E8C26AF" w14:textId="77777777" w:rsidR="00EC7EC7" w:rsidRDefault="00EC7EC7" w:rsidP="006C4BEE">
      <w:pPr>
        <w:rPr>
          <w:b/>
          <w:bCs/>
        </w:rPr>
      </w:pPr>
    </w:p>
    <w:p w14:paraId="1F7B3C3F" w14:textId="77777777" w:rsidR="00EC7EC7" w:rsidRDefault="00EC7EC7" w:rsidP="006C4BEE">
      <w:pPr>
        <w:rPr>
          <w:b/>
          <w:bCs/>
        </w:rPr>
      </w:pPr>
    </w:p>
    <w:p w14:paraId="36EA1F26" w14:textId="77777777" w:rsidR="00EC7EC7" w:rsidRDefault="00EC7EC7" w:rsidP="006C4BEE">
      <w:pPr>
        <w:rPr>
          <w:b/>
          <w:bCs/>
        </w:rPr>
      </w:pPr>
    </w:p>
    <w:p w14:paraId="4A61744B" w14:textId="77777777" w:rsidR="00EC7EC7" w:rsidRDefault="00EC7EC7" w:rsidP="006C4BEE">
      <w:pPr>
        <w:rPr>
          <w:b/>
          <w:bCs/>
        </w:rPr>
      </w:pPr>
    </w:p>
    <w:p w14:paraId="6AF271B5" w14:textId="77777777" w:rsidR="00EC7EC7" w:rsidRDefault="00EC7EC7" w:rsidP="006C4BEE">
      <w:pPr>
        <w:rPr>
          <w:b/>
          <w:bCs/>
        </w:rPr>
      </w:pPr>
    </w:p>
    <w:p w14:paraId="2D6C5B46" w14:textId="77777777" w:rsidR="00EC7EC7" w:rsidRDefault="00EC7EC7" w:rsidP="006C4BEE">
      <w:pPr>
        <w:rPr>
          <w:b/>
          <w:bCs/>
        </w:rPr>
      </w:pPr>
    </w:p>
    <w:p w14:paraId="00F990A5" w14:textId="4D759B88" w:rsidR="006C4BEE" w:rsidRPr="00F1431B" w:rsidRDefault="006C4BEE" w:rsidP="006C4BEE">
      <w:pPr>
        <w:rPr>
          <w:b/>
          <w:bCs/>
        </w:rPr>
      </w:pPr>
      <w:r w:rsidRPr="00F1431B">
        <w:rPr>
          <w:b/>
          <w:bCs/>
        </w:rPr>
        <w:t xml:space="preserve">Figure </w:t>
      </w:r>
      <w:r w:rsidR="006F606C">
        <w:rPr>
          <w:b/>
          <w:bCs/>
        </w:rPr>
        <w:t>S</w:t>
      </w:r>
      <w:r w:rsidR="005F7C23">
        <w:rPr>
          <w:b/>
          <w:bCs/>
        </w:rPr>
        <w:t>2</w:t>
      </w:r>
      <w:r w:rsidR="000E577C" w:rsidRPr="00F1431B">
        <w:rPr>
          <w:b/>
          <w:bCs/>
        </w:rPr>
        <w:t>.</w:t>
      </w:r>
      <w:r w:rsidRPr="00F1431B">
        <w:rPr>
          <w:b/>
          <w:bCs/>
        </w:rPr>
        <w:t xml:space="preserve"> Survey of the literature on the hermeneutic phenomenology of illness</w:t>
      </w:r>
      <w:r w:rsidR="00F72C96" w:rsidRPr="00F1431B">
        <w:rPr>
          <w:b/>
          <w:bCs/>
        </w:rPr>
        <w:t>.</w:t>
      </w:r>
    </w:p>
    <w:p w14:paraId="21892A19" w14:textId="77777777" w:rsidR="007A794E" w:rsidRDefault="007A794E" w:rsidP="007A794E">
      <w:pPr>
        <w:spacing w:line="480" w:lineRule="auto"/>
        <w:rPr>
          <w:b/>
          <w:bCs/>
          <w:color w:val="000000"/>
        </w:rPr>
      </w:pPr>
    </w:p>
    <w:p w14:paraId="0C8E645E" w14:textId="16320782" w:rsidR="00E81111" w:rsidRPr="00732EED" w:rsidRDefault="00732EED" w:rsidP="00732EED">
      <w:pPr>
        <w:spacing w:after="160" w:line="278" w:lineRule="auto"/>
        <w:rPr>
          <w:b/>
          <w:bCs/>
          <w:color w:val="000000"/>
        </w:rPr>
      </w:pPr>
      <w:r>
        <w:rPr>
          <w:b/>
          <w:bCs/>
          <w:color w:val="000000"/>
        </w:rPr>
        <w:br w:type="page"/>
      </w:r>
      <w:bookmarkStart w:id="1" w:name="_Hlk216781621"/>
      <w:r w:rsidR="00E81111" w:rsidRPr="00ED1BAD">
        <w:rPr>
          <w:b/>
          <w:bCs/>
        </w:rPr>
        <w:lastRenderedPageBreak/>
        <w:t>References Supplementary Materials and Methods</w:t>
      </w:r>
    </w:p>
    <w:p w14:paraId="04C69B44" w14:textId="143976C0" w:rsidR="00E81111" w:rsidRPr="00E81111" w:rsidRDefault="00E81111" w:rsidP="00EB4ED6">
      <w:pPr>
        <w:pStyle w:val="ListParagraph"/>
        <w:numPr>
          <w:ilvl w:val="0"/>
          <w:numId w:val="36"/>
        </w:numPr>
        <w:ind w:left="284"/>
      </w:pPr>
      <w:r w:rsidRPr="00E81111">
        <w:t>Alhazmi, A. A., &amp; Kaufmann, A. (2022). Phenomenological qualitative methods applied to the analysis of cross-cultural experience in novel educational social contexts. Frontiers in Psychology, 13, 785134. </w:t>
      </w:r>
      <w:hyperlink r:id="rId130" w:history="1">
        <w:r w:rsidRPr="00E81111">
          <w:rPr>
            <w:rStyle w:val="Hyperlink"/>
          </w:rPr>
          <w:t>https://doi.org/10.3389/fpsyg.2022.785134</w:t>
        </w:r>
      </w:hyperlink>
    </w:p>
    <w:p w14:paraId="523F40F7" w14:textId="7B8D70B3" w:rsidR="00E81111" w:rsidRPr="00E81111" w:rsidRDefault="00E81111" w:rsidP="00EB4ED6">
      <w:pPr>
        <w:pStyle w:val="ListParagraph"/>
        <w:numPr>
          <w:ilvl w:val="0"/>
          <w:numId w:val="36"/>
        </w:numPr>
        <w:ind w:left="284"/>
      </w:pPr>
      <w:proofErr w:type="spellStart"/>
      <w:r w:rsidRPr="00E81111">
        <w:t>Bondas</w:t>
      </w:r>
      <w:proofErr w:type="spellEnd"/>
      <w:r w:rsidRPr="00E81111">
        <w:t>, T. E. (2025). Representations of meta-ethnography: In limbo in the jungle of misguided paths? Qualitative Health Research. Advance online publication. </w:t>
      </w:r>
      <w:hyperlink r:id="rId131" w:history="1">
        <w:r w:rsidRPr="00E81111">
          <w:rPr>
            <w:rStyle w:val="Hyperlink"/>
          </w:rPr>
          <w:t>https://doi.org/10.1177/10497323251316841</w:t>
        </w:r>
      </w:hyperlink>
    </w:p>
    <w:p w14:paraId="5FAC2596" w14:textId="7C2971C5" w:rsidR="00E81111" w:rsidRPr="00E81111" w:rsidRDefault="00E81111" w:rsidP="00EB4ED6">
      <w:pPr>
        <w:pStyle w:val="ListParagraph"/>
        <w:numPr>
          <w:ilvl w:val="0"/>
          <w:numId w:val="36"/>
        </w:numPr>
        <w:ind w:left="284"/>
      </w:pPr>
      <w:r w:rsidRPr="00E81111">
        <w:t xml:space="preserve">Braithwaite, J., </w:t>
      </w:r>
      <w:proofErr w:type="spellStart"/>
      <w:r w:rsidRPr="00E81111">
        <w:t>Churruca</w:t>
      </w:r>
      <w:proofErr w:type="spellEnd"/>
      <w:r w:rsidRPr="00E81111">
        <w:t>, K., Long, J. C., Ellis, L. A., &amp; Herkes, J. (2018). When complexity science meets implementation science: A theoretical and empirical analysis of systems change. BMC Medicine, 16(1), 63. </w:t>
      </w:r>
      <w:hyperlink r:id="rId132" w:history="1">
        <w:r w:rsidRPr="00E81111">
          <w:rPr>
            <w:rStyle w:val="Hyperlink"/>
          </w:rPr>
          <w:t>https://doi.org/10.1186/s12916-018-1057-z</w:t>
        </w:r>
      </w:hyperlink>
    </w:p>
    <w:p w14:paraId="6A2ACDDF" w14:textId="5CFE7E63" w:rsidR="00E81111" w:rsidRPr="00E81111" w:rsidRDefault="00E81111" w:rsidP="00EB4ED6">
      <w:pPr>
        <w:pStyle w:val="ListParagraph"/>
        <w:numPr>
          <w:ilvl w:val="0"/>
          <w:numId w:val="36"/>
        </w:numPr>
        <w:ind w:left="284"/>
      </w:pPr>
      <w:r w:rsidRPr="00E81111">
        <w:t>Campbell, R., Pound, P., Morgan, M., Daker-White, G., Britten, N., Pill, R., Yardley, L., Pope, C., &amp; Donovan, J. (2011). Evaluating meta-ethnography: Systematic analysis and synthesis of qualitative research. Health Technology Assessment, 15(43), 1–164. </w:t>
      </w:r>
      <w:hyperlink r:id="rId133" w:history="1">
        <w:r w:rsidRPr="00E81111">
          <w:rPr>
            <w:rStyle w:val="Hyperlink"/>
          </w:rPr>
          <w:t>https://doi.org/10.3310/hta15430</w:t>
        </w:r>
      </w:hyperlink>
    </w:p>
    <w:p w14:paraId="0728D0D0" w14:textId="2A43847E" w:rsidR="00E81111" w:rsidRPr="00E81111" w:rsidRDefault="00E81111" w:rsidP="00EB4ED6">
      <w:pPr>
        <w:pStyle w:val="ListParagraph"/>
        <w:numPr>
          <w:ilvl w:val="0"/>
          <w:numId w:val="36"/>
        </w:numPr>
        <w:ind w:left="284"/>
      </w:pPr>
      <w:r w:rsidRPr="00E81111">
        <w:t>Carrick, J., Bell, D., Fitzsimmons, C., Gray, T., &amp; Stewart, G. (2022). Principles and practical criteria for effective participatory environmental planning and decision-making. Journal of Environmental Planning and Management, 66(14), 2854–2877.</w:t>
      </w:r>
    </w:p>
    <w:p w14:paraId="43DF6526" w14:textId="7B3E9828" w:rsidR="00E81111" w:rsidRPr="00E81111" w:rsidRDefault="00E81111" w:rsidP="00EB4ED6">
      <w:pPr>
        <w:pStyle w:val="ListParagraph"/>
        <w:numPr>
          <w:ilvl w:val="0"/>
          <w:numId w:val="36"/>
        </w:numPr>
        <w:ind w:left="284"/>
      </w:pPr>
      <w:r w:rsidRPr="00E81111">
        <w:t>Chang, Q. (2022). The contribution of a hermeneutic approach to investigate psychological variables in second language acquisition. Frontiers in Psychology, 13, 1055249. </w:t>
      </w:r>
      <w:hyperlink r:id="rId134" w:history="1">
        <w:r w:rsidRPr="00E81111">
          <w:rPr>
            <w:rStyle w:val="Hyperlink"/>
          </w:rPr>
          <w:t>https://doi.org/10.3389/fpsyg.2022.1055249</w:t>
        </w:r>
      </w:hyperlink>
    </w:p>
    <w:p w14:paraId="6C383560" w14:textId="2B603430" w:rsidR="00E81111" w:rsidRPr="00E81111" w:rsidRDefault="00E81111" w:rsidP="00EB4ED6">
      <w:pPr>
        <w:pStyle w:val="ListParagraph"/>
        <w:numPr>
          <w:ilvl w:val="0"/>
          <w:numId w:val="36"/>
        </w:numPr>
        <w:ind w:left="284"/>
      </w:pPr>
      <w:r w:rsidRPr="00E81111">
        <w:t>Cheng, C., Inder, K., &amp; Chan, S. W. (2019). Patients’ experiences of coping with multiple chronic conditions: A meta-ethnography of qualitative work. International Journal of Mental Health Nursing, 28(1), 54–70.</w:t>
      </w:r>
    </w:p>
    <w:p w14:paraId="43648428" w14:textId="24BEE071" w:rsidR="00E81111" w:rsidRPr="00E81111" w:rsidRDefault="00E81111" w:rsidP="00EB4ED6">
      <w:pPr>
        <w:pStyle w:val="ListParagraph"/>
        <w:numPr>
          <w:ilvl w:val="0"/>
          <w:numId w:val="36"/>
        </w:numPr>
        <w:ind w:left="284"/>
      </w:pPr>
      <w:r w:rsidRPr="005F7C23">
        <w:rPr>
          <w:lang w:val="nl-NL"/>
        </w:rPr>
        <w:t xml:space="preserve">de Jager, L. A., Bal, M., Baudena, M., et al. </w:t>
      </w:r>
      <w:r w:rsidRPr="00E81111">
        <w:t>(2025). Transdisciplinary complexity science: Deepening system understanding for sustainability. Humanities and Social Sciences Communications, 12, 1384.</w:t>
      </w:r>
    </w:p>
    <w:p w14:paraId="022EDC1C" w14:textId="49B52212" w:rsidR="00E81111" w:rsidRPr="00E81111" w:rsidRDefault="00E81111" w:rsidP="00EB4ED6">
      <w:pPr>
        <w:pStyle w:val="ListParagraph"/>
        <w:numPr>
          <w:ilvl w:val="0"/>
          <w:numId w:val="36"/>
        </w:numPr>
        <w:ind w:left="284"/>
      </w:pPr>
      <w:r w:rsidRPr="00E81111">
        <w:t>Downe, S., Finlayson, K. W., Lawrie, T. A., Lewin, S. A., Glenton, C., Rosenbaum, S., et al. (2019). Qualitative evidence synthesis (QES) for guidelines: Paper 1—Using qualitative evidence synthesis to inform guideline scope and develop qualitative findings statements. Health Research Policy and Systems, 17(1), 76.</w:t>
      </w:r>
    </w:p>
    <w:p w14:paraId="5ABECF06" w14:textId="44E8F045" w:rsidR="00E81111" w:rsidRPr="00E81111" w:rsidRDefault="00E81111" w:rsidP="00EB4ED6">
      <w:pPr>
        <w:pStyle w:val="ListParagraph"/>
        <w:numPr>
          <w:ilvl w:val="0"/>
          <w:numId w:val="36"/>
        </w:numPr>
        <w:ind w:left="284"/>
      </w:pPr>
      <w:proofErr w:type="spellStart"/>
      <w:r w:rsidRPr="00E81111">
        <w:t>Djuraskovic</w:t>
      </w:r>
      <w:proofErr w:type="spellEnd"/>
      <w:r w:rsidRPr="00E81111">
        <w:t>, I., &amp; Arthur, N. (2010). Heuristic inquiry: A personal journey of acculturation and identity reconstruction. The Qualitative Report, 15(6), 1569–1593.</w:t>
      </w:r>
    </w:p>
    <w:p w14:paraId="65190381" w14:textId="375657D7" w:rsidR="00E81111" w:rsidRPr="00E81111" w:rsidRDefault="00E81111" w:rsidP="00EB4ED6">
      <w:pPr>
        <w:pStyle w:val="ListParagraph"/>
        <w:numPr>
          <w:ilvl w:val="0"/>
          <w:numId w:val="36"/>
        </w:numPr>
        <w:ind w:left="284"/>
      </w:pPr>
      <w:r w:rsidRPr="00E81111">
        <w:t>Fetters, M. D., Curry, L. A., &amp; Creswell, J. W. (2013). Achieving integration in mixed methods designs: Principles and practices. Health Services Research, 48(6 Pt 2), 2134–2156. </w:t>
      </w:r>
      <w:hyperlink r:id="rId135" w:history="1">
        <w:r w:rsidRPr="00E81111">
          <w:rPr>
            <w:rStyle w:val="Hyperlink"/>
          </w:rPr>
          <w:t>https://doi.org/10.1111/1475-6773.12117</w:t>
        </w:r>
      </w:hyperlink>
    </w:p>
    <w:p w14:paraId="0BA8530B" w14:textId="0674A59B" w:rsidR="00E81111" w:rsidRPr="00E81111" w:rsidRDefault="00E81111" w:rsidP="00EB4ED6">
      <w:pPr>
        <w:pStyle w:val="ListParagraph"/>
        <w:numPr>
          <w:ilvl w:val="0"/>
          <w:numId w:val="36"/>
        </w:numPr>
        <w:ind w:left="284"/>
      </w:pPr>
      <w:r w:rsidRPr="005F7C23">
        <w:rPr>
          <w:lang w:val="nl-NL"/>
        </w:rPr>
        <w:t xml:space="preserve">Fischer, C., Gugerell, K., Laa, U., et al. </w:t>
      </w:r>
      <w:r w:rsidRPr="00E81111">
        <w:t>(2025). Evaluating transdisciplinary methods: A new scale for measuring knowledge integration. Humanities and Social Sciences Communications, 12, 1395. </w:t>
      </w:r>
      <w:hyperlink r:id="rId136" w:history="1">
        <w:r w:rsidRPr="00E81111">
          <w:rPr>
            <w:rStyle w:val="Hyperlink"/>
          </w:rPr>
          <w:t>https://doi.org/10.1057/s41599-025-05634-w</w:t>
        </w:r>
      </w:hyperlink>
    </w:p>
    <w:p w14:paraId="5386850B" w14:textId="4401DE43" w:rsidR="00E81111" w:rsidRPr="00E81111" w:rsidRDefault="00E81111" w:rsidP="00EB4ED6">
      <w:pPr>
        <w:pStyle w:val="ListParagraph"/>
        <w:numPr>
          <w:ilvl w:val="0"/>
          <w:numId w:val="36"/>
        </w:numPr>
        <w:ind w:left="284"/>
      </w:pPr>
      <w:r w:rsidRPr="00E81111">
        <w:t xml:space="preserve">France, E. F., </w:t>
      </w:r>
      <w:proofErr w:type="spellStart"/>
      <w:r w:rsidRPr="00E81111">
        <w:t>Uny</w:t>
      </w:r>
      <w:proofErr w:type="spellEnd"/>
      <w:r w:rsidRPr="00E81111">
        <w:t xml:space="preserve">, I., Ring, N., Turley, R. L., Maxwell, M., Duncan, E. A. S., Jepson, R. G., Roberts, R. J., &amp; Noyes, J. (2019). A methodological systematic review of meta-ethnography </w:t>
      </w:r>
      <w:proofErr w:type="gramStart"/>
      <w:r w:rsidRPr="00E81111">
        <w:t>conduct</w:t>
      </w:r>
      <w:proofErr w:type="gramEnd"/>
      <w:r w:rsidRPr="00E81111">
        <w:t xml:space="preserve"> to articulate the complex analytical phases. BMC Medical Research Methodology, 19(1), 35. </w:t>
      </w:r>
      <w:hyperlink r:id="rId137" w:history="1">
        <w:r w:rsidRPr="00E81111">
          <w:rPr>
            <w:rStyle w:val="Hyperlink"/>
          </w:rPr>
          <w:t>https://doi.org/10.1186/s12874-019-0670-7</w:t>
        </w:r>
      </w:hyperlink>
    </w:p>
    <w:p w14:paraId="6AAACBBD" w14:textId="16B87799" w:rsidR="00E81111" w:rsidRPr="00E81111" w:rsidRDefault="00E81111" w:rsidP="00EB4ED6">
      <w:pPr>
        <w:pStyle w:val="ListParagraph"/>
        <w:numPr>
          <w:ilvl w:val="0"/>
          <w:numId w:val="36"/>
        </w:numPr>
        <w:ind w:left="284"/>
      </w:pPr>
      <w:proofErr w:type="spellStart"/>
      <w:r w:rsidRPr="00E81111">
        <w:t>Gigerenzer</w:t>
      </w:r>
      <w:proofErr w:type="spellEnd"/>
      <w:r w:rsidRPr="00E81111">
        <w:t xml:space="preserve">, G., &amp; </w:t>
      </w:r>
      <w:proofErr w:type="spellStart"/>
      <w:r w:rsidRPr="00E81111">
        <w:t>Gaissmaier</w:t>
      </w:r>
      <w:proofErr w:type="spellEnd"/>
      <w:r w:rsidRPr="00E81111">
        <w:t>, W. (2011). Heuristic decision making. Annual Review of Psychology, 62, 451–482.</w:t>
      </w:r>
    </w:p>
    <w:p w14:paraId="3556FC36" w14:textId="3DD0F875" w:rsidR="00E81111" w:rsidRPr="00E81111" w:rsidRDefault="00E81111" w:rsidP="00EB4ED6">
      <w:pPr>
        <w:pStyle w:val="ListParagraph"/>
        <w:numPr>
          <w:ilvl w:val="0"/>
          <w:numId w:val="36"/>
        </w:numPr>
        <w:ind w:left="284"/>
      </w:pPr>
      <w:r w:rsidRPr="00E81111">
        <w:lastRenderedPageBreak/>
        <w:t xml:space="preserve">Hermansen, A., Pollard, S., McGrail, K., </w:t>
      </w:r>
      <w:proofErr w:type="spellStart"/>
      <w:r w:rsidRPr="00E81111">
        <w:t>Bansback</w:t>
      </w:r>
      <w:proofErr w:type="spellEnd"/>
      <w:r w:rsidRPr="00E81111">
        <w:t>, N., &amp; Regier, D. A. (2024). Heuristics identified in health data-sharing preferences of patients with cancer: Qualitative focus group study. Journal of Medical Internet Research, 26, e63155. </w:t>
      </w:r>
      <w:hyperlink r:id="rId138" w:history="1">
        <w:r w:rsidRPr="00E81111">
          <w:rPr>
            <w:rStyle w:val="Hyperlink"/>
          </w:rPr>
          <w:t>https://doi.org/10.2196/63155</w:t>
        </w:r>
      </w:hyperlink>
    </w:p>
    <w:p w14:paraId="65166255" w14:textId="14D86C1C" w:rsidR="00E81111" w:rsidRPr="00E81111" w:rsidRDefault="00E81111" w:rsidP="00EB4ED6">
      <w:pPr>
        <w:pStyle w:val="ListParagraph"/>
        <w:numPr>
          <w:ilvl w:val="0"/>
          <w:numId w:val="36"/>
        </w:numPr>
        <w:ind w:left="284"/>
      </w:pPr>
      <w:r w:rsidRPr="00E81111">
        <w:t>Ho, K. H. M., Cheung, D. S. K., Bourke, S., &amp; Edvardsson, D. (2026). Reflexivity in Heideggerian hermeneutic phenomenology: The hermeneutic phenomenological circle. Journal of Advanced Nursing, 82(1), 957–965.</w:t>
      </w:r>
    </w:p>
    <w:p w14:paraId="26C731FE" w14:textId="4DB82C36" w:rsidR="00E81111" w:rsidRPr="00E81111" w:rsidRDefault="00E81111" w:rsidP="00EB4ED6">
      <w:pPr>
        <w:pStyle w:val="ListParagraph"/>
        <w:numPr>
          <w:ilvl w:val="0"/>
          <w:numId w:val="36"/>
        </w:numPr>
        <w:ind w:left="284"/>
      </w:pPr>
      <w:r w:rsidRPr="00E81111">
        <w:t xml:space="preserve">Hong, Q. N., </w:t>
      </w:r>
      <w:proofErr w:type="spellStart"/>
      <w:r w:rsidRPr="00E81111">
        <w:t>Pluye</w:t>
      </w:r>
      <w:proofErr w:type="spellEnd"/>
      <w:r w:rsidRPr="00E81111">
        <w:t>, P., Bujold, M., &amp; Wassef, M. (2017). Convergent and sequential synthesis designs: Implications for conducting and reporting systematic reviews of qualitative and quantitative evidence. Systematic Reviews, 6(1), 61. </w:t>
      </w:r>
      <w:hyperlink r:id="rId139" w:history="1">
        <w:r w:rsidRPr="00E81111">
          <w:rPr>
            <w:rStyle w:val="Hyperlink"/>
          </w:rPr>
          <w:t>https://doi.org/10.1186/s13643-017-0454-2</w:t>
        </w:r>
      </w:hyperlink>
    </w:p>
    <w:p w14:paraId="42D5B251" w14:textId="2D84FCBE" w:rsidR="00E81111" w:rsidRPr="00E81111" w:rsidRDefault="00E81111" w:rsidP="00EB4ED6">
      <w:pPr>
        <w:pStyle w:val="ListParagraph"/>
        <w:numPr>
          <w:ilvl w:val="0"/>
          <w:numId w:val="36"/>
        </w:numPr>
        <w:ind w:left="284"/>
      </w:pPr>
      <w:r w:rsidRPr="00E81111">
        <w:t xml:space="preserve">Hong, Q. N., </w:t>
      </w:r>
      <w:proofErr w:type="spellStart"/>
      <w:r w:rsidRPr="00E81111">
        <w:t>Pluye</w:t>
      </w:r>
      <w:proofErr w:type="spellEnd"/>
      <w:r w:rsidRPr="00E81111">
        <w:t xml:space="preserve">, P., </w:t>
      </w:r>
      <w:proofErr w:type="spellStart"/>
      <w:r w:rsidRPr="00E81111">
        <w:t>Fàbregues</w:t>
      </w:r>
      <w:proofErr w:type="spellEnd"/>
      <w:r w:rsidRPr="00E81111">
        <w:t>, S., Bartlett, G., Boardman, F., Cargo, M., et al. (2019). Improving the content validity of the mixed methods appraisal tool: A modified e-Delphi study. Journal of Clinical Epidemiology, 111, 49–</w:t>
      </w:r>
      <w:proofErr w:type="gramStart"/>
      <w:r w:rsidRPr="00E81111">
        <w:t>59.e</w:t>
      </w:r>
      <w:proofErr w:type="gramEnd"/>
      <w:r w:rsidRPr="00E81111">
        <w:t>1.</w:t>
      </w:r>
    </w:p>
    <w:p w14:paraId="1B26AD7D" w14:textId="61E0D8CB" w:rsidR="00E81111" w:rsidRPr="00E81111" w:rsidRDefault="00E81111" w:rsidP="00EB4ED6">
      <w:pPr>
        <w:pStyle w:val="ListParagraph"/>
        <w:numPr>
          <w:ilvl w:val="0"/>
          <w:numId w:val="36"/>
        </w:numPr>
        <w:ind w:left="284"/>
      </w:pPr>
      <w:proofErr w:type="spellStart"/>
      <w:r w:rsidRPr="00E81111">
        <w:t>Horcea-Milcu</w:t>
      </w:r>
      <w:proofErr w:type="spellEnd"/>
      <w:r w:rsidRPr="00E81111">
        <w:t xml:space="preserve">, A.-I., Leventon, J., &amp; Lang, D. J. (2022). Making </w:t>
      </w:r>
      <w:proofErr w:type="spellStart"/>
      <w:r w:rsidRPr="00E81111">
        <w:t>transdisciplinarity</w:t>
      </w:r>
      <w:proofErr w:type="spellEnd"/>
      <w:r w:rsidRPr="00E81111">
        <w:t xml:space="preserve"> happen: Phase 0, or before the beginning. Environmental Science &amp; Policy, 136, 187–197. </w:t>
      </w:r>
      <w:hyperlink r:id="rId140" w:history="1">
        <w:r w:rsidRPr="00E81111">
          <w:rPr>
            <w:rStyle w:val="Hyperlink"/>
          </w:rPr>
          <w:t>https://doi.org/10.1016/j.envsci.2022.05.019</w:t>
        </w:r>
      </w:hyperlink>
    </w:p>
    <w:p w14:paraId="35DA42A4" w14:textId="09E9C070" w:rsidR="00E81111" w:rsidRPr="00E81111" w:rsidRDefault="00E81111" w:rsidP="00EB4ED6">
      <w:pPr>
        <w:pStyle w:val="ListParagraph"/>
        <w:numPr>
          <w:ilvl w:val="0"/>
          <w:numId w:val="36"/>
        </w:numPr>
        <w:ind w:left="284"/>
      </w:pPr>
      <w:r w:rsidRPr="00E81111">
        <w:t xml:space="preserve">Hosseini, M.-S., </w:t>
      </w:r>
      <w:proofErr w:type="spellStart"/>
      <w:r w:rsidRPr="00E81111">
        <w:t>Jahanshahlou</w:t>
      </w:r>
      <w:proofErr w:type="spellEnd"/>
      <w:r w:rsidRPr="00E81111">
        <w:t>, F., Akbarzadeh, M. A., Zarei, M., &amp; Vaez-</w:t>
      </w:r>
      <w:proofErr w:type="spellStart"/>
      <w:r w:rsidRPr="00E81111">
        <w:t>Gharamaleki</w:t>
      </w:r>
      <w:proofErr w:type="spellEnd"/>
      <w:r w:rsidRPr="00E81111">
        <w:t>, Y. (2024). Formulating research questions for evidence-based studies. Journal of Medicine, Surgery, and Public Health, 2, 100046. </w:t>
      </w:r>
      <w:hyperlink r:id="rId141" w:history="1">
        <w:r w:rsidRPr="00E81111">
          <w:rPr>
            <w:rStyle w:val="Hyperlink"/>
          </w:rPr>
          <w:t>https://doi.org/10.1016/j.glmedi.2023.100046</w:t>
        </w:r>
      </w:hyperlink>
    </w:p>
    <w:p w14:paraId="113B6A31" w14:textId="6788303F" w:rsidR="00E81111" w:rsidRPr="00E81111" w:rsidRDefault="00E81111" w:rsidP="00EB4ED6">
      <w:pPr>
        <w:pStyle w:val="ListParagraph"/>
        <w:numPr>
          <w:ilvl w:val="0"/>
          <w:numId w:val="36"/>
        </w:numPr>
        <w:ind w:left="284"/>
      </w:pPr>
      <w:r w:rsidRPr="005F7C23">
        <w:rPr>
          <w:lang w:val="nl-NL"/>
        </w:rPr>
        <w:t xml:space="preserve">Katsikopoulos, K. V., &amp; Gigerenzer, G. (2026). </w:t>
      </w:r>
      <w:r w:rsidRPr="00E81111">
        <w:t>Fast-and-frugal heuristics: Analytical models of intuition. IMA Journal of Management Mathematics, 37(1), 17–33.</w:t>
      </w:r>
    </w:p>
    <w:p w14:paraId="2F65A0C2" w14:textId="6EAFDD7D" w:rsidR="00E81111" w:rsidRPr="00E81111" w:rsidRDefault="00E81111" w:rsidP="00EB4ED6">
      <w:pPr>
        <w:pStyle w:val="ListParagraph"/>
        <w:numPr>
          <w:ilvl w:val="0"/>
          <w:numId w:val="36"/>
        </w:numPr>
        <w:ind w:left="284"/>
      </w:pPr>
      <w:r w:rsidRPr="00E81111">
        <w:t>Keahey, J. (2021). Sustainable development and participatory action research: A systematic review. Systemic Practice and Action Research, 34(3), 291–306.</w:t>
      </w:r>
    </w:p>
    <w:p w14:paraId="68D50CD7" w14:textId="6BD1073C" w:rsidR="00E81111" w:rsidRPr="00E81111" w:rsidRDefault="00E81111" w:rsidP="00EB4ED6">
      <w:pPr>
        <w:pStyle w:val="ListParagraph"/>
        <w:numPr>
          <w:ilvl w:val="0"/>
          <w:numId w:val="36"/>
        </w:numPr>
        <w:ind w:left="284"/>
      </w:pPr>
      <w:proofErr w:type="spellStart"/>
      <w:r w:rsidRPr="00E81111">
        <w:t>Lachal</w:t>
      </w:r>
      <w:proofErr w:type="spellEnd"/>
      <w:r w:rsidRPr="00E81111">
        <w:t xml:space="preserve">, J., </w:t>
      </w:r>
      <w:proofErr w:type="spellStart"/>
      <w:r w:rsidRPr="00E81111">
        <w:t>Revah</w:t>
      </w:r>
      <w:proofErr w:type="spellEnd"/>
      <w:r w:rsidRPr="00E81111">
        <w:t xml:space="preserve">-Levy, A., Orri, M., &amp; Moro, M. R. (2017). </w:t>
      </w:r>
      <w:proofErr w:type="spellStart"/>
      <w:r w:rsidRPr="00E81111">
        <w:t>Metasynthesis</w:t>
      </w:r>
      <w:proofErr w:type="spellEnd"/>
      <w:r w:rsidRPr="00E81111">
        <w:t>: An original method to synthesize qualitative literature in psychiatry. Frontiers in Psychiatry, 8, 269. </w:t>
      </w:r>
      <w:hyperlink r:id="rId142" w:history="1">
        <w:r w:rsidRPr="00E81111">
          <w:rPr>
            <w:rStyle w:val="Hyperlink"/>
          </w:rPr>
          <w:t>https://doi.org/10.3389/fpsyt.2017.00269</w:t>
        </w:r>
      </w:hyperlink>
    </w:p>
    <w:p w14:paraId="505A7031" w14:textId="4D0F6854" w:rsidR="00E81111" w:rsidRPr="00E81111" w:rsidRDefault="00E81111" w:rsidP="00EB4ED6">
      <w:pPr>
        <w:pStyle w:val="ListParagraph"/>
        <w:numPr>
          <w:ilvl w:val="0"/>
          <w:numId w:val="36"/>
        </w:numPr>
        <w:ind w:left="284"/>
      </w:pPr>
      <w:r w:rsidRPr="005F7C23">
        <w:rPr>
          <w:lang w:val="nl-NL"/>
        </w:rPr>
        <w:t xml:space="preserve">Lang, D. J., Wiek, A., Bergmann, M., Stauffacher, M., Martens, P., Moll, P., et al. </w:t>
      </w:r>
      <w:r w:rsidRPr="00E81111">
        <w:t>(2012). Transdisciplinary research in sustainability science: Practice, principles, and challenges. Sustainability Science, 7(Suppl. 1), 25–43. </w:t>
      </w:r>
      <w:hyperlink r:id="rId143" w:history="1">
        <w:r w:rsidRPr="00E81111">
          <w:rPr>
            <w:rStyle w:val="Hyperlink"/>
          </w:rPr>
          <w:t>https://doi.org/10.1007/s11625-011-0149-x</w:t>
        </w:r>
      </w:hyperlink>
    </w:p>
    <w:p w14:paraId="388EEAB5" w14:textId="63224F22" w:rsidR="00E81111" w:rsidRPr="00E81111" w:rsidRDefault="00E81111" w:rsidP="00EB4ED6">
      <w:pPr>
        <w:pStyle w:val="ListParagraph"/>
        <w:numPr>
          <w:ilvl w:val="0"/>
          <w:numId w:val="36"/>
        </w:numPr>
        <w:ind w:left="284"/>
      </w:pPr>
      <w:r w:rsidRPr="00E81111">
        <w:t>Lee, R. P., Hart, R. I., Watson, R. M., &amp; Rapley, T. (2015). Qualitative synthesis in practice: Some pragmatics of meta-ethnography. Qualitative Research, 15(3), 334–350.</w:t>
      </w:r>
    </w:p>
    <w:p w14:paraId="5DCEF29A" w14:textId="3642A56B" w:rsidR="00E81111" w:rsidRPr="00E81111" w:rsidRDefault="00E81111" w:rsidP="00EB4ED6">
      <w:pPr>
        <w:pStyle w:val="ListParagraph"/>
        <w:numPr>
          <w:ilvl w:val="0"/>
          <w:numId w:val="36"/>
        </w:numPr>
        <w:ind w:left="284"/>
      </w:pPr>
      <w:r w:rsidRPr="00E81111">
        <w:t>Lewin, S., Bohren, M., Rashidian, A., Munthe-Kaas, H., Glenton, C., Colvin, C. J., et al. (2018). Applying GRADE-</w:t>
      </w:r>
      <w:proofErr w:type="spellStart"/>
      <w:r w:rsidRPr="00E81111">
        <w:t>CERQual</w:t>
      </w:r>
      <w:proofErr w:type="spellEnd"/>
      <w:r w:rsidRPr="00E81111">
        <w:t xml:space="preserve"> to qualitative evidence synthesis findings—Paper 2: How to make an overall </w:t>
      </w:r>
      <w:proofErr w:type="spellStart"/>
      <w:r w:rsidRPr="00E81111">
        <w:t>CERQual</w:t>
      </w:r>
      <w:proofErr w:type="spellEnd"/>
      <w:r w:rsidRPr="00E81111">
        <w:t xml:space="preserve"> assessment of confidence and create a summary of qualitative findings table. Implementation Science, 13(Suppl. 1), 10.</w:t>
      </w:r>
    </w:p>
    <w:p w14:paraId="673DD768" w14:textId="35D0BA16" w:rsidR="00E81111" w:rsidRPr="00E81111" w:rsidRDefault="00E81111" w:rsidP="00EB4ED6">
      <w:pPr>
        <w:pStyle w:val="ListParagraph"/>
        <w:numPr>
          <w:ilvl w:val="0"/>
          <w:numId w:val="36"/>
        </w:numPr>
        <w:ind w:left="284"/>
      </w:pPr>
      <w:r w:rsidRPr="00E81111">
        <w:t xml:space="preserve">Long, H. A., French, D. P., &amp; Brooks, J. M. (2020). </w:t>
      </w:r>
      <w:proofErr w:type="spellStart"/>
      <w:r w:rsidRPr="00E81111">
        <w:t>Optimising</w:t>
      </w:r>
      <w:proofErr w:type="spellEnd"/>
      <w:r w:rsidRPr="00E81111">
        <w:t xml:space="preserve"> the value of the critical appraisal skills </w:t>
      </w:r>
      <w:proofErr w:type="spellStart"/>
      <w:r w:rsidRPr="00E81111">
        <w:t>programme</w:t>
      </w:r>
      <w:proofErr w:type="spellEnd"/>
      <w:r w:rsidRPr="00E81111">
        <w:t xml:space="preserve"> (CASP) tool for quality appraisal in qualitative evidence synthesis. Research Methods in Medicine &amp; Health Sciences, 1(1), 31–42.</w:t>
      </w:r>
    </w:p>
    <w:p w14:paraId="4A7DAC56" w14:textId="237FAB05" w:rsidR="00E81111" w:rsidRPr="00E81111" w:rsidRDefault="00E81111" w:rsidP="00EB4ED6">
      <w:pPr>
        <w:pStyle w:val="ListParagraph"/>
        <w:numPr>
          <w:ilvl w:val="0"/>
          <w:numId w:val="36"/>
        </w:numPr>
        <w:ind w:left="284"/>
      </w:pPr>
      <w:r w:rsidRPr="005F7C23">
        <w:rPr>
          <w:lang w:val="nl-NL"/>
        </w:rPr>
        <w:t xml:space="preserve">Luan, S., Reb, J., &amp; Gigerenzer, G. (2019). </w:t>
      </w:r>
      <w:r w:rsidRPr="00E81111">
        <w:t>Ecological rationality: Fast-and-frugal heuristics for managerial decision making under uncertainty. Academy of Management Journal, 62(6), 1735–1759.</w:t>
      </w:r>
    </w:p>
    <w:p w14:paraId="52494D3C" w14:textId="73D0AE2A" w:rsidR="00E81111" w:rsidRPr="00E81111" w:rsidRDefault="00E81111" w:rsidP="00EB4ED6">
      <w:pPr>
        <w:pStyle w:val="ListParagraph"/>
        <w:numPr>
          <w:ilvl w:val="0"/>
          <w:numId w:val="36"/>
        </w:numPr>
        <w:ind w:left="284"/>
      </w:pPr>
      <w:r w:rsidRPr="005F7C23">
        <w:rPr>
          <w:lang w:val="nl-NL"/>
        </w:rPr>
        <w:t xml:space="preserve">Marewski, J. N., &amp; Gigerenzer, G. (2012). </w:t>
      </w:r>
      <w:r w:rsidRPr="00E81111">
        <w:t>Heuristic decision making in medicine. Dialogues in Clinical Neuroscience, 14(1), 77–89.</w:t>
      </w:r>
    </w:p>
    <w:p w14:paraId="6124E983" w14:textId="27B668CF" w:rsidR="00E81111" w:rsidRPr="00E81111" w:rsidRDefault="00E81111" w:rsidP="00EB4ED6">
      <w:pPr>
        <w:pStyle w:val="ListParagraph"/>
        <w:numPr>
          <w:ilvl w:val="0"/>
          <w:numId w:val="36"/>
        </w:numPr>
        <w:ind w:left="284"/>
      </w:pPr>
      <w:r w:rsidRPr="00E81111">
        <w:t xml:space="preserve">Masson, J. E., </w:t>
      </w:r>
      <w:proofErr w:type="spellStart"/>
      <w:r w:rsidRPr="00E81111">
        <w:t>Soustre-Gacougnolle</w:t>
      </w:r>
      <w:proofErr w:type="spellEnd"/>
      <w:r w:rsidRPr="00E81111">
        <w:t xml:space="preserve">, I., Perrin, M., Schmitt, C., </w:t>
      </w:r>
      <w:proofErr w:type="spellStart"/>
      <w:r w:rsidRPr="00E81111">
        <w:t>Henaux</w:t>
      </w:r>
      <w:proofErr w:type="spellEnd"/>
      <w:r w:rsidRPr="00E81111">
        <w:t xml:space="preserve">, M., </w:t>
      </w:r>
      <w:proofErr w:type="spellStart"/>
      <w:r w:rsidRPr="00E81111">
        <w:t>Jaugey</w:t>
      </w:r>
      <w:proofErr w:type="spellEnd"/>
      <w:r w:rsidRPr="00E81111">
        <w:t xml:space="preserve">, C., et al. (2021). Transdisciplinary participatory-action-research from questions to actionable </w:t>
      </w:r>
      <w:r w:rsidRPr="00E81111">
        <w:lastRenderedPageBreak/>
        <w:t>knowledge for sustainable viticulture development. Humanities and Social Sciences Communications, 8(1), 1–9.</w:t>
      </w:r>
    </w:p>
    <w:p w14:paraId="601F23F3" w14:textId="1BDFA83D" w:rsidR="00E81111" w:rsidRPr="00E81111" w:rsidRDefault="00E81111" w:rsidP="00EB4ED6">
      <w:pPr>
        <w:pStyle w:val="ListParagraph"/>
        <w:numPr>
          <w:ilvl w:val="0"/>
          <w:numId w:val="36"/>
        </w:numPr>
        <w:ind w:left="284"/>
      </w:pPr>
      <w:r w:rsidRPr="00E81111">
        <w:t>Mehari, K. R., Jeffrey, A., Chastang, C. M., &amp; Schnitker, S. A. (2023). Transdisciplinary participatory action research: How philosophers, psychologists, and practitioners can work well together to promote adolescent character development within context. The Journal of Positive Psychology, 19(5), 869–880. </w:t>
      </w:r>
      <w:hyperlink r:id="rId144" w:history="1">
        <w:r w:rsidRPr="00E81111">
          <w:rPr>
            <w:rStyle w:val="Hyperlink"/>
          </w:rPr>
          <w:t>https://doi.org/10.1080/17439760.2023.2179933</w:t>
        </w:r>
      </w:hyperlink>
    </w:p>
    <w:p w14:paraId="25B3078E" w14:textId="6E45FA3C" w:rsidR="00E81111" w:rsidRPr="00E81111" w:rsidRDefault="00E81111" w:rsidP="00EB4ED6">
      <w:pPr>
        <w:pStyle w:val="ListParagraph"/>
        <w:numPr>
          <w:ilvl w:val="0"/>
          <w:numId w:val="36"/>
        </w:numPr>
        <w:ind w:left="284"/>
      </w:pPr>
      <w:r w:rsidRPr="00E81111">
        <w:t>Mihalache, G. (2019). Heuristic inquiry: Differentiated from descriptive phenomenology and aligned with transpersonal research methods. The Humanistic Psychologist, 47(2), 136–154.</w:t>
      </w:r>
    </w:p>
    <w:p w14:paraId="6035AA1A" w14:textId="0D9DB3FB" w:rsidR="00E81111" w:rsidRPr="00E81111" w:rsidRDefault="00E81111" w:rsidP="00EB4ED6">
      <w:pPr>
        <w:pStyle w:val="ListParagraph"/>
        <w:numPr>
          <w:ilvl w:val="0"/>
          <w:numId w:val="36"/>
        </w:numPr>
        <w:ind w:left="284"/>
      </w:pPr>
      <w:r w:rsidRPr="00E81111">
        <w:t xml:space="preserve">Nicolescu, B. (2014). Methodology of </w:t>
      </w:r>
      <w:proofErr w:type="spellStart"/>
      <w:r w:rsidRPr="00E81111">
        <w:t>transdisciplinarity</w:t>
      </w:r>
      <w:proofErr w:type="spellEnd"/>
      <w:r w:rsidRPr="00E81111">
        <w:t>. World Futures, 70(3–4), 186–199. </w:t>
      </w:r>
      <w:hyperlink r:id="rId145" w:history="1">
        <w:r w:rsidRPr="00E81111">
          <w:rPr>
            <w:rStyle w:val="Hyperlink"/>
          </w:rPr>
          <w:t>https://doi.org/10.1080/02604027.2014.934631</w:t>
        </w:r>
      </w:hyperlink>
    </w:p>
    <w:p w14:paraId="05CB8748" w14:textId="760E521D" w:rsidR="00E81111" w:rsidRPr="00E81111" w:rsidRDefault="00E81111" w:rsidP="00EB4ED6">
      <w:pPr>
        <w:pStyle w:val="ListParagraph"/>
        <w:numPr>
          <w:ilvl w:val="0"/>
          <w:numId w:val="36"/>
        </w:numPr>
        <w:ind w:left="284"/>
      </w:pPr>
      <w:r w:rsidRPr="00E81111">
        <w:t xml:space="preserve">Nix, E., Paulose, J., </w:t>
      </w:r>
      <w:proofErr w:type="spellStart"/>
      <w:r w:rsidRPr="00E81111">
        <w:t>Shrubsole</w:t>
      </w:r>
      <w:proofErr w:type="spellEnd"/>
      <w:r w:rsidRPr="00E81111">
        <w:t xml:space="preserve">, C., Altamirano-Medina, H., </w:t>
      </w:r>
      <w:proofErr w:type="spellStart"/>
      <w:r w:rsidRPr="00E81111">
        <w:t>Belesova</w:t>
      </w:r>
      <w:proofErr w:type="spellEnd"/>
      <w:r w:rsidRPr="00E81111">
        <w:t>, K., Davies, M., Khosla, R., &amp; Wilkinson, P. (2019). Participatory action research as a framework for transdisciplinary collaboration: A pilot study on healthy, sustainable, low-income housing in Delhi, India. Global Challenges, 3(4), 1800054. </w:t>
      </w:r>
      <w:hyperlink r:id="rId146" w:history="1">
        <w:r w:rsidRPr="00E81111">
          <w:rPr>
            <w:rStyle w:val="Hyperlink"/>
          </w:rPr>
          <w:t>https://doi.org/10.1002/gch2.201800054</w:t>
        </w:r>
      </w:hyperlink>
    </w:p>
    <w:p w14:paraId="6C1194D8" w14:textId="1E7109A4" w:rsidR="00E81111" w:rsidRPr="00E81111" w:rsidRDefault="00E81111" w:rsidP="00EB4ED6">
      <w:pPr>
        <w:pStyle w:val="ListParagraph"/>
        <w:numPr>
          <w:ilvl w:val="0"/>
          <w:numId w:val="36"/>
        </w:numPr>
        <w:ind w:left="284"/>
      </w:pPr>
      <w:r w:rsidRPr="00E81111">
        <w:t>Noblit, G. W., &amp; Hare, R. D. (1988). Meta-ethnography: Synthesizing qualitative studies. Sage.</w:t>
      </w:r>
    </w:p>
    <w:p w14:paraId="732BDA52" w14:textId="4330C3C3" w:rsidR="00E81111" w:rsidRPr="00E81111" w:rsidRDefault="00E81111" w:rsidP="00EB4ED6">
      <w:pPr>
        <w:pStyle w:val="ListParagraph"/>
        <w:numPr>
          <w:ilvl w:val="0"/>
          <w:numId w:val="36"/>
        </w:numPr>
        <w:ind w:left="284"/>
      </w:pPr>
      <w:r w:rsidRPr="00E81111">
        <w:t xml:space="preserve">Page, M. J., McKenzie, J. E., Bossuyt, P. M., </w:t>
      </w:r>
      <w:proofErr w:type="spellStart"/>
      <w:r w:rsidRPr="00E81111">
        <w:t>Boutron</w:t>
      </w:r>
      <w:proofErr w:type="spellEnd"/>
      <w:r w:rsidRPr="00E81111">
        <w:t xml:space="preserve">, I., Hoffmann, T. C., Mulrow, C. D., </w:t>
      </w:r>
      <w:proofErr w:type="spellStart"/>
      <w:r w:rsidRPr="00E81111">
        <w:t>Shamseer</w:t>
      </w:r>
      <w:proofErr w:type="spellEnd"/>
      <w:r w:rsidRPr="00E81111">
        <w:t>, L., Tetzlaff, J. M., Akl, E. A., Brennan, S. E., Chou, R., Glanville, J., Grimshaw, J. M., Hróbjartsson, A., Lalu, M. M., Li, T., Loder, E. W., Mayo-</w:t>
      </w:r>
    </w:p>
    <w:p w14:paraId="746367C2" w14:textId="40D2D7D9" w:rsidR="00E81111" w:rsidRPr="00E81111" w:rsidRDefault="00E81111" w:rsidP="00EB4ED6">
      <w:pPr>
        <w:pStyle w:val="ListParagraph"/>
        <w:numPr>
          <w:ilvl w:val="0"/>
          <w:numId w:val="36"/>
        </w:numPr>
        <w:ind w:left="284"/>
      </w:pPr>
      <w:r w:rsidRPr="00E81111">
        <w:t xml:space="preserve">Wilson, E., McDonald, S., McGuinness, L. A., Stewart, L. A., Thomas, J., </w:t>
      </w:r>
      <w:proofErr w:type="spellStart"/>
      <w:r w:rsidRPr="00E81111">
        <w:t>Tricco</w:t>
      </w:r>
      <w:proofErr w:type="spellEnd"/>
      <w:r w:rsidRPr="00E81111">
        <w:t>, A. C., Welch, V. A., Whiting, P., &amp; Moher, D. (2021). The PRISMA 2020 statement: An updated guideline for reporting systematic reviews. BMJ, 372, n71. </w:t>
      </w:r>
      <w:hyperlink r:id="rId147" w:history="1">
        <w:r w:rsidRPr="00E81111">
          <w:rPr>
            <w:rStyle w:val="Hyperlink"/>
          </w:rPr>
          <w:t>https://doi.org/10.1136/bmj.n71</w:t>
        </w:r>
      </w:hyperlink>
    </w:p>
    <w:p w14:paraId="249073F1" w14:textId="73AF68A9" w:rsidR="00E81111" w:rsidRPr="00E81111" w:rsidRDefault="00E81111" w:rsidP="00EB4ED6">
      <w:pPr>
        <w:pStyle w:val="ListParagraph"/>
        <w:numPr>
          <w:ilvl w:val="0"/>
          <w:numId w:val="36"/>
        </w:numPr>
        <w:ind w:left="284"/>
      </w:pPr>
      <w:r w:rsidRPr="00E81111">
        <w:t xml:space="preserve">Pratt, S., </w:t>
      </w:r>
      <w:proofErr w:type="spellStart"/>
      <w:r w:rsidRPr="00E81111">
        <w:t>Heggart</w:t>
      </w:r>
      <w:proofErr w:type="spellEnd"/>
      <w:r w:rsidRPr="00E81111">
        <w:t>, K., Christensen, P. H., &amp; Sankaran, S. (2024). Fostering participatory action research in higher degree research settings through a transdisciplinary peer-mentoring collaborative. Systemic Practice and Action Research, 37(5), 565–584.</w:t>
      </w:r>
    </w:p>
    <w:p w14:paraId="54BC9EC5" w14:textId="2B4F0A84" w:rsidR="00E81111" w:rsidRPr="00E81111" w:rsidRDefault="00E81111" w:rsidP="00EB4ED6">
      <w:pPr>
        <w:pStyle w:val="ListParagraph"/>
        <w:numPr>
          <w:ilvl w:val="0"/>
          <w:numId w:val="36"/>
        </w:numPr>
        <w:ind w:left="284"/>
      </w:pPr>
      <w:r w:rsidRPr="00E81111">
        <w:t xml:space="preserve">Reed, M. G., Robson, J. P., Campos Rivera, M., </w:t>
      </w:r>
      <w:proofErr w:type="spellStart"/>
      <w:r w:rsidRPr="00E81111">
        <w:t>Chapela</w:t>
      </w:r>
      <w:proofErr w:type="spellEnd"/>
      <w:r w:rsidRPr="00E81111">
        <w:t>, F., Davidson-Hunt, I., Friedrichsen, P., et al. (2023). Guiding principles for transdisciplinary sustainability research and practice. People and Nature, 5(4), 1094–1109. </w:t>
      </w:r>
      <w:hyperlink r:id="rId148" w:history="1">
        <w:r w:rsidRPr="00E81111">
          <w:rPr>
            <w:rStyle w:val="Hyperlink"/>
          </w:rPr>
          <w:t>https://doi.org/10.1002/pan3.10496</w:t>
        </w:r>
      </w:hyperlink>
    </w:p>
    <w:p w14:paraId="6323CA93" w14:textId="12532BD1" w:rsidR="00E81111" w:rsidRPr="00E81111" w:rsidRDefault="00E81111" w:rsidP="00EB4ED6">
      <w:pPr>
        <w:pStyle w:val="ListParagraph"/>
        <w:numPr>
          <w:ilvl w:val="0"/>
          <w:numId w:val="36"/>
        </w:numPr>
        <w:ind w:left="284"/>
      </w:pPr>
      <w:r w:rsidRPr="00E81111">
        <w:t>Reiners, G. M. (2012). Understanding the differences between Husserl’s descriptive and Heidegger’s interpretive phenomenological research. Journal of Nursing &amp; Care, 1(5), 1–3.</w:t>
      </w:r>
    </w:p>
    <w:p w14:paraId="6F1F4F87" w14:textId="1BC4BDCE" w:rsidR="00E81111" w:rsidRPr="00E81111" w:rsidRDefault="00E81111" w:rsidP="00EB4ED6">
      <w:pPr>
        <w:pStyle w:val="ListParagraph"/>
        <w:numPr>
          <w:ilvl w:val="0"/>
          <w:numId w:val="36"/>
        </w:numPr>
        <w:ind w:left="284"/>
      </w:pPr>
      <w:proofErr w:type="spellStart"/>
      <w:r w:rsidRPr="00E81111">
        <w:t>Rigolot</w:t>
      </w:r>
      <w:proofErr w:type="spellEnd"/>
      <w:r w:rsidRPr="00E81111">
        <w:t xml:space="preserve">, C. (2020). </w:t>
      </w:r>
      <w:proofErr w:type="spellStart"/>
      <w:r w:rsidRPr="00E81111">
        <w:t>Transdisciplinarity</w:t>
      </w:r>
      <w:proofErr w:type="spellEnd"/>
      <w:r w:rsidRPr="00E81111">
        <w:t xml:space="preserve"> as a discipline and a way of being: Complementarities and creative tensions. Humanities and Social Sciences Communications, 7, 100. </w:t>
      </w:r>
      <w:hyperlink r:id="rId149" w:history="1">
        <w:r w:rsidRPr="00E81111">
          <w:rPr>
            <w:rStyle w:val="Hyperlink"/>
          </w:rPr>
          <w:t>https://doi.org/10.1057/s41599-020-00598-5</w:t>
        </w:r>
      </w:hyperlink>
    </w:p>
    <w:p w14:paraId="1F3ADDFD" w14:textId="65B2493F" w:rsidR="00E81111" w:rsidRPr="00E81111" w:rsidRDefault="00E81111" w:rsidP="00EB4ED6">
      <w:pPr>
        <w:pStyle w:val="ListParagraph"/>
        <w:numPr>
          <w:ilvl w:val="0"/>
          <w:numId w:val="36"/>
        </w:numPr>
        <w:ind w:left="284"/>
      </w:pPr>
      <w:proofErr w:type="spellStart"/>
      <w:r w:rsidRPr="00E81111">
        <w:t>Röing</w:t>
      </w:r>
      <w:proofErr w:type="spellEnd"/>
      <w:r w:rsidRPr="00E81111">
        <w:t xml:space="preserve">, M., &amp; Sanner, M. (2015). A meta-ethnographic synthesis on </w:t>
      </w:r>
      <w:proofErr w:type="spellStart"/>
      <w:r w:rsidRPr="00E81111">
        <w:t>phenomenographic</w:t>
      </w:r>
      <w:proofErr w:type="spellEnd"/>
      <w:r w:rsidRPr="00E81111">
        <w:t xml:space="preserve"> studies of patients’ experiences of chronic illness. International Journal of Qualitative Studies on Health and Well-being, 10, 26279. </w:t>
      </w:r>
      <w:hyperlink r:id="rId150" w:history="1">
        <w:r w:rsidRPr="00E81111">
          <w:rPr>
            <w:rStyle w:val="Hyperlink"/>
          </w:rPr>
          <w:t>https://doi.org/10.3402/qhw.v10.26279</w:t>
        </w:r>
      </w:hyperlink>
    </w:p>
    <w:p w14:paraId="3062F4C6" w14:textId="03B0E5AF" w:rsidR="00E81111" w:rsidRPr="00E81111" w:rsidRDefault="00E81111" w:rsidP="00EB4ED6">
      <w:pPr>
        <w:pStyle w:val="ListParagraph"/>
        <w:numPr>
          <w:ilvl w:val="0"/>
          <w:numId w:val="36"/>
        </w:numPr>
        <w:ind w:left="284"/>
      </w:pPr>
      <w:r w:rsidRPr="005F7C23">
        <w:rPr>
          <w:lang w:val="nl-NL"/>
        </w:rPr>
        <w:t xml:space="preserve">Sandelowski, M., Leeman, J., Knafl, K., &amp; Crandell, J. L. (2013). </w:t>
      </w:r>
      <w:r w:rsidRPr="00E81111">
        <w:t>Text-in-context: A method for extracting findings in mixed-methods mixed research synthesis studies. Journal of Advanced Nursing, 69(6), 1428–1437.</w:t>
      </w:r>
    </w:p>
    <w:p w14:paraId="5F551CCE" w14:textId="34681E5A" w:rsidR="00E81111" w:rsidRPr="00E81111" w:rsidRDefault="00E81111" w:rsidP="00EB4ED6">
      <w:pPr>
        <w:pStyle w:val="ListParagraph"/>
        <w:numPr>
          <w:ilvl w:val="0"/>
          <w:numId w:val="36"/>
        </w:numPr>
        <w:ind w:left="284"/>
      </w:pPr>
      <w:r w:rsidRPr="00E81111">
        <w:t xml:space="preserve">Sattar, R., Lawton, R., </w:t>
      </w:r>
      <w:proofErr w:type="spellStart"/>
      <w:r w:rsidRPr="00E81111">
        <w:t>Panagioti</w:t>
      </w:r>
      <w:proofErr w:type="spellEnd"/>
      <w:r w:rsidRPr="00E81111">
        <w:t>, M., &amp; Johnson, J. (2021). Meta-ethnography in healthcare research: A guide to using a meta-ethnographic approach for literature synthesis. BMC Health Services Research, 21(1), 50. </w:t>
      </w:r>
      <w:hyperlink r:id="rId151" w:history="1">
        <w:r w:rsidRPr="00E81111">
          <w:rPr>
            <w:rStyle w:val="Hyperlink"/>
          </w:rPr>
          <w:t>https://doi.org/10.1186/s12913-020-06049-w</w:t>
        </w:r>
      </w:hyperlink>
    </w:p>
    <w:p w14:paraId="5F3EF29C" w14:textId="196129E1" w:rsidR="00E81111" w:rsidRPr="00E81111" w:rsidRDefault="00E81111" w:rsidP="00EB4ED6">
      <w:pPr>
        <w:pStyle w:val="ListParagraph"/>
        <w:numPr>
          <w:ilvl w:val="0"/>
          <w:numId w:val="36"/>
        </w:numPr>
        <w:ind w:left="284"/>
      </w:pPr>
      <w:proofErr w:type="spellStart"/>
      <w:r w:rsidRPr="00E81111">
        <w:t>SmithBattle</w:t>
      </w:r>
      <w:proofErr w:type="spellEnd"/>
      <w:r w:rsidRPr="00E81111">
        <w:t xml:space="preserve">, L., </w:t>
      </w:r>
      <w:proofErr w:type="spellStart"/>
      <w:r w:rsidRPr="00E81111">
        <w:t>Schmuke</w:t>
      </w:r>
      <w:proofErr w:type="spellEnd"/>
      <w:r w:rsidRPr="00E81111">
        <w:t xml:space="preserve">, A. D., </w:t>
      </w:r>
      <w:proofErr w:type="spellStart"/>
      <w:r w:rsidRPr="00E81111">
        <w:t>Dettenmeier</w:t>
      </w:r>
      <w:proofErr w:type="spellEnd"/>
      <w:r w:rsidRPr="00E81111">
        <w:t>, P. A., &amp; Donahue, K. A. (2024). The indelible role of the interpretive researcher’s fore-structure in traversing the hermeneutic circle. Nursing Inquiry, 31(4), e12668.</w:t>
      </w:r>
    </w:p>
    <w:p w14:paraId="0CEE3A78" w14:textId="3F9065A5" w:rsidR="00E81111" w:rsidRPr="00E81111" w:rsidRDefault="00E81111" w:rsidP="00EB4ED6">
      <w:pPr>
        <w:pStyle w:val="ListParagraph"/>
        <w:numPr>
          <w:ilvl w:val="0"/>
          <w:numId w:val="36"/>
        </w:numPr>
        <w:ind w:left="284"/>
      </w:pPr>
      <w:r w:rsidRPr="00E81111">
        <w:lastRenderedPageBreak/>
        <w:t>Soundy, A., &amp; Heneghan, N. R. (2022). Meta-ethnography. International Review of Sport and Exercise Psychology, 15(1), 266–286. </w:t>
      </w:r>
      <w:hyperlink r:id="rId152" w:history="1">
        <w:r w:rsidRPr="00E81111">
          <w:rPr>
            <w:rStyle w:val="Hyperlink"/>
          </w:rPr>
          <w:t>https://doi.org/10.1080/1750984X.2021.1966822</w:t>
        </w:r>
      </w:hyperlink>
    </w:p>
    <w:p w14:paraId="2A45C15F" w14:textId="21983AAB" w:rsidR="00E81111" w:rsidRPr="00E81111" w:rsidRDefault="00E81111" w:rsidP="00EB4ED6">
      <w:pPr>
        <w:pStyle w:val="ListParagraph"/>
        <w:numPr>
          <w:ilvl w:val="0"/>
          <w:numId w:val="36"/>
        </w:numPr>
        <w:ind w:left="284"/>
      </w:pPr>
      <w:r w:rsidRPr="00E81111">
        <w:t>Thomas, J., &amp; Harden, A. (2008). Methods for the thematic synthesis of qualitative research in systematic reviews. BMC Medical Research Methodology, 8, 45. </w:t>
      </w:r>
      <w:hyperlink r:id="rId153" w:history="1">
        <w:r w:rsidRPr="00E81111">
          <w:rPr>
            <w:rStyle w:val="Hyperlink"/>
          </w:rPr>
          <w:t>https://doi.org/10.1186/1471-2288-8-45</w:t>
        </w:r>
      </w:hyperlink>
    </w:p>
    <w:p w14:paraId="511820B1" w14:textId="680F6FC9" w:rsidR="00E81111" w:rsidRPr="00E81111" w:rsidRDefault="00E81111" w:rsidP="00EB4ED6">
      <w:pPr>
        <w:pStyle w:val="ListParagraph"/>
        <w:numPr>
          <w:ilvl w:val="0"/>
          <w:numId w:val="36"/>
        </w:numPr>
        <w:ind w:left="284"/>
      </w:pPr>
      <w:r w:rsidRPr="00E81111">
        <w:t>Tong, A., Flemming, K., McInnes, E., Oliver, S., &amp; Craig, J. (2012). Enhancing transparency in reporting the synthesis of qualitative research: ENTREQ. BMC Medical Research Methodology, 12, 181. </w:t>
      </w:r>
      <w:hyperlink r:id="rId154" w:history="1">
        <w:r w:rsidRPr="00E81111">
          <w:rPr>
            <w:rStyle w:val="Hyperlink"/>
          </w:rPr>
          <w:t>https://doi.org/10.1186/1471-2288-12-181</w:t>
        </w:r>
      </w:hyperlink>
    </w:p>
    <w:p w14:paraId="2F6751C4" w14:textId="573EBE94" w:rsidR="00E81111" w:rsidRPr="00E81111" w:rsidRDefault="00E81111" w:rsidP="00EB4ED6">
      <w:pPr>
        <w:pStyle w:val="ListParagraph"/>
        <w:numPr>
          <w:ilvl w:val="0"/>
          <w:numId w:val="36"/>
        </w:numPr>
        <w:ind w:left="284"/>
      </w:pPr>
      <w:proofErr w:type="spellStart"/>
      <w:r w:rsidRPr="00E81111">
        <w:t>Vienni</w:t>
      </w:r>
      <w:proofErr w:type="spellEnd"/>
      <w:r w:rsidRPr="00E81111">
        <w:t xml:space="preserve">-Baptista, B., &amp; Pohl, C. E. (2024). Exploring interdisciplinarity and </w:t>
      </w:r>
      <w:proofErr w:type="spellStart"/>
      <w:r w:rsidRPr="00E81111">
        <w:t>transdisciplinarity</w:t>
      </w:r>
      <w:proofErr w:type="spellEnd"/>
      <w:r w:rsidRPr="00E81111">
        <w:t xml:space="preserve"> as knowledge regimes: A heuristic tool for disentangling understandings in academia and policy. Science, Technology, &amp; Human Values, 49(6), 1309–1348.</w:t>
      </w:r>
    </w:p>
    <w:p w14:paraId="278DF64C" w14:textId="1380C8C9" w:rsidR="00E81111" w:rsidRPr="00E81111" w:rsidRDefault="00E81111" w:rsidP="00EB4ED6">
      <w:pPr>
        <w:pStyle w:val="ListParagraph"/>
        <w:numPr>
          <w:ilvl w:val="0"/>
          <w:numId w:val="36"/>
        </w:numPr>
        <w:ind w:left="284"/>
      </w:pPr>
      <w:r w:rsidRPr="005F7C23">
        <w:rPr>
          <w:lang w:val="nl-NL"/>
        </w:rPr>
        <w:t xml:space="preserve">Wenzel, M., &amp; Stjerne, I. S. (2021). </w:t>
      </w:r>
      <w:r w:rsidRPr="00E81111">
        <w:t>Heuristics-in-use: Toward a practice theory of organizational heuristics. Technological Forecasting and Social Change, 164, 120517.</w:t>
      </w:r>
    </w:p>
    <w:p w14:paraId="6F7C4592" w14:textId="6E30431C" w:rsidR="00E81111" w:rsidRPr="00E81111" w:rsidRDefault="00E81111" w:rsidP="00EB4ED6">
      <w:pPr>
        <w:pStyle w:val="ListParagraph"/>
        <w:numPr>
          <w:ilvl w:val="0"/>
          <w:numId w:val="36"/>
        </w:numPr>
        <w:ind w:left="284"/>
      </w:pPr>
      <w:r w:rsidRPr="00E81111">
        <w:rPr>
          <w:color w:val="222222"/>
          <w:shd w:val="clear" w:color="auto" w:fill="FFFFFF"/>
        </w:rPr>
        <w:t>Williams, M., &amp; Moser, T. (2019). The art of coding and thematic exploration in qualitative research.</w:t>
      </w:r>
      <w:r w:rsidRPr="00E81111">
        <w:rPr>
          <w:rStyle w:val="apple-converted-space"/>
          <w:color w:val="222222"/>
          <w:shd w:val="clear" w:color="auto" w:fill="FFFFFF"/>
        </w:rPr>
        <w:t> </w:t>
      </w:r>
      <w:r w:rsidRPr="00E81111">
        <w:rPr>
          <w:i/>
          <w:iCs/>
          <w:color w:val="222222"/>
        </w:rPr>
        <w:t>International management review</w:t>
      </w:r>
      <w:r w:rsidRPr="00E81111">
        <w:rPr>
          <w:color w:val="222222"/>
          <w:shd w:val="clear" w:color="auto" w:fill="FFFFFF"/>
        </w:rPr>
        <w:t>,</w:t>
      </w:r>
      <w:r w:rsidRPr="00E81111">
        <w:rPr>
          <w:rStyle w:val="apple-converted-space"/>
          <w:color w:val="222222"/>
          <w:shd w:val="clear" w:color="auto" w:fill="FFFFFF"/>
        </w:rPr>
        <w:t> </w:t>
      </w:r>
      <w:r w:rsidRPr="00E81111">
        <w:rPr>
          <w:i/>
          <w:iCs/>
          <w:color w:val="222222"/>
        </w:rPr>
        <w:t>15</w:t>
      </w:r>
      <w:r w:rsidRPr="00E81111">
        <w:rPr>
          <w:color w:val="222222"/>
          <w:shd w:val="clear" w:color="auto" w:fill="FFFFFF"/>
        </w:rPr>
        <w:t>(1), 45-55.</w:t>
      </w:r>
    </w:p>
    <w:p w14:paraId="67857C70" w14:textId="1D27C546" w:rsidR="00E81111" w:rsidRPr="00E81111" w:rsidRDefault="00E81111" w:rsidP="00EB4ED6">
      <w:pPr>
        <w:pStyle w:val="ListParagraph"/>
        <w:numPr>
          <w:ilvl w:val="0"/>
          <w:numId w:val="36"/>
        </w:numPr>
        <w:ind w:left="284"/>
      </w:pPr>
      <w:r w:rsidRPr="00E81111">
        <w:rPr>
          <w:color w:val="1B1B1B"/>
          <w:shd w:val="clear" w:color="auto" w:fill="FFFFFF"/>
        </w:rPr>
        <w:t>Coates WC, Jordan J, Clarke SO. A practical guide for conducting qualitative research in medical education: Part 2-Coding and thematic analysis. AEM Educ Train. 2021 Aug 1;5(4</w:t>
      </w:r>
      <w:proofErr w:type="gramStart"/>
      <w:r w:rsidRPr="00E81111">
        <w:rPr>
          <w:color w:val="1B1B1B"/>
          <w:shd w:val="clear" w:color="auto" w:fill="FFFFFF"/>
        </w:rPr>
        <w:t>):e</w:t>
      </w:r>
      <w:proofErr w:type="gramEnd"/>
      <w:r w:rsidRPr="00E81111">
        <w:rPr>
          <w:color w:val="1B1B1B"/>
          <w:shd w:val="clear" w:color="auto" w:fill="FFFFFF"/>
        </w:rPr>
        <w:t xml:space="preserve">10645. </w:t>
      </w:r>
      <w:proofErr w:type="spellStart"/>
      <w:r w:rsidRPr="00E81111">
        <w:rPr>
          <w:color w:val="1B1B1B"/>
          <w:shd w:val="clear" w:color="auto" w:fill="FFFFFF"/>
        </w:rPr>
        <w:t>doi</w:t>
      </w:r>
      <w:proofErr w:type="spellEnd"/>
      <w:r w:rsidRPr="00E81111">
        <w:rPr>
          <w:color w:val="1B1B1B"/>
          <w:shd w:val="clear" w:color="auto" w:fill="FFFFFF"/>
        </w:rPr>
        <w:t>: 10.1002/aet2.10645. PMID: 34585038; PMCID: PMC8457700.</w:t>
      </w:r>
    </w:p>
    <w:p w14:paraId="3C4D0082" w14:textId="368B3B1C" w:rsidR="00B068B0" w:rsidRPr="00E81111" w:rsidRDefault="00E81111" w:rsidP="00EB4ED6">
      <w:pPr>
        <w:pStyle w:val="ListParagraph"/>
        <w:numPr>
          <w:ilvl w:val="0"/>
          <w:numId w:val="36"/>
        </w:numPr>
        <w:ind w:left="284"/>
      </w:pPr>
      <w:r w:rsidRPr="00E81111">
        <w:rPr>
          <w:color w:val="333333"/>
          <w:shd w:val="clear" w:color="auto" w:fill="FFFFFF"/>
        </w:rPr>
        <w:t>Bingham, A. J. (2023). From Data Management to Actionable Findings: A Five-Phase Process of Qualitative Data Analysis.</w:t>
      </w:r>
      <w:r w:rsidRPr="00E81111">
        <w:rPr>
          <w:rStyle w:val="apple-converted-space"/>
          <w:color w:val="333333"/>
          <w:shd w:val="clear" w:color="auto" w:fill="FFFFFF"/>
        </w:rPr>
        <w:t> </w:t>
      </w:r>
      <w:r w:rsidRPr="00E81111">
        <w:rPr>
          <w:i/>
          <w:iCs/>
          <w:color w:val="333333"/>
        </w:rPr>
        <w:t>International Journal of Qualitative Methods</w:t>
      </w:r>
      <w:r w:rsidRPr="00E81111">
        <w:rPr>
          <w:color w:val="333333"/>
          <w:shd w:val="clear" w:color="auto" w:fill="FFFFFF"/>
        </w:rPr>
        <w:t>,</w:t>
      </w:r>
      <w:r w:rsidRPr="00E81111">
        <w:rPr>
          <w:rStyle w:val="apple-converted-space"/>
          <w:color w:val="333333"/>
          <w:shd w:val="clear" w:color="auto" w:fill="FFFFFF"/>
        </w:rPr>
        <w:t> </w:t>
      </w:r>
      <w:r w:rsidRPr="00E81111">
        <w:rPr>
          <w:i/>
          <w:iCs/>
          <w:color w:val="333333"/>
        </w:rPr>
        <w:t>22</w:t>
      </w:r>
      <w:r w:rsidRPr="00E81111">
        <w:rPr>
          <w:color w:val="333333"/>
          <w:shd w:val="clear" w:color="auto" w:fill="FFFFFF"/>
        </w:rPr>
        <w:t>.</w:t>
      </w:r>
    </w:p>
    <w:p w14:paraId="713DBD3D" w14:textId="77777777" w:rsidR="00B068B0" w:rsidRDefault="00B068B0" w:rsidP="00674278">
      <w:pPr>
        <w:rPr>
          <w:b/>
          <w:bCs/>
        </w:rPr>
      </w:pPr>
    </w:p>
    <w:p w14:paraId="18C03757" w14:textId="569CA766" w:rsidR="00674278" w:rsidRPr="00674278" w:rsidRDefault="00674278" w:rsidP="00E81111">
      <w:r w:rsidRPr="00F1431B">
        <w:rPr>
          <w:b/>
          <w:bCs/>
        </w:rPr>
        <w:t xml:space="preserve">References from </w:t>
      </w:r>
      <w:r w:rsidR="00381710">
        <w:rPr>
          <w:b/>
          <w:bCs/>
        </w:rPr>
        <w:t xml:space="preserve">Phase 1: </w:t>
      </w:r>
      <w:r w:rsidRPr="00F1431B">
        <w:rPr>
          <w:b/>
          <w:bCs/>
        </w:rPr>
        <w:t xml:space="preserve">the survey of the literature on the hermeneutic phenomenology of </w:t>
      </w:r>
      <w:r w:rsidR="00381710">
        <w:rPr>
          <w:b/>
          <w:bCs/>
        </w:rPr>
        <w:t xml:space="preserve">chronic </w:t>
      </w:r>
      <w:r w:rsidRPr="00F1431B">
        <w:rPr>
          <w:b/>
          <w:bCs/>
        </w:rPr>
        <w:t>illness</w:t>
      </w:r>
    </w:p>
    <w:p w14:paraId="0D11229C" w14:textId="0A487514" w:rsidR="00482DCD" w:rsidRPr="00F1431B" w:rsidRDefault="00482DCD" w:rsidP="00EB4ED6">
      <w:pPr>
        <w:pStyle w:val="ListParagraph"/>
        <w:numPr>
          <w:ilvl w:val="0"/>
          <w:numId w:val="1"/>
        </w:numPr>
        <w:ind w:left="426"/>
      </w:pPr>
      <w:r w:rsidRPr="00F1431B">
        <w:t xml:space="preserve">Albán-Reyes, A.P., Tamayo-Montoya, P.A., Giraldo-Jiménez, C.F., and Ordoñez-Mora, L.T. (2024). Coping strategies for combating chronic pain among professional ballet dancers in Cali, Colombia. Qualitative study. J. </w:t>
      </w:r>
      <w:proofErr w:type="spellStart"/>
      <w:r w:rsidRPr="00F1431B">
        <w:t>Bodyw</w:t>
      </w:r>
      <w:proofErr w:type="spellEnd"/>
      <w:r w:rsidRPr="00F1431B">
        <w:t>. Mov. Ther. 40, 2082</w:t>
      </w:r>
      <w:r w:rsidRPr="00F1431B">
        <w:rPr>
          <w:sz w:val="20"/>
          <w:szCs w:val="20"/>
        </w:rPr>
        <w:t>–</w:t>
      </w:r>
      <w:r w:rsidRPr="00F1431B">
        <w:t>2090. 10.1016/j.jbmt.2024.10.062</w:t>
      </w:r>
    </w:p>
    <w:p w14:paraId="6569618F" w14:textId="77777777" w:rsidR="00482DCD" w:rsidRPr="00F1431B" w:rsidRDefault="00482DCD" w:rsidP="00EB4ED6">
      <w:pPr>
        <w:pStyle w:val="ListParagraph"/>
        <w:numPr>
          <w:ilvl w:val="0"/>
          <w:numId w:val="1"/>
        </w:numPr>
        <w:ind w:left="426"/>
      </w:pPr>
      <w:r w:rsidRPr="00F1431B">
        <w:t xml:space="preserve">Altun, A., Brown, H., </w:t>
      </w:r>
      <w:proofErr w:type="spellStart"/>
      <w:r w:rsidRPr="00F1431B">
        <w:t>Sturgiss</w:t>
      </w:r>
      <w:proofErr w:type="spellEnd"/>
      <w:r w:rsidRPr="00F1431B">
        <w:t>, E., and Russell, G. (2023). Experiences of Assyrian refugee women seeking care for chronic pain: a qualitative study. Int. J. Equity Health 22, 83. 10.1186/s12939-023-01891-w</w:t>
      </w:r>
    </w:p>
    <w:p w14:paraId="16D08F35" w14:textId="77777777" w:rsidR="00482DCD" w:rsidRPr="00F1431B" w:rsidRDefault="00482DCD" w:rsidP="00EB4ED6">
      <w:pPr>
        <w:pStyle w:val="ListParagraph"/>
        <w:numPr>
          <w:ilvl w:val="0"/>
          <w:numId w:val="1"/>
        </w:numPr>
        <w:ind w:left="426"/>
      </w:pPr>
      <w:r w:rsidRPr="005F7C23">
        <w:rPr>
          <w:color w:val="222222"/>
          <w:shd w:val="clear" w:color="auto" w:fill="FFFFFF"/>
          <w:lang w:val="nl-NL"/>
        </w:rPr>
        <w:t xml:space="preserve">Andersen, A.H., Assing Hvidt, E., Huniche, L., Hvidt, N.C., and Roessler, K.K. (2021). </w:t>
      </w:r>
      <w:r w:rsidRPr="00F1431B">
        <w:rPr>
          <w:color w:val="222222"/>
          <w:shd w:val="clear" w:color="auto" w:fill="FFFFFF"/>
        </w:rPr>
        <w:t>Why we suffer? Existential challenges of patients with chronic illness: A Kierkegaardian inspired interpretative phenomenological analysis. J. Humanist. Psychol. 65, 969</w:t>
      </w:r>
      <w:r w:rsidRPr="00F1431B">
        <w:rPr>
          <w:sz w:val="20"/>
          <w:szCs w:val="20"/>
        </w:rPr>
        <w:t>–</w:t>
      </w:r>
      <w:r w:rsidRPr="00F1431B">
        <w:rPr>
          <w:color w:val="222222"/>
          <w:shd w:val="clear" w:color="auto" w:fill="FFFFFF"/>
        </w:rPr>
        <w:t>996. 10.1177/00221678211002439.</w:t>
      </w:r>
    </w:p>
    <w:p w14:paraId="5A129914" w14:textId="77777777" w:rsidR="00482DCD" w:rsidRPr="00F1431B" w:rsidRDefault="00482DCD" w:rsidP="00EB4ED6">
      <w:pPr>
        <w:pStyle w:val="ListParagraph"/>
        <w:numPr>
          <w:ilvl w:val="0"/>
          <w:numId w:val="1"/>
        </w:numPr>
        <w:ind w:left="426"/>
      </w:pPr>
      <w:r w:rsidRPr="00F1431B">
        <w:t>Angel, S., Jensen, L.D., Maribo, T., Gonge, B.K., and Buus, N. (2017). Narratives of life with long-term low back pain: A follow up interview study. Scand. J. Pain 17, 382</w:t>
      </w:r>
      <w:r w:rsidRPr="00F1431B">
        <w:rPr>
          <w:sz w:val="20"/>
          <w:szCs w:val="20"/>
        </w:rPr>
        <w:t>–</w:t>
      </w:r>
      <w:r w:rsidRPr="00F1431B">
        <w:t>389. 10.1016/j.sjpain.2017.09.018</w:t>
      </w:r>
    </w:p>
    <w:p w14:paraId="16877048" w14:textId="77777777" w:rsidR="00482DCD" w:rsidRPr="00F1431B" w:rsidRDefault="00482DCD" w:rsidP="00EB4ED6">
      <w:pPr>
        <w:pStyle w:val="ListParagraph"/>
        <w:numPr>
          <w:ilvl w:val="0"/>
          <w:numId w:val="1"/>
        </w:numPr>
        <w:ind w:left="426"/>
      </w:pPr>
      <w:r w:rsidRPr="00F1431B">
        <w:rPr>
          <w:color w:val="212121"/>
          <w:shd w:val="clear" w:color="auto" w:fill="FFFFFF"/>
        </w:rPr>
        <w:t xml:space="preserve">Barber, M., Evans, S., Marks, R., Sheedy, J., Miller, R., Lopez, S., and O'Shea, M. (2025). "I am not pain, I have pain": A pilot study examining </w:t>
      </w:r>
      <w:proofErr w:type="spellStart"/>
      <w:r w:rsidRPr="00F1431B">
        <w:rPr>
          <w:color w:val="212121"/>
          <w:shd w:val="clear" w:color="auto" w:fill="FFFFFF"/>
        </w:rPr>
        <w:t>iRest</w:t>
      </w:r>
      <w:proofErr w:type="spellEnd"/>
      <w:r w:rsidRPr="00F1431B">
        <w:rPr>
          <w:color w:val="212121"/>
          <w:shd w:val="clear" w:color="auto" w:fill="FFFFFF"/>
        </w:rPr>
        <w:t xml:space="preserve"> yoga </w:t>
      </w:r>
      <w:proofErr w:type="spellStart"/>
      <w:r w:rsidRPr="00F1431B">
        <w:rPr>
          <w:color w:val="212121"/>
          <w:shd w:val="clear" w:color="auto" w:fill="FFFFFF"/>
        </w:rPr>
        <w:t>nidra</w:t>
      </w:r>
      <w:proofErr w:type="spellEnd"/>
      <w:r w:rsidRPr="00F1431B">
        <w:rPr>
          <w:color w:val="212121"/>
          <w:shd w:val="clear" w:color="auto" w:fill="FFFFFF"/>
        </w:rPr>
        <w:t xml:space="preserve"> as a mind-body intervention for persistent pain. Complement. Ther. Clin. </w:t>
      </w:r>
      <w:proofErr w:type="spellStart"/>
      <w:r w:rsidRPr="00F1431B">
        <w:rPr>
          <w:color w:val="212121"/>
          <w:shd w:val="clear" w:color="auto" w:fill="FFFFFF"/>
        </w:rPr>
        <w:t>Pract</w:t>
      </w:r>
      <w:proofErr w:type="spellEnd"/>
      <w:r w:rsidRPr="00F1431B">
        <w:rPr>
          <w:color w:val="212121"/>
          <w:shd w:val="clear" w:color="auto" w:fill="FFFFFF"/>
        </w:rPr>
        <w:t>. 59, 101955. 10.1016/j.ctcp.2025.101955.</w:t>
      </w:r>
    </w:p>
    <w:p w14:paraId="64EB2FBA" w14:textId="77777777" w:rsidR="00482DCD" w:rsidRPr="00F1431B" w:rsidRDefault="00482DCD" w:rsidP="00EB4ED6">
      <w:pPr>
        <w:pStyle w:val="ListParagraph"/>
        <w:numPr>
          <w:ilvl w:val="0"/>
          <w:numId w:val="1"/>
        </w:numPr>
        <w:ind w:left="426"/>
      </w:pPr>
      <w:r w:rsidRPr="00F1431B">
        <w:t>Bath, B., Jaindl, B., Dykes, L., Coulthard, J., Naylen, J., Rocheleau, N., Clay, L., Khan, M. I., and Trask, C.  (2019). Get 'er done: Experiences of Canadian farmers living with chronic low back disorders. </w:t>
      </w:r>
      <w:proofErr w:type="spellStart"/>
      <w:r w:rsidRPr="00F1431B">
        <w:t>Physiother</w:t>
      </w:r>
      <w:proofErr w:type="spellEnd"/>
      <w:r w:rsidRPr="00F1431B">
        <w:t>. Can. 71, 24</w:t>
      </w:r>
      <w:r w:rsidRPr="00F1431B">
        <w:rPr>
          <w:sz w:val="20"/>
          <w:szCs w:val="20"/>
        </w:rPr>
        <w:t>–</w:t>
      </w:r>
      <w:r w:rsidRPr="00F1431B">
        <w:t>33. 10.3138/ptc.2017-65.</w:t>
      </w:r>
    </w:p>
    <w:p w14:paraId="2D92EDE7" w14:textId="77777777" w:rsidR="00482DCD" w:rsidRPr="00F1431B" w:rsidRDefault="00482DCD" w:rsidP="00EB4ED6">
      <w:pPr>
        <w:pStyle w:val="ListParagraph"/>
        <w:numPr>
          <w:ilvl w:val="0"/>
          <w:numId w:val="1"/>
        </w:numPr>
        <w:ind w:left="426"/>
      </w:pPr>
      <w:r w:rsidRPr="00F1431B">
        <w:rPr>
          <w:color w:val="212121"/>
          <w:shd w:val="clear" w:color="auto" w:fill="FFFFFF"/>
        </w:rPr>
        <w:t xml:space="preserve">Bosco, V., Mercuri, C., Doldo, P., Nocerino, R., </w:t>
      </w:r>
      <w:proofErr w:type="spellStart"/>
      <w:r w:rsidRPr="00F1431B">
        <w:rPr>
          <w:color w:val="212121"/>
          <w:shd w:val="clear" w:color="auto" w:fill="FFFFFF"/>
        </w:rPr>
        <w:t>Guillari</w:t>
      </w:r>
      <w:proofErr w:type="spellEnd"/>
      <w:r w:rsidRPr="00F1431B">
        <w:rPr>
          <w:color w:val="212121"/>
          <w:shd w:val="clear" w:color="auto" w:fill="FFFFFF"/>
        </w:rPr>
        <w:t xml:space="preserve">, A., </w:t>
      </w:r>
      <w:proofErr w:type="spellStart"/>
      <w:r w:rsidRPr="00F1431B">
        <w:rPr>
          <w:color w:val="212121"/>
          <w:shd w:val="clear" w:color="auto" w:fill="FFFFFF"/>
        </w:rPr>
        <w:t>Virgolesi</w:t>
      </w:r>
      <w:proofErr w:type="spellEnd"/>
      <w:r w:rsidRPr="00F1431B">
        <w:rPr>
          <w:color w:val="212121"/>
          <w:shd w:val="clear" w:color="auto" w:fill="FFFFFF"/>
        </w:rPr>
        <w:t xml:space="preserve">, M., Rea, T., Giordano, V., and Simeone, S. (2025). The lived experience of adults with inflammatory </w:t>
      </w:r>
      <w:r w:rsidRPr="00F1431B">
        <w:rPr>
          <w:color w:val="212121"/>
          <w:shd w:val="clear" w:color="auto" w:fill="FFFFFF"/>
        </w:rPr>
        <w:lastRenderedPageBreak/>
        <w:t>bowel disease in rural areas: Phenomenological study. </w:t>
      </w:r>
      <w:proofErr w:type="spellStart"/>
      <w:r w:rsidRPr="00F1431B">
        <w:rPr>
          <w:color w:val="212121"/>
          <w:shd w:val="clear" w:color="auto" w:fill="FFFFFF"/>
        </w:rPr>
        <w:t>Nurs</w:t>
      </w:r>
      <w:proofErr w:type="spellEnd"/>
      <w:r w:rsidRPr="00F1431B">
        <w:rPr>
          <w:color w:val="212121"/>
          <w:shd w:val="clear" w:color="auto" w:fill="FFFFFF"/>
        </w:rPr>
        <w:t>. Health Sci. 27, e70058. 10.1111/nhs.70058.</w:t>
      </w:r>
    </w:p>
    <w:p w14:paraId="78BD9001" w14:textId="77777777" w:rsidR="00482DCD" w:rsidRPr="00F1431B" w:rsidRDefault="00482DCD" w:rsidP="00EB4ED6">
      <w:pPr>
        <w:pStyle w:val="ListParagraph"/>
        <w:numPr>
          <w:ilvl w:val="0"/>
          <w:numId w:val="1"/>
        </w:numPr>
        <w:ind w:left="426"/>
      </w:pPr>
      <w:r w:rsidRPr="00F1431B">
        <w:t>Brooks, E.A., Unruh, A., Lynch, M.E. (2015). Exploring the lived experience of adults using prescription opioids to manage chronic noncancer pain. Pain Res. Manag. 20, 15</w:t>
      </w:r>
      <w:r w:rsidRPr="00F1431B">
        <w:rPr>
          <w:sz w:val="20"/>
          <w:szCs w:val="20"/>
        </w:rPr>
        <w:t>–</w:t>
      </w:r>
      <w:r w:rsidRPr="00F1431B">
        <w:t>22. 10.1155/2015/314184.</w:t>
      </w:r>
    </w:p>
    <w:p w14:paraId="1B4A7572" w14:textId="77777777" w:rsidR="00482DCD" w:rsidRPr="00F1431B" w:rsidRDefault="00482DCD" w:rsidP="00EB4ED6">
      <w:pPr>
        <w:pStyle w:val="ListParagraph"/>
        <w:numPr>
          <w:ilvl w:val="0"/>
          <w:numId w:val="1"/>
        </w:numPr>
        <w:ind w:left="426"/>
      </w:pPr>
      <w:r w:rsidRPr="00F1431B">
        <w:t xml:space="preserve">Bruger, J., </w:t>
      </w:r>
      <w:proofErr w:type="spellStart"/>
      <w:r w:rsidRPr="00F1431B">
        <w:t>Semlyen</w:t>
      </w:r>
      <w:proofErr w:type="spellEnd"/>
      <w:r w:rsidRPr="00F1431B">
        <w:t>, J., and Ford, C.E.L. (2024). "I will try anything" the experience of working age stroke survivors living with chronic post-stroke pain: an interpretative phenomenological analysis. </w:t>
      </w:r>
      <w:proofErr w:type="spellStart"/>
      <w:r w:rsidRPr="00F1431B">
        <w:t>Disabil</w:t>
      </w:r>
      <w:proofErr w:type="spellEnd"/>
      <w:r w:rsidRPr="00F1431B">
        <w:t xml:space="preserve">. </w:t>
      </w:r>
      <w:proofErr w:type="spellStart"/>
      <w:r w:rsidRPr="00F1431B">
        <w:t>Rehabil</w:t>
      </w:r>
      <w:proofErr w:type="spellEnd"/>
      <w:r w:rsidRPr="00F1431B">
        <w:t>. 46, 4745</w:t>
      </w:r>
      <w:r w:rsidRPr="00F1431B">
        <w:rPr>
          <w:sz w:val="20"/>
          <w:szCs w:val="20"/>
        </w:rPr>
        <w:t>–</w:t>
      </w:r>
      <w:r w:rsidRPr="00F1431B">
        <w:t>4754. 10.1080/09638288.2023.2288688.</w:t>
      </w:r>
    </w:p>
    <w:p w14:paraId="12884C4A" w14:textId="77777777" w:rsidR="00482DCD" w:rsidRPr="00F1431B" w:rsidRDefault="00482DCD" w:rsidP="00EB4ED6">
      <w:pPr>
        <w:pStyle w:val="ListParagraph"/>
        <w:numPr>
          <w:ilvl w:val="0"/>
          <w:numId w:val="1"/>
        </w:numPr>
        <w:ind w:left="426"/>
      </w:pPr>
      <w:r w:rsidRPr="00F1431B">
        <w:t>Bullo, S., Hearn, J.H. (2024). Visual reconstructions of endometriosis pain: An interdisciplinary visual methodology for illness representation. Br. J. Health Psychol. 29, 676</w:t>
      </w:r>
      <w:r w:rsidRPr="00F1431B">
        <w:rPr>
          <w:sz w:val="20"/>
          <w:szCs w:val="20"/>
        </w:rPr>
        <w:t>–</w:t>
      </w:r>
      <w:r w:rsidRPr="00F1431B">
        <w:t>693. 10.1111/bjhp.12720.</w:t>
      </w:r>
    </w:p>
    <w:p w14:paraId="11E37D5D" w14:textId="77777777" w:rsidR="00482DCD" w:rsidRPr="00F1431B" w:rsidRDefault="00482DCD" w:rsidP="00EB4ED6">
      <w:pPr>
        <w:pStyle w:val="ListParagraph"/>
        <w:numPr>
          <w:ilvl w:val="0"/>
          <w:numId w:val="1"/>
        </w:numPr>
        <w:ind w:left="426"/>
      </w:pPr>
      <w:r w:rsidRPr="00F1431B">
        <w:t xml:space="preserve">Chala, M.B., Donnelly, C., </w:t>
      </w:r>
      <w:proofErr w:type="spellStart"/>
      <w:r w:rsidRPr="00F1431B">
        <w:t>Ghahari</w:t>
      </w:r>
      <w:proofErr w:type="spellEnd"/>
      <w:r w:rsidRPr="00F1431B">
        <w:t xml:space="preserve">, S., </w:t>
      </w:r>
      <w:proofErr w:type="spellStart"/>
      <w:r w:rsidRPr="00F1431B">
        <w:t>Wondie</w:t>
      </w:r>
      <w:proofErr w:type="spellEnd"/>
      <w:r w:rsidRPr="00F1431B">
        <w:t>, Y., Abebe, A., and Miller, J. (2022). An interpretative phenomenological analysis of living with chronic low back pain in Ethiopia. J. Pain Res. 15, 4031</w:t>
      </w:r>
      <w:r w:rsidRPr="00F1431B">
        <w:rPr>
          <w:sz w:val="20"/>
          <w:szCs w:val="20"/>
        </w:rPr>
        <w:t>–</w:t>
      </w:r>
      <w:r w:rsidRPr="00F1431B">
        <w:t>4045. 10.2147/JPR.S389827.</w:t>
      </w:r>
    </w:p>
    <w:p w14:paraId="5F4D2164" w14:textId="77777777" w:rsidR="00482DCD" w:rsidRPr="00F1431B" w:rsidRDefault="00482DCD" w:rsidP="00EB4ED6">
      <w:pPr>
        <w:pStyle w:val="ListParagraph"/>
        <w:numPr>
          <w:ilvl w:val="0"/>
          <w:numId w:val="1"/>
        </w:numPr>
        <w:ind w:left="426"/>
      </w:pPr>
      <w:r w:rsidRPr="00F1431B">
        <w:rPr>
          <w:shd w:val="clear" w:color="auto" w:fill="FFFFFF"/>
        </w:rPr>
        <w:t xml:space="preserve">Cheng, C., Inder, K., and Chan, S.W. (2019). Patients' experiences of coping with multiple chronic conditions: A meta-ethnography of qualitative work. Int. J. Ment. Health </w:t>
      </w:r>
      <w:proofErr w:type="spellStart"/>
      <w:r w:rsidRPr="00F1431B">
        <w:rPr>
          <w:shd w:val="clear" w:color="auto" w:fill="FFFFFF"/>
        </w:rPr>
        <w:t>Nurs</w:t>
      </w:r>
      <w:proofErr w:type="spellEnd"/>
      <w:r w:rsidRPr="00F1431B">
        <w:rPr>
          <w:shd w:val="clear" w:color="auto" w:fill="FFFFFF"/>
        </w:rPr>
        <w:t>. 28, 54</w:t>
      </w:r>
      <w:r w:rsidRPr="00F1431B">
        <w:rPr>
          <w:sz w:val="20"/>
          <w:szCs w:val="20"/>
        </w:rPr>
        <w:t>–</w:t>
      </w:r>
      <w:r w:rsidRPr="00F1431B">
        <w:rPr>
          <w:shd w:val="clear" w:color="auto" w:fill="FFFFFF"/>
        </w:rPr>
        <w:t>70. 10.1111/inm.12544.</w:t>
      </w:r>
    </w:p>
    <w:p w14:paraId="2D06D38B" w14:textId="77777777" w:rsidR="00482DCD" w:rsidRPr="00F1431B" w:rsidRDefault="00482DCD" w:rsidP="00EB4ED6">
      <w:pPr>
        <w:pStyle w:val="ListParagraph"/>
        <w:numPr>
          <w:ilvl w:val="0"/>
          <w:numId w:val="1"/>
        </w:numPr>
        <w:ind w:left="426"/>
      </w:pPr>
      <w:r w:rsidRPr="00F1431B">
        <w:t>Coleman, B., Ellis-Caird, H., McGowan, J., and Benjamin, M.J. (2016). How sickle cell disease patients experience, understand and explain their pain: An interpretative phenomenological analysis study. Br. J. Health Psychol. 21, 190</w:t>
      </w:r>
      <w:r w:rsidRPr="00F1431B">
        <w:rPr>
          <w:sz w:val="20"/>
          <w:szCs w:val="20"/>
        </w:rPr>
        <w:t>–</w:t>
      </w:r>
      <w:r w:rsidRPr="00F1431B">
        <w:t>203. 10.1111/bjhp.12157.</w:t>
      </w:r>
    </w:p>
    <w:p w14:paraId="79EE49A5" w14:textId="77777777" w:rsidR="00482DCD" w:rsidRPr="00F1431B" w:rsidRDefault="00482DCD" w:rsidP="00EB4ED6">
      <w:pPr>
        <w:pStyle w:val="ListParagraph"/>
        <w:numPr>
          <w:ilvl w:val="0"/>
          <w:numId w:val="1"/>
        </w:numPr>
        <w:ind w:left="426"/>
      </w:pPr>
      <w:r w:rsidRPr="00F1431B">
        <w:t xml:space="preserve">Cooper, L., Ells, L., Ryan, C., and Martin, D. (2018). Perceptions of adults with overweight/obesity and chronic musculoskeletal pain: An interpretative phenomenological analysis. J. Clin. </w:t>
      </w:r>
      <w:proofErr w:type="spellStart"/>
      <w:r w:rsidRPr="00F1431B">
        <w:t>Nurs</w:t>
      </w:r>
      <w:proofErr w:type="spellEnd"/>
      <w:r w:rsidRPr="00F1431B">
        <w:t>. 27, e776</w:t>
      </w:r>
      <w:r w:rsidRPr="00F1431B">
        <w:rPr>
          <w:sz w:val="20"/>
          <w:szCs w:val="20"/>
        </w:rPr>
        <w:t>–</w:t>
      </w:r>
      <w:r w:rsidRPr="00F1431B">
        <w:t>e786. 10.1111/jocn.14178.</w:t>
      </w:r>
    </w:p>
    <w:p w14:paraId="458C2A17" w14:textId="77777777" w:rsidR="00482DCD" w:rsidRPr="00F1431B" w:rsidRDefault="00482DCD" w:rsidP="00EB4ED6">
      <w:pPr>
        <w:pStyle w:val="ListParagraph"/>
        <w:numPr>
          <w:ilvl w:val="0"/>
          <w:numId w:val="1"/>
        </w:numPr>
        <w:ind w:left="426"/>
      </w:pPr>
      <w:r w:rsidRPr="00F1431B">
        <w:t>Danes-</w:t>
      </w:r>
      <w:proofErr w:type="spellStart"/>
      <w:r w:rsidRPr="00F1431B">
        <w:t>Daetz</w:t>
      </w:r>
      <w:proofErr w:type="spellEnd"/>
      <w:r w:rsidRPr="00F1431B">
        <w:t xml:space="preserve">, C., Wainwright, J.P., Goh, S.L., McGuire, K., </w:t>
      </w:r>
      <w:proofErr w:type="spellStart"/>
      <w:r w:rsidRPr="00F1431B">
        <w:t>Sinsurin</w:t>
      </w:r>
      <w:proofErr w:type="spellEnd"/>
      <w:r w:rsidRPr="00F1431B">
        <w:t>, K., Richards, J., and Chohan, A. (2025). Perceptions of stigma associated with chronic knee pain: voices of selected women in Thailand and Malaysia. </w:t>
      </w:r>
      <w:proofErr w:type="spellStart"/>
      <w:r w:rsidRPr="00F1431B">
        <w:t>Physiother</w:t>
      </w:r>
      <w:proofErr w:type="spellEnd"/>
      <w:r w:rsidRPr="00F1431B">
        <w:t xml:space="preserve">. Theory </w:t>
      </w:r>
      <w:proofErr w:type="spellStart"/>
      <w:r w:rsidRPr="00F1431B">
        <w:t>Pract</w:t>
      </w:r>
      <w:proofErr w:type="spellEnd"/>
      <w:r w:rsidRPr="00F1431B">
        <w:t>. 41, 405</w:t>
      </w:r>
      <w:r w:rsidRPr="00F1431B">
        <w:rPr>
          <w:sz w:val="20"/>
          <w:szCs w:val="20"/>
        </w:rPr>
        <w:t>–</w:t>
      </w:r>
      <w:r w:rsidRPr="00F1431B">
        <w:t>419. 10.1080/09593985.2024.2329942.</w:t>
      </w:r>
    </w:p>
    <w:p w14:paraId="2D37849B" w14:textId="77777777" w:rsidR="00482DCD" w:rsidRPr="00F1431B" w:rsidRDefault="00482DCD" w:rsidP="00EB4ED6">
      <w:pPr>
        <w:pStyle w:val="ListParagraph"/>
        <w:numPr>
          <w:ilvl w:val="0"/>
          <w:numId w:val="1"/>
        </w:numPr>
        <w:ind w:left="426"/>
      </w:pPr>
      <w:r w:rsidRPr="005F7C23">
        <w:rPr>
          <w:lang w:val="nl-NL"/>
        </w:rPr>
        <w:t xml:space="preserve">de Villiers, M., Maree, J.E., and van Belkum, C. (2015). </w:t>
      </w:r>
      <w:r w:rsidRPr="00F1431B">
        <w:t xml:space="preserve">The influence of chronic pain on the daily lives of underprivileged South Africans. Pain Manag. </w:t>
      </w:r>
      <w:proofErr w:type="spellStart"/>
      <w:r w:rsidRPr="00F1431B">
        <w:t>Nurs</w:t>
      </w:r>
      <w:proofErr w:type="spellEnd"/>
      <w:r w:rsidRPr="00F1431B">
        <w:t>. 16, 96</w:t>
      </w:r>
      <w:r w:rsidRPr="00F1431B">
        <w:rPr>
          <w:sz w:val="20"/>
          <w:szCs w:val="20"/>
        </w:rPr>
        <w:t>–</w:t>
      </w:r>
      <w:r w:rsidRPr="00F1431B">
        <w:t>104. 10.1016/j.pmn.2014.05.001.</w:t>
      </w:r>
    </w:p>
    <w:p w14:paraId="45E6F664" w14:textId="77777777" w:rsidR="00482DCD" w:rsidRPr="00F1431B" w:rsidRDefault="00482DCD" w:rsidP="00EB4ED6">
      <w:pPr>
        <w:pStyle w:val="ListParagraph"/>
        <w:numPr>
          <w:ilvl w:val="0"/>
          <w:numId w:val="1"/>
        </w:numPr>
        <w:ind w:left="426"/>
      </w:pPr>
      <w:proofErr w:type="spellStart"/>
      <w:r w:rsidRPr="00F1431B">
        <w:t>Dysvik</w:t>
      </w:r>
      <w:proofErr w:type="spellEnd"/>
      <w:r w:rsidRPr="00F1431B">
        <w:t xml:space="preserve">, E., Kvaløy, J.T., and Furnes, B. (2014). A mixed-method study exploring suffering and alleviation in participants attending a chronic pain management </w:t>
      </w:r>
      <w:proofErr w:type="spellStart"/>
      <w:r w:rsidRPr="00F1431B">
        <w:t>programme</w:t>
      </w:r>
      <w:proofErr w:type="spellEnd"/>
      <w:r w:rsidRPr="00F1431B">
        <w:t xml:space="preserve">. J. Clin. </w:t>
      </w:r>
      <w:proofErr w:type="spellStart"/>
      <w:r w:rsidRPr="00F1431B">
        <w:t>Nurs</w:t>
      </w:r>
      <w:proofErr w:type="spellEnd"/>
      <w:r w:rsidRPr="00F1431B">
        <w:t>. 23, 865</w:t>
      </w:r>
      <w:r w:rsidRPr="00F1431B">
        <w:rPr>
          <w:sz w:val="20"/>
          <w:szCs w:val="20"/>
        </w:rPr>
        <w:t>–</w:t>
      </w:r>
      <w:r w:rsidRPr="00F1431B">
        <w:t>876. doi:10.1111/jocn.12270</w:t>
      </w:r>
    </w:p>
    <w:p w14:paraId="48872A20" w14:textId="77777777" w:rsidR="00482DCD" w:rsidRPr="00F1431B" w:rsidRDefault="00482DCD" w:rsidP="00EB4ED6">
      <w:pPr>
        <w:pStyle w:val="ListParagraph"/>
        <w:numPr>
          <w:ilvl w:val="0"/>
          <w:numId w:val="1"/>
        </w:numPr>
        <w:ind w:left="426"/>
      </w:pPr>
      <w:proofErr w:type="spellStart"/>
      <w:r w:rsidRPr="00F1431B">
        <w:t>Fracso</w:t>
      </w:r>
      <w:proofErr w:type="spellEnd"/>
      <w:r w:rsidRPr="00F1431B">
        <w:t xml:space="preserve">, D., </w:t>
      </w:r>
      <w:proofErr w:type="spellStart"/>
      <w:r w:rsidRPr="00F1431B">
        <w:t>Bourrel</w:t>
      </w:r>
      <w:proofErr w:type="spellEnd"/>
      <w:r w:rsidRPr="00F1431B">
        <w:t xml:space="preserve">, G., Jorgensen, C., Fanton, H., Raat, H., </w:t>
      </w:r>
      <w:proofErr w:type="spellStart"/>
      <w:r w:rsidRPr="00F1431B">
        <w:t>Pilotto</w:t>
      </w:r>
      <w:proofErr w:type="spellEnd"/>
      <w:r w:rsidRPr="00F1431B">
        <w:t xml:space="preserve">, A., Baker, G., Pisano, M.M., Ferreira, R., Valsecchi, V., et al. (2022). The chronic disease Self-Management </w:t>
      </w:r>
      <w:proofErr w:type="spellStart"/>
      <w:r w:rsidRPr="00F1431B">
        <w:t>Programme</w:t>
      </w:r>
      <w:proofErr w:type="spellEnd"/>
      <w:r w:rsidRPr="00F1431B">
        <w:t>: A phenomenological study for empowering vulnerable patients with chronic diseases included in the EFFICHRONIC project. Health Expect. 25, 947</w:t>
      </w:r>
      <w:r w:rsidRPr="00F1431B">
        <w:rPr>
          <w:sz w:val="20"/>
          <w:szCs w:val="20"/>
        </w:rPr>
        <w:t>–</w:t>
      </w:r>
      <w:r w:rsidRPr="00F1431B">
        <w:t>958. 10.1111/hex.13430.</w:t>
      </w:r>
    </w:p>
    <w:p w14:paraId="0467F8A0" w14:textId="77777777" w:rsidR="00482DCD" w:rsidRPr="00F1431B" w:rsidRDefault="00482DCD" w:rsidP="00EB4ED6">
      <w:pPr>
        <w:pStyle w:val="ListParagraph"/>
        <w:numPr>
          <w:ilvl w:val="0"/>
          <w:numId w:val="1"/>
        </w:numPr>
        <w:ind w:left="426"/>
      </w:pPr>
      <w:r w:rsidRPr="00F1431B">
        <w:t xml:space="preserve">Furnes, B., Natvig, G.K., and </w:t>
      </w:r>
      <w:proofErr w:type="spellStart"/>
      <w:r w:rsidRPr="00F1431B">
        <w:t>Dysvik</w:t>
      </w:r>
      <w:proofErr w:type="spellEnd"/>
      <w:r w:rsidRPr="00F1431B">
        <w:t xml:space="preserve">, E. (2015). Suffering and transition strategies in adult patients attending a chronic pain management </w:t>
      </w:r>
      <w:proofErr w:type="spellStart"/>
      <w:r w:rsidRPr="00F1431B">
        <w:t>programme</w:t>
      </w:r>
      <w:proofErr w:type="spellEnd"/>
      <w:r w:rsidRPr="00F1431B">
        <w:t xml:space="preserve">. J Clin </w:t>
      </w:r>
      <w:proofErr w:type="spellStart"/>
      <w:r w:rsidRPr="00F1431B">
        <w:t>Nurs</w:t>
      </w:r>
      <w:proofErr w:type="spellEnd"/>
      <w:r w:rsidRPr="00F1431B">
        <w:t>. 24, 707</w:t>
      </w:r>
      <w:r w:rsidRPr="00F1431B">
        <w:rPr>
          <w:sz w:val="20"/>
          <w:szCs w:val="20"/>
        </w:rPr>
        <w:t>–</w:t>
      </w:r>
      <w:r w:rsidRPr="00F1431B">
        <w:t>716. 10.1111/jocn.12651.</w:t>
      </w:r>
    </w:p>
    <w:p w14:paraId="23B9D44A" w14:textId="77777777" w:rsidR="00482DCD" w:rsidRPr="00F1431B" w:rsidRDefault="00482DCD" w:rsidP="00EB4ED6">
      <w:pPr>
        <w:pStyle w:val="ListParagraph"/>
        <w:numPr>
          <w:ilvl w:val="0"/>
          <w:numId w:val="1"/>
        </w:numPr>
        <w:ind w:left="426"/>
      </w:pPr>
      <w:r w:rsidRPr="00F1431B">
        <w:rPr>
          <w:color w:val="222222"/>
          <w:shd w:val="clear" w:color="auto" w:fill="FFFFFF"/>
          <w:lang w:val="de-CH"/>
        </w:rPr>
        <w:t xml:space="preserve">Gaber, S.N., Guerrero, M., and Rosenberg, L. (2024). </w:t>
      </w:r>
      <w:r w:rsidRPr="00F1431B">
        <w:rPr>
          <w:color w:val="222222"/>
          <w:shd w:val="clear" w:color="auto" w:fill="FFFFFF"/>
        </w:rPr>
        <w:t>Participatory research approaches in long-term care facilities for older adults: a meta-ethnography. Int. J. Qual. Stud. Health Well-being. 19, 2431449. 10.1080/17482631.2024.2431449.</w:t>
      </w:r>
    </w:p>
    <w:p w14:paraId="2B11DD45" w14:textId="77777777" w:rsidR="00482DCD" w:rsidRPr="00F1431B" w:rsidRDefault="00482DCD" w:rsidP="00EB4ED6">
      <w:pPr>
        <w:pStyle w:val="ListParagraph"/>
        <w:numPr>
          <w:ilvl w:val="0"/>
          <w:numId w:val="1"/>
        </w:numPr>
        <w:ind w:left="426"/>
      </w:pPr>
      <w:r w:rsidRPr="00F1431B">
        <w:lastRenderedPageBreak/>
        <w:t>Gutke, A., Bullington, J., Lund, M., and Lundberg, M. (2018). Adaptation to a changed body. Experiences of living with long-term pelvic girdle pain after childbirth. </w:t>
      </w:r>
      <w:proofErr w:type="spellStart"/>
      <w:r w:rsidRPr="00F1431B">
        <w:t>Disabil</w:t>
      </w:r>
      <w:proofErr w:type="spellEnd"/>
      <w:r w:rsidRPr="00F1431B">
        <w:t xml:space="preserve">. </w:t>
      </w:r>
      <w:proofErr w:type="spellStart"/>
      <w:r w:rsidRPr="00F1431B">
        <w:t>Rehabil</w:t>
      </w:r>
      <w:proofErr w:type="spellEnd"/>
      <w:r w:rsidRPr="00F1431B">
        <w:t>. 40, 3054</w:t>
      </w:r>
      <w:r w:rsidRPr="00F1431B">
        <w:rPr>
          <w:sz w:val="20"/>
          <w:szCs w:val="20"/>
        </w:rPr>
        <w:t>–</w:t>
      </w:r>
      <w:r w:rsidRPr="00F1431B">
        <w:t>3060. 10.1080/09638288.2017.1368724.</w:t>
      </w:r>
    </w:p>
    <w:p w14:paraId="6762775B" w14:textId="77777777" w:rsidR="00482DCD" w:rsidRPr="00F1431B" w:rsidRDefault="00482DCD" w:rsidP="00EB4ED6">
      <w:pPr>
        <w:pStyle w:val="ListParagraph"/>
        <w:numPr>
          <w:ilvl w:val="0"/>
          <w:numId w:val="1"/>
        </w:numPr>
        <w:ind w:left="426"/>
      </w:pPr>
      <w:r w:rsidRPr="00F1431B">
        <w:t>Hansson, K.S., Fridlund, B., Brunt, D., Hansson, B., and Rask, M. (2011). The meaning of the experiences of persons with chronic pain in their encounters with the health service. Scand. J. Caring Sci. 25, 444</w:t>
      </w:r>
      <w:r w:rsidRPr="00F1431B">
        <w:rPr>
          <w:sz w:val="20"/>
          <w:szCs w:val="20"/>
        </w:rPr>
        <w:t>–</w:t>
      </w:r>
      <w:r w:rsidRPr="00F1431B">
        <w:t>450. 10.1111/j.1471-6712.2010.</w:t>
      </w:r>
      <w:proofErr w:type="gramStart"/>
      <w:r w:rsidRPr="00F1431B">
        <w:t>00847.x.</w:t>
      </w:r>
      <w:proofErr w:type="gramEnd"/>
    </w:p>
    <w:p w14:paraId="4789CF5A" w14:textId="77777777" w:rsidR="00482DCD" w:rsidRPr="00F1431B" w:rsidRDefault="00482DCD" w:rsidP="00EB4ED6">
      <w:pPr>
        <w:pStyle w:val="ListParagraph"/>
        <w:numPr>
          <w:ilvl w:val="0"/>
          <w:numId w:val="1"/>
        </w:numPr>
        <w:ind w:left="426"/>
      </w:pPr>
      <w:r w:rsidRPr="00F1431B">
        <w:rPr>
          <w:color w:val="222222"/>
          <w:shd w:val="clear" w:color="auto" w:fill="FFFFFF"/>
        </w:rPr>
        <w:t xml:space="preserve">Hassani, P., Izadi-Avanji, F.S., Rakhshan, M., and Majd, H.A. (2017). A phenomenological study on resilience of the elderly suffering from chronic disease: a qualitative study. Psychol. Res </w:t>
      </w:r>
      <w:proofErr w:type="spellStart"/>
      <w:r w:rsidRPr="00F1431B">
        <w:rPr>
          <w:color w:val="222222"/>
          <w:shd w:val="clear" w:color="auto" w:fill="FFFFFF"/>
        </w:rPr>
        <w:t>Behav</w:t>
      </w:r>
      <w:proofErr w:type="spellEnd"/>
      <w:r w:rsidRPr="00F1431B">
        <w:rPr>
          <w:color w:val="222222"/>
          <w:shd w:val="clear" w:color="auto" w:fill="FFFFFF"/>
        </w:rPr>
        <w:t xml:space="preserve"> Manag. 7, 59–67.</w:t>
      </w:r>
      <w:r w:rsidRPr="00F1431B">
        <w:t xml:space="preserve"> </w:t>
      </w:r>
      <w:r w:rsidRPr="00F1431B">
        <w:rPr>
          <w:color w:val="222222"/>
          <w:shd w:val="clear" w:color="auto" w:fill="FFFFFF"/>
        </w:rPr>
        <w:t>10.2147/PRBM.S121336</w:t>
      </w:r>
    </w:p>
    <w:p w14:paraId="0CE47BC0" w14:textId="77777777" w:rsidR="00482DCD" w:rsidRPr="00F1431B" w:rsidRDefault="00482DCD" w:rsidP="00EB4ED6">
      <w:pPr>
        <w:pStyle w:val="ListParagraph"/>
        <w:numPr>
          <w:ilvl w:val="0"/>
          <w:numId w:val="1"/>
        </w:numPr>
        <w:ind w:left="426"/>
      </w:pPr>
      <w:proofErr w:type="spellStart"/>
      <w:r w:rsidRPr="00F1431B">
        <w:t>Hazaveh</w:t>
      </w:r>
      <w:proofErr w:type="spellEnd"/>
      <w:r w:rsidRPr="00F1431B">
        <w:t>, M. and Hovey, R. (2018). Patient experience of living with orofacial pain: An interpretive phenomenological study. JDR Clin. Trans. Res. 3, 264–271. 10.1177/2380084418763317.</w:t>
      </w:r>
    </w:p>
    <w:p w14:paraId="346C363D" w14:textId="77777777" w:rsidR="00482DCD" w:rsidRPr="00F1431B" w:rsidRDefault="00482DCD" w:rsidP="00EB4ED6">
      <w:pPr>
        <w:pStyle w:val="ListParagraph"/>
        <w:numPr>
          <w:ilvl w:val="0"/>
          <w:numId w:val="1"/>
        </w:numPr>
        <w:ind w:left="426"/>
      </w:pPr>
      <w:r w:rsidRPr="00F1431B">
        <w:t>Hearn, J.H., Cotter, I., Fine, P., and Finlay, K.A. (2015). Living with chronic neuropathic pain after spinal cord injury: an interpretative phenomenological analysis of community experience. </w:t>
      </w:r>
      <w:proofErr w:type="spellStart"/>
      <w:r w:rsidRPr="00F1431B">
        <w:t>Disabil</w:t>
      </w:r>
      <w:proofErr w:type="spellEnd"/>
      <w:r w:rsidRPr="00F1431B">
        <w:t xml:space="preserve">. </w:t>
      </w:r>
      <w:proofErr w:type="spellStart"/>
      <w:r w:rsidRPr="00F1431B">
        <w:t>Rehabil</w:t>
      </w:r>
      <w:proofErr w:type="spellEnd"/>
      <w:r w:rsidRPr="00F1431B">
        <w:t>. 37, 2203–2211. 10.3109/09638288.2014.1002579.</w:t>
      </w:r>
    </w:p>
    <w:p w14:paraId="3669928F" w14:textId="77777777" w:rsidR="00482DCD" w:rsidRPr="00F1431B" w:rsidRDefault="00482DCD" w:rsidP="00EB4ED6">
      <w:pPr>
        <w:pStyle w:val="ListParagraph"/>
        <w:numPr>
          <w:ilvl w:val="0"/>
          <w:numId w:val="1"/>
        </w:numPr>
        <w:ind w:left="426"/>
      </w:pPr>
      <w:r w:rsidRPr="00F1431B">
        <w:t>Hearn, J.H., Selvarajah, S., Kennedy, P., and Taylor, J. (2018). Stigma and self-management: an interpretative phenomenological analysis of the impact of chronic recurrent urinary tract infections after spinal cord injury. Spinal Cord Ser. Cases 4, 12. 10.1038/s41394-018-0042-2.</w:t>
      </w:r>
    </w:p>
    <w:p w14:paraId="0B284DF8" w14:textId="77777777" w:rsidR="00482DCD" w:rsidRPr="00F1431B" w:rsidRDefault="00482DCD" w:rsidP="00EB4ED6">
      <w:pPr>
        <w:pStyle w:val="ListParagraph"/>
        <w:numPr>
          <w:ilvl w:val="0"/>
          <w:numId w:val="1"/>
        </w:numPr>
        <w:ind w:left="426"/>
      </w:pPr>
      <w:r w:rsidRPr="00F1431B">
        <w:rPr>
          <w:lang w:val="de-CH"/>
        </w:rPr>
        <w:t xml:space="preserve">Honoré Grauslund, A.M., Solmunde Michelsen, J., and Esbensen, B.A. (2021). </w:t>
      </w:r>
      <w:r w:rsidRPr="00F1431B">
        <w:t>Everyday life with chronic back pain: a qualitative study among Turkish immigrants in Denmark. </w:t>
      </w:r>
      <w:proofErr w:type="spellStart"/>
      <w:r w:rsidRPr="00F1431B">
        <w:t>Disabil</w:t>
      </w:r>
      <w:proofErr w:type="spellEnd"/>
      <w:r w:rsidRPr="00F1431B">
        <w:t xml:space="preserve">. </w:t>
      </w:r>
      <w:proofErr w:type="spellStart"/>
      <w:r w:rsidRPr="00F1431B">
        <w:t>Rehabil</w:t>
      </w:r>
      <w:proofErr w:type="spellEnd"/>
      <w:r w:rsidRPr="00F1431B">
        <w:t>. 43, 1162–1170. 10.1080/09638288.2019.1661034.</w:t>
      </w:r>
    </w:p>
    <w:p w14:paraId="2443EAA7" w14:textId="77777777" w:rsidR="00482DCD" w:rsidRPr="00F1431B" w:rsidRDefault="00482DCD" w:rsidP="00EB4ED6">
      <w:pPr>
        <w:pStyle w:val="ListParagraph"/>
        <w:numPr>
          <w:ilvl w:val="0"/>
          <w:numId w:val="1"/>
        </w:numPr>
        <w:ind w:left="426"/>
      </w:pPr>
      <w:r w:rsidRPr="00F1431B">
        <w:t>Hughes, M., Burton, A.E., and Dempsey, R.C. (2019). 'I am free in my wheelchair but pain does have a say in it though': The meaning and experience of quality of life when living with paraplegia and chronic pain. J. Health Psychol. 24, 1356–1367. 10.1177/1359105317750254.</w:t>
      </w:r>
    </w:p>
    <w:p w14:paraId="5C8DCE0D" w14:textId="77777777" w:rsidR="00482DCD" w:rsidRPr="00F1431B" w:rsidRDefault="00482DCD" w:rsidP="00EB4ED6">
      <w:pPr>
        <w:pStyle w:val="ListParagraph"/>
        <w:numPr>
          <w:ilvl w:val="0"/>
          <w:numId w:val="1"/>
        </w:numPr>
        <w:ind w:left="426"/>
      </w:pPr>
      <w:r w:rsidRPr="00F1431B">
        <w:rPr>
          <w:color w:val="1B1B1B"/>
          <w:shd w:val="clear" w:color="auto" w:fill="FFFFFF"/>
        </w:rPr>
        <w:t>Jiang, Y., Shi, Z., and Liu, A. (2025). Experiences of social isolation in older adults with chronic diseases: A qualitative study based on patients' perspectives. Healthcare (Basel). 13, 902. 10.3390/healthcare13080902.</w:t>
      </w:r>
    </w:p>
    <w:p w14:paraId="4726AA34" w14:textId="77777777" w:rsidR="00482DCD" w:rsidRPr="00F1431B" w:rsidRDefault="00482DCD" w:rsidP="00EB4ED6">
      <w:pPr>
        <w:pStyle w:val="ListParagraph"/>
        <w:numPr>
          <w:ilvl w:val="0"/>
          <w:numId w:val="1"/>
        </w:numPr>
        <w:ind w:left="426"/>
      </w:pPr>
      <w:r w:rsidRPr="00F1431B">
        <w:rPr>
          <w:shd w:val="clear" w:color="auto" w:fill="FFFFFF"/>
        </w:rPr>
        <w:t>Joyce, C., Keysor, J., Stevans, J., Ready, K., Roseen, E.J., and Saper, R.B. (2023). Beyond the pain: A qualitative study exploring the physical therapy experience in patients with chronic low back pain. </w:t>
      </w:r>
      <w:proofErr w:type="spellStart"/>
      <w:r w:rsidRPr="00F1431B">
        <w:rPr>
          <w:shd w:val="clear" w:color="auto" w:fill="FFFFFF"/>
        </w:rPr>
        <w:t>Physiother</w:t>
      </w:r>
      <w:proofErr w:type="spellEnd"/>
      <w:r w:rsidRPr="00F1431B">
        <w:rPr>
          <w:shd w:val="clear" w:color="auto" w:fill="FFFFFF"/>
        </w:rPr>
        <w:t xml:space="preserve">. Theory </w:t>
      </w:r>
      <w:proofErr w:type="spellStart"/>
      <w:r w:rsidRPr="00F1431B">
        <w:rPr>
          <w:shd w:val="clear" w:color="auto" w:fill="FFFFFF"/>
        </w:rPr>
        <w:t>Pract</w:t>
      </w:r>
      <w:proofErr w:type="spellEnd"/>
      <w:r w:rsidRPr="00F1431B">
        <w:rPr>
          <w:shd w:val="clear" w:color="auto" w:fill="FFFFFF"/>
        </w:rPr>
        <w:t>. 39, 803–813. 10.1080/09593985.2022.2029650.</w:t>
      </w:r>
    </w:p>
    <w:p w14:paraId="315C72CB" w14:textId="77777777" w:rsidR="00482DCD" w:rsidRPr="00F1431B" w:rsidRDefault="00482DCD" w:rsidP="00EB4ED6">
      <w:pPr>
        <w:pStyle w:val="ListParagraph"/>
        <w:numPr>
          <w:ilvl w:val="0"/>
          <w:numId w:val="1"/>
        </w:numPr>
        <w:ind w:left="426"/>
      </w:pPr>
      <w:r w:rsidRPr="00F1431B">
        <w:t xml:space="preserve">Juuso, P., </w:t>
      </w:r>
      <w:proofErr w:type="spellStart"/>
      <w:r w:rsidRPr="00F1431B">
        <w:t>Skär</w:t>
      </w:r>
      <w:proofErr w:type="spellEnd"/>
      <w:r w:rsidRPr="00F1431B">
        <w:t>, L., Olsson, M., and Söderberg, S. (2014). Meanings of being received and met by others as experienced by women with fibromyalgia. Qual. Health Res. 24, 1381–1390. 10.1177/1049732314547540</w:t>
      </w:r>
    </w:p>
    <w:p w14:paraId="42ACB0C9" w14:textId="77777777" w:rsidR="00482DCD" w:rsidRPr="00F1431B" w:rsidRDefault="00482DCD" w:rsidP="00EB4ED6">
      <w:pPr>
        <w:pStyle w:val="ListParagraph"/>
        <w:numPr>
          <w:ilvl w:val="0"/>
          <w:numId w:val="1"/>
        </w:numPr>
        <w:ind w:left="426"/>
      </w:pPr>
      <w:proofErr w:type="spellStart"/>
      <w:r w:rsidRPr="00F1431B">
        <w:t>Kahere</w:t>
      </w:r>
      <w:proofErr w:type="spellEnd"/>
      <w:r w:rsidRPr="00F1431B">
        <w:t xml:space="preserve">, M., </w:t>
      </w:r>
      <w:proofErr w:type="spellStart"/>
      <w:r w:rsidRPr="00F1431B">
        <w:t>Hlongwana</w:t>
      </w:r>
      <w:proofErr w:type="spellEnd"/>
      <w:r w:rsidRPr="00F1431B">
        <w:t xml:space="preserve">, K., and </w:t>
      </w:r>
      <w:proofErr w:type="spellStart"/>
      <w:r w:rsidRPr="00F1431B">
        <w:t>Ginindza</w:t>
      </w:r>
      <w:proofErr w:type="spellEnd"/>
      <w:r w:rsidRPr="00F1431B">
        <w:t>, T. (2022). Exploring patients' lived experience on the barriers to accessing low back pain health services. Afr. J. Prim. Health Care Fam. Med. 14, e1–e10. 10.4102/</w:t>
      </w:r>
      <w:proofErr w:type="gramStart"/>
      <w:r w:rsidRPr="00F1431B">
        <w:t>phcfm.v</w:t>
      </w:r>
      <w:proofErr w:type="gramEnd"/>
      <w:r w:rsidRPr="00F1431B">
        <w:t xml:space="preserve">14i1.3523. </w:t>
      </w:r>
    </w:p>
    <w:p w14:paraId="7606DD18" w14:textId="77777777" w:rsidR="00482DCD" w:rsidRPr="00F1431B" w:rsidRDefault="00482DCD" w:rsidP="00EB4ED6">
      <w:pPr>
        <w:pStyle w:val="ListParagraph"/>
        <w:numPr>
          <w:ilvl w:val="0"/>
          <w:numId w:val="1"/>
        </w:numPr>
        <w:ind w:left="426"/>
      </w:pPr>
      <w:r w:rsidRPr="00F1431B">
        <w:t xml:space="preserve">Keen, S., Lomeli-Rodriguez, M., and Williams, A. (2021). Exploring how people with chronic pain understand their pain: a qualitative study. Scand J. Pain 21, 743–753. </w:t>
      </w:r>
      <w:hyperlink r:id="rId155" w:history="1">
        <w:r w:rsidRPr="00F1431B">
          <w:rPr>
            <w:rStyle w:val="Hyperlink"/>
          </w:rPr>
          <w:t>10.1515/sjpain-2021-0060</w:t>
        </w:r>
      </w:hyperlink>
      <w:r w:rsidRPr="00F1431B">
        <w:t>.</w:t>
      </w:r>
    </w:p>
    <w:p w14:paraId="005CC5E7" w14:textId="77777777" w:rsidR="00482DCD" w:rsidRPr="00F1431B" w:rsidRDefault="00482DCD" w:rsidP="00EB4ED6">
      <w:pPr>
        <w:pStyle w:val="ListParagraph"/>
        <w:numPr>
          <w:ilvl w:val="0"/>
          <w:numId w:val="1"/>
        </w:numPr>
        <w:ind w:left="426"/>
      </w:pPr>
      <w:r w:rsidRPr="00F1431B">
        <w:t>Kirkham, J.A., Smith, J.A., and Havsteen-Franklin, D. (2015). Painting pain: an interpretative phenomenological analysis of representations of living with chronic pain. Health Psychol. 34, 398–406. 10.1037/hea0000139.</w:t>
      </w:r>
    </w:p>
    <w:p w14:paraId="0220DCDA" w14:textId="77777777" w:rsidR="00482DCD" w:rsidRPr="00F1431B" w:rsidRDefault="00482DCD" w:rsidP="00EB4ED6">
      <w:pPr>
        <w:pStyle w:val="ListParagraph"/>
        <w:numPr>
          <w:ilvl w:val="0"/>
          <w:numId w:val="1"/>
        </w:numPr>
        <w:ind w:left="426"/>
      </w:pPr>
      <w:r w:rsidRPr="00F1431B">
        <w:rPr>
          <w:color w:val="1B1B1B"/>
          <w:shd w:val="clear" w:color="auto" w:fill="FFFFFF"/>
        </w:rPr>
        <w:lastRenderedPageBreak/>
        <w:t xml:space="preserve">Krohne, K. and </w:t>
      </w:r>
      <w:proofErr w:type="spellStart"/>
      <w:r w:rsidRPr="00F1431B">
        <w:rPr>
          <w:color w:val="1B1B1B"/>
          <w:shd w:val="clear" w:color="auto" w:fill="FFFFFF"/>
        </w:rPr>
        <w:t>Ihlebaek</w:t>
      </w:r>
      <w:proofErr w:type="spellEnd"/>
      <w:r w:rsidRPr="00F1431B">
        <w:rPr>
          <w:color w:val="1B1B1B"/>
          <w:shd w:val="clear" w:color="auto" w:fill="FFFFFF"/>
        </w:rPr>
        <w:t xml:space="preserve">, C. (2010). Maintaining a balance: a focus group study on living and coping with chronic whiplash-associated disorder. BMC </w:t>
      </w:r>
      <w:proofErr w:type="spellStart"/>
      <w:r w:rsidRPr="00F1431B">
        <w:rPr>
          <w:color w:val="1B1B1B"/>
          <w:shd w:val="clear" w:color="auto" w:fill="FFFFFF"/>
        </w:rPr>
        <w:t>Musculoskelet</w:t>
      </w:r>
      <w:proofErr w:type="spellEnd"/>
      <w:r w:rsidRPr="00F1431B">
        <w:rPr>
          <w:color w:val="1B1B1B"/>
          <w:shd w:val="clear" w:color="auto" w:fill="FFFFFF"/>
        </w:rPr>
        <w:t xml:space="preserve">. </w:t>
      </w:r>
      <w:proofErr w:type="spellStart"/>
      <w:r w:rsidRPr="00F1431B">
        <w:rPr>
          <w:color w:val="1B1B1B"/>
          <w:shd w:val="clear" w:color="auto" w:fill="FFFFFF"/>
        </w:rPr>
        <w:t>Disord</w:t>
      </w:r>
      <w:proofErr w:type="spellEnd"/>
      <w:r w:rsidRPr="00F1431B">
        <w:rPr>
          <w:color w:val="1B1B1B"/>
          <w:shd w:val="clear" w:color="auto" w:fill="FFFFFF"/>
        </w:rPr>
        <w:t>. 11, 158. 10.1186/1471-2474-11-158.</w:t>
      </w:r>
    </w:p>
    <w:p w14:paraId="41C557EF" w14:textId="77777777" w:rsidR="00482DCD" w:rsidRPr="00F1431B" w:rsidRDefault="00482DCD" w:rsidP="00EB4ED6">
      <w:pPr>
        <w:pStyle w:val="ListParagraph"/>
        <w:numPr>
          <w:ilvl w:val="0"/>
          <w:numId w:val="1"/>
        </w:numPr>
        <w:ind w:left="426"/>
      </w:pPr>
      <w:r w:rsidRPr="00F1431B">
        <w:rPr>
          <w:color w:val="212121"/>
          <w:shd w:val="clear" w:color="auto" w:fill="FFFFFF"/>
        </w:rPr>
        <w:t xml:space="preserve">Lavie-Ajayi, </w:t>
      </w:r>
      <w:proofErr w:type="gramStart"/>
      <w:r w:rsidRPr="00F1431B">
        <w:rPr>
          <w:color w:val="212121"/>
          <w:shd w:val="clear" w:color="auto" w:fill="FFFFFF"/>
        </w:rPr>
        <w:t>M,,</w:t>
      </w:r>
      <w:proofErr w:type="gramEnd"/>
      <w:r w:rsidRPr="00F1431B">
        <w:rPr>
          <w:color w:val="212121"/>
          <w:shd w:val="clear" w:color="auto" w:fill="FFFFFF"/>
        </w:rPr>
        <w:t xml:space="preserve"> Almog, N., and </w:t>
      </w:r>
      <w:proofErr w:type="spellStart"/>
      <w:r w:rsidRPr="00F1431B">
        <w:rPr>
          <w:color w:val="212121"/>
          <w:shd w:val="clear" w:color="auto" w:fill="FFFFFF"/>
        </w:rPr>
        <w:t>Krumer</w:t>
      </w:r>
      <w:proofErr w:type="spellEnd"/>
      <w:r w:rsidRPr="00F1431B">
        <w:rPr>
          <w:color w:val="212121"/>
          <w:shd w:val="clear" w:color="auto" w:fill="FFFFFF"/>
        </w:rPr>
        <w:t xml:space="preserve">-Nevo, M. (2012). Chronic pain as a narratological distress: a phenomenological study. Chronic </w:t>
      </w:r>
      <w:proofErr w:type="spellStart"/>
      <w:r w:rsidRPr="00F1431B">
        <w:rPr>
          <w:color w:val="212121"/>
          <w:shd w:val="clear" w:color="auto" w:fill="FFFFFF"/>
        </w:rPr>
        <w:t>Illn</w:t>
      </w:r>
      <w:proofErr w:type="spellEnd"/>
      <w:r w:rsidRPr="00F1431B">
        <w:rPr>
          <w:color w:val="212121"/>
          <w:shd w:val="clear" w:color="auto" w:fill="FFFFFF"/>
        </w:rPr>
        <w:t>. 8, 192–200. 10.1177/1742395312449665.</w:t>
      </w:r>
    </w:p>
    <w:p w14:paraId="4ACB51A4" w14:textId="77777777" w:rsidR="00482DCD" w:rsidRPr="00F1431B" w:rsidRDefault="00482DCD" w:rsidP="00EB4ED6">
      <w:pPr>
        <w:pStyle w:val="ListParagraph"/>
        <w:numPr>
          <w:ilvl w:val="0"/>
          <w:numId w:val="1"/>
        </w:numPr>
        <w:ind w:left="426"/>
      </w:pPr>
      <w:r w:rsidRPr="00F1431B">
        <w:t>Lee, A.L., Harrison, S.L., Goldstein, R.S., Brooks, D. (2018). An exploration of pain experiences and their meaning in people with chronic obstructive pulmonary disease. </w:t>
      </w:r>
      <w:proofErr w:type="spellStart"/>
      <w:r w:rsidRPr="00F1431B">
        <w:t>Physiother</w:t>
      </w:r>
      <w:proofErr w:type="spellEnd"/>
      <w:r w:rsidRPr="00F1431B">
        <w:t xml:space="preserve">. Theory </w:t>
      </w:r>
      <w:proofErr w:type="spellStart"/>
      <w:r w:rsidRPr="00F1431B">
        <w:t>Pract</w:t>
      </w:r>
      <w:proofErr w:type="spellEnd"/>
      <w:r w:rsidRPr="00F1431B">
        <w:t>. 34, 765–772. 10.1080/09593985.2018.1425512.</w:t>
      </w:r>
    </w:p>
    <w:p w14:paraId="7507D4B8" w14:textId="77777777" w:rsidR="00482DCD" w:rsidRPr="00F1431B" w:rsidRDefault="00482DCD" w:rsidP="00EB4ED6">
      <w:pPr>
        <w:pStyle w:val="ListParagraph"/>
        <w:numPr>
          <w:ilvl w:val="0"/>
          <w:numId w:val="1"/>
        </w:numPr>
        <w:ind w:left="426"/>
      </w:pPr>
      <w:r w:rsidRPr="00F1431B">
        <w:t xml:space="preserve">Lilja, V., </w:t>
      </w:r>
      <w:proofErr w:type="spellStart"/>
      <w:r w:rsidRPr="00F1431B">
        <w:t>Wallström</w:t>
      </w:r>
      <w:proofErr w:type="spellEnd"/>
      <w:r w:rsidRPr="00F1431B">
        <w:t xml:space="preserve">, S., </w:t>
      </w:r>
      <w:proofErr w:type="spellStart"/>
      <w:r w:rsidRPr="00F1431B">
        <w:t>Saarijärvi</w:t>
      </w:r>
      <w:proofErr w:type="spellEnd"/>
      <w:r w:rsidRPr="00F1431B">
        <w:t xml:space="preserve">, M., Lundberg, M., </w:t>
      </w:r>
      <w:proofErr w:type="spellStart"/>
      <w:r w:rsidRPr="00F1431B">
        <w:t>Segertoft</w:t>
      </w:r>
      <w:proofErr w:type="spellEnd"/>
      <w:r w:rsidRPr="00F1431B">
        <w:t>, V.A., and Ekman, I. Balancing between being the most valuable player (MVP) and passing the ball: a qualitative study of support when living with chronic pain in Sweden. BMJ Open 14, e079229. 10.1136/bmjopen-2023-079229.</w:t>
      </w:r>
    </w:p>
    <w:p w14:paraId="4878965F" w14:textId="77777777" w:rsidR="00482DCD" w:rsidRPr="00F1431B" w:rsidRDefault="00482DCD" w:rsidP="00EB4ED6">
      <w:pPr>
        <w:pStyle w:val="ListParagraph"/>
        <w:numPr>
          <w:ilvl w:val="0"/>
          <w:numId w:val="1"/>
        </w:numPr>
        <w:ind w:left="426"/>
      </w:pPr>
      <w:r w:rsidRPr="00F1431B">
        <w:rPr>
          <w:color w:val="212121"/>
          <w:shd w:val="clear" w:color="auto" w:fill="FFFFFF"/>
        </w:rPr>
        <w:t xml:space="preserve">Lo Monaco, M., </w:t>
      </w:r>
      <w:proofErr w:type="spellStart"/>
      <w:r w:rsidRPr="00F1431B">
        <w:rPr>
          <w:color w:val="212121"/>
          <w:shd w:val="clear" w:color="auto" w:fill="FFFFFF"/>
        </w:rPr>
        <w:t>Alblooshi</w:t>
      </w:r>
      <w:proofErr w:type="spellEnd"/>
      <w:r w:rsidRPr="00F1431B">
        <w:rPr>
          <w:color w:val="212121"/>
          <w:shd w:val="clear" w:color="auto" w:fill="FFFFFF"/>
        </w:rPr>
        <w:t xml:space="preserve">, S., </w:t>
      </w:r>
      <w:proofErr w:type="spellStart"/>
      <w:r w:rsidRPr="00F1431B">
        <w:rPr>
          <w:color w:val="212121"/>
          <w:shd w:val="clear" w:color="auto" w:fill="FFFFFF"/>
        </w:rPr>
        <w:t>Mallaci</w:t>
      </w:r>
      <w:proofErr w:type="spellEnd"/>
      <w:r w:rsidRPr="00F1431B">
        <w:rPr>
          <w:color w:val="212121"/>
          <w:shd w:val="clear" w:color="auto" w:fill="FFFFFF"/>
        </w:rPr>
        <w:t xml:space="preserve"> </w:t>
      </w:r>
      <w:proofErr w:type="spellStart"/>
      <w:r w:rsidRPr="00F1431B">
        <w:rPr>
          <w:color w:val="212121"/>
          <w:shd w:val="clear" w:color="auto" w:fill="FFFFFF"/>
        </w:rPr>
        <w:t>Bocchio</w:t>
      </w:r>
      <w:proofErr w:type="spellEnd"/>
      <w:r w:rsidRPr="00F1431B">
        <w:rPr>
          <w:color w:val="212121"/>
          <w:shd w:val="clear" w:color="auto" w:fill="FFFFFF"/>
        </w:rPr>
        <w:t>, R., Natoli, G., and Landa, M.L., and Corrao, S. (2024). The lived experience of mothers living with fibromyalgia syndrome: A phenomenological inquiry. Musculoskeletal Care 22, e1889. 10.1002/msc.1889.</w:t>
      </w:r>
    </w:p>
    <w:p w14:paraId="552D9A58" w14:textId="77777777" w:rsidR="00482DCD" w:rsidRPr="00F1431B" w:rsidRDefault="00482DCD" w:rsidP="00EB4ED6">
      <w:pPr>
        <w:pStyle w:val="ListParagraph"/>
        <w:numPr>
          <w:ilvl w:val="0"/>
          <w:numId w:val="1"/>
        </w:numPr>
        <w:ind w:left="426"/>
      </w:pPr>
      <w:r w:rsidRPr="00F1431B">
        <w:rPr>
          <w:color w:val="212121"/>
          <w:shd w:val="clear" w:color="auto" w:fill="FFFFFF"/>
        </w:rPr>
        <w:t xml:space="preserve">Lundin, Å., Ekman, I., </w:t>
      </w:r>
      <w:proofErr w:type="spellStart"/>
      <w:r w:rsidRPr="00F1431B">
        <w:rPr>
          <w:color w:val="212121"/>
          <w:shd w:val="clear" w:color="auto" w:fill="FFFFFF"/>
        </w:rPr>
        <w:t>Andréll</w:t>
      </w:r>
      <w:proofErr w:type="spellEnd"/>
      <w:r w:rsidRPr="00F1431B">
        <w:rPr>
          <w:color w:val="212121"/>
          <w:shd w:val="clear" w:color="auto" w:fill="FFFFFF"/>
        </w:rPr>
        <w:t xml:space="preserve">, P., Lundberg, M., and </w:t>
      </w:r>
      <w:proofErr w:type="spellStart"/>
      <w:r w:rsidRPr="00F1431B">
        <w:rPr>
          <w:color w:val="212121"/>
          <w:shd w:val="clear" w:color="auto" w:fill="FFFFFF"/>
        </w:rPr>
        <w:t>Wallström</w:t>
      </w:r>
      <w:proofErr w:type="spellEnd"/>
      <w:r w:rsidRPr="00F1431B">
        <w:rPr>
          <w:color w:val="212121"/>
          <w:shd w:val="clear" w:color="auto" w:fill="FFFFFF"/>
        </w:rPr>
        <w:t>, S. (2024). Have my back as I get back to work-Experiences of stakeholder support in returning to work after sick leave due to chronic pain: A qualitative interview study. </w:t>
      </w:r>
      <w:proofErr w:type="spellStart"/>
      <w:r w:rsidRPr="00F1431B">
        <w:rPr>
          <w:color w:val="212121"/>
          <w:shd w:val="clear" w:color="auto" w:fill="FFFFFF"/>
        </w:rPr>
        <w:t>PLoS</w:t>
      </w:r>
      <w:proofErr w:type="spellEnd"/>
      <w:r w:rsidRPr="00F1431B">
        <w:rPr>
          <w:color w:val="212121"/>
          <w:shd w:val="clear" w:color="auto" w:fill="FFFFFF"/>
        </w:rPr>
        <w:t xml:space="preserve"> One 19, e0312478. 10.1371/journal.pone.0312478.</w:t>
      </w:r>
    </w:p>
    <w:p w14:paraId="51870805" w14:textId="77777777" w:rsidR="00482DCD" w:rsidRPr="00F1431B" w:rsidRDefault="00482DCD" w:rsidP="00EB4ED6">
      <w:pPr>
        <w:pStyle w:val="ListParagraph"/>
        <w:numPr>
          <w:ilvl w:val="0"/>
          <w:numId w:val="1"/>
        </w:numPr>
        <w:ind w:left="426"/>
      </w:pPr>
      <w:r w:rsidRPr="00F1431B">
        <w:rPr>
          <w:color w:val="222222"/>
          <w:shd w:val="clear" w:color="auto" w:fill="FFFFFF"/>
        </w:rPr>
        <w:t xml:space="preserve">Macgregor, C., Blane, D.N., Tulle, E., Campbell, C.L., Barber, R.J., Hill O-Connor, C., and </w:t>
      </w:r>
      <w:proofErr w:type="spellStart"/>
      <w:r w:rsidRPr="00F1431B">
        <w:rPr>
          <w:color w:val="222222"/>
          <w:shd w:val="clear" w:color="auto" w:fill="FFFFFF"/>
        </w:rPr>
        <w:t>Seenan</w:t>
      </w:r>
      <w:proofErr w:type="spellEnd"/>
      <w:r w:rsidRPr="00F1431B">
        <w:rPr>
          <w:color w:val="222222"/>
          <w:shd w:val="clear" w:color="auto" w:fill="FFFFFF"/>
        </w:rPr>
        <w:t>, C. (2024). An ecosystem of accepting life with chronic pain: A meta-ethnography. Br. J. Pain 18, 365–381. 10.1177/20494637241250271.</w:t>
      </w:r>
    </w:p>
    <w:p w14:paraId="444B90CA" w14:textId="77777777" w:rsidR="00482DCD" w:rsidRPr="00F1431B" w:rsidRDefault="00482DCD" w:rsidP="00EB4ED6">
      <w:pPr>
        <w:pStyle w:val="ListParagraph"/>
        <w:numPr>
          <w:ilvl w:val="0"/>
          <w:numId w:val="1"/>
        </w:numPr>
        <w:ind w:left="426"/>
      </w:pPr>
      <w:proofErr w:type="spellStart"/>
      <w:r w:rsidRPr="00F1431B">
        <w:rPr>
          <w:color w:val="222222"/>
          <w:shd w:val="clear" w:color="auto" w:fill="FFFFFF"/>
        </w:rPr>
        <w:t>MacNeela</w:t>
      </w:r>
      <w:proofErr w:type="spellEnd"/>
      <w:r w:rsidRPr="00F1431B">
        <w:rPr>
          <w:color w:val="222222"/>
          <w:shd w:val="clear" w:color="auto" w:fill="FFFFFF"/>
        </w:rPr>
        <w:t>, P., Doyle, C., O'Gorman, D., Ruane, N., and McGuire BE. (2015). Experiences of chronic low back pain: a meta-ethnography of qualitative research. Health Psychol. Rev. 9, 63–82. 10.1080/17437199.2013.840951.</w:t>
      </w:r>
    </w:p>
    <w:p w14:paraId="21FE8195" w14:textId="77777777" w:rsidR="00482DCD" w:rsidRPr="00F1431B" w:rsidRDefault="00482DCD" w:rsidP="00EB4ED6">
      <w:pPr>
        <w:pStyle w:val="ListParagraph"/>
        <w:numPr>
          <w:ilvl w:val="0"/>
          <w:numId w:val="1"/>
        </w:numPr>
        <w:ind w:left="426"/>
      </w:pPr>
      <w:r w:rsidRPr="00F1431B">
        <w:t xml:space="preserve">Mathias, B., Parry-Jones, B., and Huws, J.C. (2014). Individual experiences of an acceptance-based pain management </w:t>
      </w:r>
      <w:proofErr w:type="spellStart"/>
      <w:r w:rsidRPr="00F1431B">
        <w:t>programme</w:t>
      </w:r>
      <w:proofErr w:type="spellEnd"/>
      <w:r w:rsidRPr="00F1431B">
        <w:t>: an interpretative phenomenological analysis. Psychol. Health. 29, 279–296. 10.1080/08870446.2013.845667.</w:t>
      </w:r>
    </w:p>
    <w:p w14:paraId="3BBDEFB2" w14:textId="77777777" w:rsidR="00482DCD" w:rsidRPr="00F1431B" w:rsidRDefault="00482DCD" w:rsidP="00EB4ED6">
      <w:pPr>
        <w:pStyle w:val="ListParagraph"/>
        <w:numPr>
          <w:ilvl w:val="0"/>
          <w:numId w:val="1"/>
        </w:numPr>
        <w:ind w:left="426"/>
      </w:pPr>
      <w:r w:rsidRPr="00F1431B">
        <w:rPr>
          <w:color w:val="212121"/>
          <w:shd w:val="clear" w:color="auto" w:fill="FFFFFF"/>
        </w:rPr>
        <w:t xml:space="preserve">Matias-Soto, J., Pineda-Galan, C., Martin-Sanchez, A.I., Gonzalez-Mesa, J.M., Aguayo-Alves, A., and Luque-Suarez, A. (2024). Unveiling relevant emotions, cognitions, and </w:t>
      </w:r>
      <w:proofErr w:type="spellStart"/>
      <w:r w:rsidRPr="00F1431B">
        <w:rPr>
          <w:color w:val="212121"/>
          <w:shd w:val="clear" w:color="auto" w:fill="FFFFFF"/>
        </w:rPr>
        <w:t>behaviours</w:t>
      </w:r>
      <w:proofErr w:type="spellEnd"/>
      <w:r w:rsidRPr="00F1431B">
        <w:rPr>
          <w:color w:val="212121"/>
          <w:shd w:val="clear" w:color="auto" w:fill="FFFFFF"/>
        </w:rPr>
        <w:t xml:space="preserve"> from the viewpoint of people with chronic low back pain: A qualitative study with patient involvement. </w:t>
      </w:r>
      <w:proofErr w:type="spellStart"/>
      <w:r w:rsidRPr="00F1431B">
        <w:rPr>
          <w:color w:val="212121"/>
          <w:shd w:val="clear" w:color="auto" w:fill="FFFFFF"/>
        </w:rPr>
        <w:t>Musculoskelet</w:t>
      </w:r>
      <w:proofErr w:type="spellEnd"/>
      <w:r w:rsidRPr="00F1431B">
        <w:rPr>
          <w:color w:val="212121"/>
          <w:shd w:val="clear" w:color="auto" w:fill="FFFFFF"/>
        </w:rPr>
        <w:t xml:space="preserve">. Sci. </w:t>
      </w:r>
      <w:proofErr w:type="spellStart"/>
      <w:r w:rsidRPr="00F1431B">
        <w:rPr>
          <w:color w:val="212121"/>
          <w:shd w:val="clear" w:color="auto" w:fill="FFFFFF"/>
        </w:rPr>
        <w:t>Pract</w:t>
      </w:r>
      <w:proofErr w:type="spellEnd"/>
      <w:r w:rsidRPr="00F1431B">
        <w:rPr>
          <w:color w:val="212121"/>
          <w:shd w:val="clear" w:color="auto" w:fill="FFFFFF"/>
        </w:rPr>
        <w:t xml:space="preserve">. 72, 103123. 10.1016/j.msksp.2024.103123. </w:t>
      </w:r>
    </w:p>
    <w:p w14:paraId="00A14CD8" w14:textId="77777777" w:rsidR="00482DCD" w:rsidRPr="00F1431B" w:rsidRDefault="00482DCD" w:rsidP="00EB4ED6">
      <w:pPr>
        <w:pStyle w:val="ListParagraph"/>
        <w:numPr>
          <w:ilvl w:val="0"/>
          <w:numId w:val="1"/>
        </w:numPr>
        <w:ind w:left="426"/>
      </w:pPr>
      <w:r w:rsidRPr="00F1431B">
        <w:t xml:space="preserve">McGeechan, G.J., McPherson, K.E., and Roberts, K. (2018). An interpretative phenomenological analysis of the experience of living with colorectal cancer as a chronic illness. J. Clin. </w:t>
      </w:r>
      <w:proofErr w:type="spellStart"/>
      <w:r w:rsidRPr="00F1431B">
        <w:t>Nurs</w:t>
      </w:r>
      <w:proofErr w:type="spellEnd"/>
      <w:r w:rsidRPr="00F1431B">
        <w:t>. 27, 3148–3156. 10.1111/jocn.14509</w:t>
      </w:r>
    </w:p>
    <w:p w14:paraId="470DB164" w14:textId="77777777" w:rsidR="00482DCD" w:rsidRPr="00F1431B" w:rsidRDefault="00482DCD" w:rsidP="00EB4ED6">
      <w:pPr>
        <w:pStyle w:val="ListParagraph"/>
        <w:numPr>
          <w:ilvl w:val="0"/>
          <w:numId w:val="1"/>
        </w:numPr>
        <w:ind w:left="426"/>
      </w:pPr>
      <w:proofErr w:type="spellStart"/>
      <w:r w:rsidRPr="00F1431B">
        <w:rPr>
          <w:color w:val="222222"/>
          <w:shd w:val="clear" w:color="auto" w:fill="FFFFFF"/>
        </w:rPr>
        <w:t>Mengshoel</w:t>
      </w:r>
      <w:proofErr w:type="spellEnd"/>
      <w:r w:rsidRPr="00F1431B">
        <w:rPr>
          <w:color w:val="222222"/>
          <w:shd w:val="clear" w:color="auto" w:fill="FFFFFF"/>
        </w:rPr>
        <w:t xml:space="preserve">, A.M., Sim, J., Ahlsen, B., and Madden, S. (2018). Diagnostic experience of patients with fibromyalgia–A meta-ethnography. Chronic </w:t>
      </w:r>
      <w:proofErr w:type="spellStart"/>
      <w:r w:rsidRPr="00F1431B">
        <w:rPr>
          <w:color w:val="222222"/>
          <w:shd w:val="clear" w:color="auto" w:fill="FFFFFF"/>
        </w:rPr>
        <w:t>illn</w:t>
      </w:r>
      <w:proofErr w:type="spellEnd"/>
      <w:r w:rsidRPr="00F1431B">
        <w:rPr>
          <w:color w:val="222222"/>
          <w:shd w:val="clear" w:color="auto" w:fill="FFFFFF"/>
        </w:rPr>
        <w:t>. 14, 194–211.</w:t>
      </w:r>
      <w:r w:rsidRPr="00F1431B">
        <w:t xml:space="preserve"> </w:t>
      </w:r>
      <w:r w:rsidRPr="00F1431B">
        <w:rPr>
          <w:color w:val="222222"/>
          <w:shd w:val="clear" w:color="auto" w:fill="FFFFFF"/>
        </w:rPr>
        <w:t>10.1177/1742395317718035.</w:t>
      </w:r>
    </w:p>
    <w:p w14:paraId="735B28A3" w14:textId="77777777" w:rsidR="00482DCD" w:rsidRPr="00F1431B" w:rsidRDefault="00482DCD" w:rsidP="00EB4ED6">
      <w:pPr>
        <w:pStyle w:val="ListParagraph"/>
        <w:numPr>
          <w:ilvl w:val="0"/>
          <w:numId w:val="1"/>
        </w:numPr>
        <w:ind w:left="426"/>
      </w:pPr>
      <w:r w:rsidRPr="00F1431B">
        <w:t xml:space="preserve">Merolli, M., Gray, K., and Martin-Sanchez, F. (2014). Therapeutic affordances of social media: emergent themes from a global online survey of people with chronic pain. J. Med. Internet Res. 16, e284. </w:t>
      </w:r>
      <w:hyperlink r:id="rId156" w:history="1">
        <w:r w:rsidRPr="00F1431B">
          <w:rPr>
            <w:rStyle w:val="Hyperlink"/>
          </w:rPr>
          <w:t>10.2196/jmir.3494</w:t>
        </w:r>
      </w:hyperlink>
      <w:r w:rsidRPr="00F1431B">
        <w:t>.</w:t>
      </w:r>
    </w:p>
    <w:p w14:paraId="0B32DC52" w14:textId="77777777" w:rsidR="00482DCD" w:rsidRPr="00F1431B" w:rsidRDefault="00482DCD" w:rsidP="00EB4ED6">
      <w:pPr>
        <w:pStyle w:val="ListParagraph"/>
        <w:numPr>
          <w:ilvl w:val="0"/>
          <w:numId w:val="1"/>
        </w:numPr>
        <w:ind w:left="426"/>
      </w:pPr>
      <w:r w:rsidRPr="00F1431B">
        <w:rPr>
          <w:shd w:val="clear" w:color="auto" w:fill="FFFFFF"/>
        </w:rPr>
        <w:t>Morton, K., Dennison, L., May, C., Murray, E., Little, P., McManus, R.J., and Yardley, L. (2017). Using digital interventions for self-management of chronic physical health conditions: a meta-ethnography review of published studies. Patient education and counseling. 100, 616–635.</w:t>
      </w:r>
    </w:p>
    <w:p w14:paraId="393AE6DE" w14:textId="77777777" w:rsidR="00482DCD" w:rsidRPr="00F1431B" w:rsidRDefault="00482DCD" w:rsidP="00EB4ED6">
      <w:pPr>
        <w:pStyle w:val="ListParagraph"/>
        <w:numPr>
          <w:ilvl w:val="0"/>
          <w:numId w:val="1"/>
        </w:numPr>
        <w:ind w:left="426"/>
      </w:pPr>
      <w:r w:rsidRPr="00F1431B">
        <w:lastRenderedPageBreak/>
        <w:t>Mustafa, N., Einstein, G., MacNeill, M., and Watt-Watson, J. (2020). The lived experiences of chronic pain among immigrant Indian-Canadian women: A phenomenological analysis. Can. J. Pain. 4, 40–50. 10.1080/24740527.2020.1768835.</w:t>
      </w:r>
    </w:p>
    <w:p w14:paraId="23B7AB84" w14:textId="77777777" w:rsidR="00482DCD" w:rsidRPr="00F1431B" w:rsidRDefault="00482DCD" w:rsidP="00EB4ED6">
      <w:pPr>
        <w:pStyle w:val="ListParagraph"/>
        <w:numPr>
          <w:ilvl w:val="0"/>
          <w:numId w:val="1"/>
        </w:numPr>
        <w:ind w:left="426"/>
      </w:pPr>
      <w:r w:rsidRPr="005F7C23">
        <w:rPr>
          <w:color w:val="212121"/>
          <w:shd w:val="clear" w:color="auto" w:fill="FFFFFF"/>
          <w:lang w:val="nl-NL"/>
        </w:rPr>
        <w:t xml:space="preserve">Najem, C., Wijma A.J., Meeus, M., Cagnie, B., Ayoubi, F., Van Oosterwijck, J., De Meulemeester, K., and Van Wilgen, C.P. (2025). </w:t>
      </w:r>
      <w:r w:rsidRPr="00F1431B">
        <w:rPr>
          <w:color w:val="212121"/>
          <w:shd w:val="clear" w:color="auto" w:fill="FFFFFF"/>
        </w:rPr>
        <w:t>"It is something you live with, like an organ in your body" a qualitative study on the lived experiences of people suffering from chronic low back pain in Lebanon. </w:t>
      </w:r>
      <w:proofErr w:type="spellStart"/>
      <w:r w:rsidRPr="00F1431B">
        <w:rPr>
          <w:color w:val="212121"/>
          <w:shd w:val="clear" w:color="auto" w:fill="FFFFFF"/>
        </w:rPr>
        <w:t>Disabil</w:t>
      </w:r>
      <w:proofErr w:type="spellEnd"/>
      <w:r w:rsidRPr="00F1431B">
        <w:rPr>
          <w:color w:val="212121"/>
          <w:shd w:val="clear" w:color="auto" w:fill="FFFFFF"/>
        </w:rPr>
        <w:t xml:space="preserve">. </w:t>
      </w:r>
      <w:proofErr w:type="spellStart"/>
      <w:r w:rsidRPr="00F1431B">
        <w:rPr>
          <w:color w:val="212121"/>
          <w:shd w:val="clear" w:color="auto" w:fill="FFFFFF"/>
        </w:rPr>
        <w:t>Rehabil</w:t>
      </w:r>
      <w:proofErr w:type="spellEnd"/>
      <w:r w:rsidRPr="00F1431B">
        <w:rPr>
          <w:color w:val="212121"/>
          <w:shd w:val="clear" w:color="auto" w:fill="FFFFFF"/>
        </w:rPr>
        <w:t>. 47, 1795–1806. 10.1080/09638288.2024.2384620:</w:t>
      </w:r>
    </w:p>
    <w:p w14:paraId="583BAAC3" w14:textId="77777777" w:rsidR="00482DCD" w:rsidRPr="00F1431B" w:rsidRDefault="00482DCD" w:rsidP="00EB4ED6">
      <w:pPr>
        <w:pStyle w:val="ListParagraph"/>
        <w:numPr>
          <w:ilvl w:val="0"/>
          <w:numId w:val="1"/>
        </w:numPr>
        <w:ind w:left="426"/>
      </w:pPr>
      <w:r w:rsidRPr="00F1431B">
        <w:t xml:space="preserve">Nay, R. and Fetherstonhaugh, D. (2012). What is pain? A phenomenological approach to understanding. Int. J. Older People </w:t>
      </w:r>
      <w:proofErr w:type="spellStart"/>
      <w:r w:rsidRPr="00F1431B">
        <w:t>Nurs</w:t>
      </w:r>
      <w:proofErr w:type="spellEnd"/>
      <w:r w:rsidRPr="00F1431B">
        <w:t>. 7, 233–239. 10.1111/j.1748-3743.2012.</w:t>
      </w:r>
      <w:proofErr w:type="gramStart"/>
      <w:r w:rsidRPr="00F1431B">
        <w:t>00329.x.</w:t>
      </w:r>
      <w:proofErr w:type="gramEnd"/>
    </w:p>
    <w:p w14:paraId="0412E372" w14:textId="77777777" w:rsidR="00482DCD" w:rsidRPr="00F1431B" w:rsidRDefault="00482DCD" w:rsidP="00EB4ED6">
      <w:pPr>
        <w:pStyle w:val="ListParagraph"/>
        <w:numPr>
          <w:ilvl w:val="0"/>
          <w:numId w:val="1"/>
        </w:numPr>
        <w:ind w:left="426"/>
      </w:pPr>
      <w:proofErr w:type="spellStart"/>
      <w:r w:rsidRPr="00F1431B">
        <w:rPr>
          <w:color w:val="212121"/>
          <w:shd w:val="clear" w:color="auto" w:fill="FFFFFF"/>
        </w:rPr>
        <w:t>Nikoloudi</w:t>
      </w:r>
      <w:proofErr w:type="spellEnd"/>
      <w:r w:rsidRPr="00F1431B">
        <w:rPr>
          <w:color w:val="212121"/>
          <w:shd w:val="clear" w:color="auto" w:fill="FFFFFF"/>
        </w:rPr>
        <w:t xml:space="preserve">, M., Bogdani, E., </w:t>
      </w:r>
      <w:proofErr w:type="spellStart"/>
      <w:r w:rsidRPr="00F1431B">
        <w:rPr>
          <w:color w:val="212121"/>
          <w:shd w:val="clear" w:color="auto" w:fill="FFFFFF"/>
        </w:rPr>
        <w:t>Tsatsou</w:t>
      </w:r>
      <w:proofErr w:type="spellEnd"/>
      <w:r w:rsidRPr="00F1431B">
        <w:rPr>
          <w:color w:val="212121"/>
          <w:shd w:val="clear" w:color="auto" w:fill="FFFFFF"/>
        </w:rPr>
        <w:t xml:space="preserve">, I., </w:t>
      </w:r>
      <w:proofErr w:type="spellStart"/>
      <w:r w:rsidRPr="00F1431B">
        <w:rPr>
          <w:color w:val="212121"/>
          <w:shd w:val="clear" w:color="auto" w:fill="FFFFFF"/>
        </w:rPr>
        <w:t>Mantoudi</w:t>
      </w:r>
      <w:proofErr w:type="spellEnd"/>
      <w:r w:rsidRPr="00F1431B">
        <w:rPr>
          <w:color w:val="212121"/>
          <w:shd w:val="clear" w:color="auto" w:fill="FFFFFF"/>
        </w:rPr>
        <w:t xml:space="preserve">, A., and </w:t>
      </w:r>
      <w:proofErr w:type="spellStart"/>
      <w:r w:rsidRPr="00F1431B">
        <w:rPr>
          <w:color w:val="212121"/>
          <w:shd w:val="clear" w:color="auto" w:fill="FFFFFF"/>
        </w:rPr>
        <w:t>Mystakidou</w:t>
      </w:r>
      <w:proofErr w:type="spellEnd"/>
      <w:r w:rsidRPr="00F1431B">
        <w:rPr>
          <w:color w:val="212121"/>
          <w:shd w:val="clear" w:color="auto" w:fill="FFFFFF"/>
        </w:rPr>
        <w:t>, K. (2024). Experiences of patients living in a unique leprosy hospice in Greece: An interpretative phenomenological analysis. </w:t>
      </w:r>
      <w:proofErr w:type="spellStart"/>
      <w:r w:rsidRPr="00F1431B">
        <w:rPr>
          <w:color w:val="212121"/>
          <w:shd w:val="clear" w:color="auto" w:fill="FFFFFF"/>
        </w:rPr>
        <w:t>Cureus</w:t>
      </w:r>
      <w:proofErr w:type="spellEnd"/>
      <w:r w:rsidRPr="00F1431B">
        <w:rPr>
          <w:color w:val="212121"/>
          <w:shd w:val="clear" w:color="auto" w:fill="FFFFFF"/>
        </w:rPr>
        <w:t>. 16, e66358. 10.7759/cureus.66358.</w:t>
      </w:r>
    </w:p>
    <w:p w14:paraId="63AC2F67" w14:textId="77777777" w:rsidR="00482DCD" w:rsidRPr="00F1431B" w:rsidRDefault="00482DCD" w:rsidP="00EB4ED6">
      <w:pPr>
        <w:pStyle w:val="ListParagraph"/>
        <w:numPr>
          <w:ilvl w:val="0"/>
          <w:numId w:val="1"/>
        </w:numPr>
        <w:ind w:left="426"/>
      </w:pPr>
      <w:r w:rsidRPr="00F1431B">
        <w:t>Nilsen, G., and Anderssen, N. (2014). Struggling for a normal life: work as an individual self-care management strategy among persons living with non-malignant chronic pain. Work. 49, 123–132. 10.3233/WOR-131642.</w:t>
      </w:r>
    </w:p>
    <w:p w14:paraId="5FA37BF3" w14:textId="77777777" w:rsidR="00482DCD" w:rsidRPr="00F1431B" w:rsidRDefault="00482DCD" w:rsidP="00EB4ED6">
      <w:pPr>
        <w:pStyle w:val="ListParagraph"/>
        <w:numPr>
          <w:ilvl w:val="0"/>
          <w:numId w:val="1"/>
        </w:numPr>
        <w:ind w:left="426"/>
      </w:pPr>
      <w:r w:rsidRPr="00F1431B">
        <w:t xml:space="preserve">Ojala, T., Häkkinen, A., Karppinen, J., Sipilä, K., </w:t>
      </w:r>
      <w:proofErr w:type="spellStart"/>
      <w:r w:rsidRPr="00F1431B">
        <w:t>Suutama</w:t>
      </w:r>
      <w:proofErr w:type="spellEnd"/>
      <w:r w:rsidRPr="00F1431B">
        <w:t>, T., and Piirainen, A. (2015). Although unseen, chronic pain is real-A phenomenological study. Scand. J. Pain. 6, 33–40. 10.1016/j.sjpain.2014.04.004.</w:t>
      </w:r>
    </w:p>
    <w:p w14:paraId="1DD70AF2" w14:textId="77777777" w:rsidR="00482DCD" w:rsidRPr="00F1431B" w:rsidRDefault="00482DCD" w:rsidP="00EB4ED6">
      <w:pPr>
        <w:pStyle w:val="ListParagraph"/>
        <w:numPr>
          <w:ilvl w:val="0"/>
          <w:numId w:val="1"/>
        </w:numPr>
        <w:ind w:left="426"/>
      </w:pPr>
      <w:r w:rsidRPr="00F1431B">
        <w:t xml:space="preserve">Ojala, T., Häkkinen, A., Karppinen, J., Sipilä, K., </w:t>
      </w:r>
      <w:proofErr w:type="spellStart"/>
      <w:r w:rsidRPr="00F1431B">
        <w:t>Suutama</w:t>
      </w:r>
      <w:proofErr w:type="spellEnd"/>
      <w:r w:rsidRPr="00F1431B">
        <w:t>, T., and Piirainen, A. (2015). Chronic pain affects the whole person--a phenomenological study. </w:t>
      </w:r>
      <w:proofErr w:type="spellStart"/>
      <w:r w:rsidRPr="00F1431B">
        <w:t>Disabil</w:t>
      </w:r>
      <w:proofErr w:type="spellEnd"/>
      <w:r w:rsidRPr="00F1431B">
        <w:t xml:space="preserve">. </w:t>
      </w:r>
      <w:proofErr w:type="spellStart"/>
      <w:r w:rsidRPr="00F1431B">
        <w:t>Rehabil</w:t>
      </w:r>
      <w:proofErr w:type="spellEnd"/>
      <w:r w:rsidRPr="00F1431B">
        <w:t>. 37, 363–371. 10.3109/09638288.2014.923522.</w:t>
      </w:r>
    </w:p>
    <w:p w14:paraId="5DCBAE71" w14:textId="77777777" w:rsidR="00482DCD" w:rsidRPr="00F1431B" w:rsidRDefault="00482DCD" w:rsidP="00EB4ED6">
      <w:pPr>
        <w:pStyle w:val="ListParagraph"/>
        <w:numPr>
          <w:ilvl w:val="0"/>
          <w:numId w:val="1"/>
        </w:numPr>
        <w:ind w:left="426"/>
      </w:pPr>
      <w:r w:rsidRPr="00F1431B">
        <w:rPr>
          <w:color w:val="222222"/>
          <w:shd w:val="clear" w:color="auto" w:fill="FFFFFF"/>
        </w:rPr>
        <w:t xml:space="preserve">Ojala, T., Häkkinen, A., Karppinen, J., Sipilä, K., </w:t>
      </w:r>
      <w:proofErr w:type="spellStart"/>
      <w:r w:rsidRPr="00F1431B">
        <w:rPr>
          <w:color w:val="222222"/>
          <w:shd w:val="clear" w:color="auto" w:fill="FFFFFF"/>
        </w:rPr>
        <w:t>Suutama</w:t>
      </w:r>
      <w:proofErr w:type="spellEnd"/>
      <w:r w:rsidRPr="00F1431B">
        <w:rPr>
          <w:color w:val="222222"/>
          <w:shd w:val="clear" w:color="auto" w:fill="FFFFFF"/>
        </w:rPr>
        <w:t xml:space="preserve">, T., and Piirainen, A. (2015). Revising the negative meaning of chronic pain–A phenomenological study. Chronic </w:t>
      </w:r>
      <w:proofErr w:type="spellStart"/>
      <w:r w:rsidRPr="00F1431B">
        <w:rPr>
          <w:color w:val="222222"/>
          <w:shd w:val="clear" w:color="auto" w:fill="FFFFFF"/>
        </w:rPr>
        <w:t>illn</w:t>
      </w:r>
      <w:proofErr w:type="spellEnd"/>
      <w:r w:rsidRPr="00F1431B">
        <w:rPr>
          <w:color w:val="222222"/>
          <w:shd w:val="clear" w:color="auto" w:fill="FFFFFF"/>
        </w:rPr>
        <w:t>. 11, 156–167.</w:t>
      </w:r>
      <w:r w:rsidRPr="00F1431B">
        <w:t xml:space="preserve"> </w:t>
      </w:r>
      <w:r w:rsidRPr="00F1431B">
        <w:rPr>
          <w:color w:val="222222"/>
          <w:shd w:val="clear" w:color="auto" w:fill="FFFFFF"/>
        </w:rPr>
        <w:t>10.1177/1742395314555236.</w:t>
      </w:r>
    </w:p>
    <w:p w14:paraId="69F01EA8" w14:textId="77777777" w:rsidR="00482DCD" w:rsidRPr="00F1431B" w:rsidRDefault="00482DCD" w:rsidP="00EB4ED6">
      <w:pPr>
        <w:pStyle w:val="ListParagraph"/>
        <w:numPr>
          <w:ilvl w:val="0"/>
          <w:numId w:val="1"/>
        </w:numPr>
        <w:ind w:left="426"/>
      </w:pPr>
      <w:r w:rsidRPr="00F1431B">
        <w:t xml:space="preserve">Ojala, T., Häkkinen, A., Karppinen, J., Sipilä, K., </w:t>
      </w:r>
      <w:proofErr w:type="spellStart"/>
      <w:r w:rsidRPr="00F1431B">
        <w:t>Suutama</w:t>
      </w:r>
      <w:proofErr w:type="spellEnd"/>
      <w:r w:rsidRPr="00F1431B">
        <w:t>, T., and Piirainen, A. (2014). The dominance of chronic pain: a phenomenological study. Musculoskeletal Care. 12, 141–149. 10.1002/msc.1066.</w:t>
      </w:r>
    </w:p>
    <w:p w14:paraId="772D6387" w14:textId="77777777" w:rsidR="00482DCD" w:rsidRPr="00F1431B" w:rsidRDefault="00482DCD" w:rsidP="00EB4ED6">
      <w:pPr>
        <w:pStyle w:val="ListParagraph"/>
        <w:numPr>
          <w:ilvl w:val="0"/>
          <w:numId w:val="1"/>
        </w:numPr>
        <w:ind w:left="426"/>
      </w:pPr>
      <w:r w:rsidRPr="00F1431B">
        <w:t>Palacios-</w:t>
      </w:r>
      <w:proofErr w:type="spellStart"/>
      <w:r w:rsidRPr="00F1431B">
        <w:t>Ceña</w:t>
      </w:r>
      <w:proofErr w:type="spellEnd"/>
      <w:r w:rsidRPr="00F1431B">
        <w:t>, D., Neira-Martín, B., Silva-Hernández, L., Mayo-</w:t>
      </w:r>
      <w:proofErr w:type="spellStart"/>
      <w:r w:rsidRPr="00F1431B">
        <w:t>Canalejo</w:t>
      </w:r>
      <w:proofErr w:type="spellEnd"/>
      <w:r w:rsidRPr="00F1431B">
        <w:t>, D., Florencio, L.L., Fernández-de-Las-</w:t>
      </w:r>
      <w:proofErr w:type="spellStart"/>
      <w:r w:rsidRPr="00F1431B">
        <w:t>Peñas</w:t>
      </w:r>
      <w:proofErr w:type="spellEnd"/>
      <w:r w:rsidRPr="00F1431B">
        <w:t>, C., García-Moreno, H., García-</w:t>
      </w:r>
      <w:proofErr w:type="spellStart"/>
      <w:r w:rsidRPr="00F1431B">
        <w:t>Azorín</w:t>
      </w:r>
      <w:proofErr w:type="spellEnd"/>
      <w:r w:rsidRPr="00F1431B">
        <w:t xml:space="preserve">, D., and Cuadrado, M.L. (2017). Living with chronic migraine: a qualitative study on female patients' perspectives from a </w:t>
      </w:r>
      <w:proofErr w:type="spellStart"/>
      <w:r w:rsidRPr="00F1431B">
        <w:t>specialised</w:t>
      </w:r>
      <w:proofErr w:type="spellEnd"/>
      <w:r w:rsidRPr="00F1431B">
        <w:t xml:space="preserve"> headache clinic in Spain. BMJ Open. 7, e017851. 10.1136/bmjopen-2017-017851.</w:t>
      </w:r>
    </w:p>
    <w:p w14:paraId="23502C07" w14:textId="77777777" w:rsidR="00482DCD" w:rsidRPr="00F1431B" w:rsidRDefault="00482DCD" w:rsidP="00EB4ED6">
      <w:pPr>
        <w:pStyle w:val="ListParagraph"/>
        <w:numPr>
          <w:ilvl w:val="0"/>
          <w:numId w:val="1"/>
        </w:numPr>
        <w:ind w:left="426"/>
      </w:pPr>
      <w:r w:rsidRPr="00F1431B">
        <w:t>Peppard, S.W., Burkard, J, Georges, J, Dye, J. (2023). The lived experience of military women with chronic pain: A phenomenological study. Mil. Med. 188, 1199–1206. 10.1093/</w:t>
      </w:r>
      <w:proofErr w:type="spellStart"/>
      <w:r w:rsidRPr="00F1431B">
        <w:t>milmed</w:t>
      </w:r>
      <w:proofErr w:type="spellEnd"/>
      <w:r w:rsidRPr="00F1431B">
        <w:t>/usac134.</w:t>
      </w:r>
    </w:p>
    <w:p w14:paraId="55B5D74B" w14:textId="77777777" w:rsidR="00482DCD" w:rsidRPr="00F1431B" w:rsidRDefault="00482DCD" w:rsidP="00EB4ED6">
      <w:pPr>
        <w:pStyle w:val="ListParagraph"/>
        <w:numPr>
          <w:ilvl w:val="0"/>
          <w:numId w:val="1"/>
        </w:numPr>
        <w:ind w:left="426"/>
      </w:pPr>
      <w:r w:rsidRPr="00F1431B">
        <w:t xml:space="preserve">Putri, L.D. and Amir, A.S. (2025). Exploring the lived experiences of chronic illness patients: Understanding the dual role of emotional and psychological aspects, communication, and social support. </w:t>
      </w:r>
      <w:proofErr w:type="spellStart"/>
      <w:r w:rsidRPr="00F1431B">
        <w:t>CommVersa</w:t>
      </w:r>
      <w:proofErr w:type="spellEnd"/>
      <w:r w:rsidRPr="00F1431B">
        <w:t>. 1, 26–34.</w:t>
      </w:r>
    </w:p>
    <w:p w14:paraId="3C112E6A" w14:textId="77777777" w:rsidR="00482DCD" w:rsidRPr="00F1431B" w:rsidRDefault="00482DCD" w:rsidP="00EB4ED6">
      <w:pPr>
        <w:pStyle w:val="ListParagraph"/>
        <w:numPr>
          <w:ilvl w:val="0"/>
          <w:numId w:val="1"/>
        </w:numPr>
        <w:ind w:left="426"/>
      </w:pPr>
      <w:r w:rsidRPr="00F1431B">
        <w:t xml:space="preserve">Rambod, M., Sharif, F., </w:t>
      </w:r>
      <w:proofErr w:type="spellStart"/>
      <w:r w:rsidRPr="00F1431B">
        <w:t>Molazem</w:t>
      </w:r>
      <w:proofErr w:type="spellEnd"/>
      <w:r w:rsidRPr="00F1431B">
        <w:t xml:space="preserve">, Z., Khair, K. (2016). Pain experience in Hemophilia patients: A hermeneutic phenomenological study. Int. J. Community Based </w:t>
      </w:r>
      <w:proofErr w:type="spellStart"/>
      <w:r w:rsidRPr="00F1431B">
        <w:t>Nurs</w:t>
      </w:r>
      <w:proofErr w:type="spellEnd"/>
      <w:r w:rsidRPr="00F1431B">
        <w:t>. Midwifery. 2016;4(4):309–319.</w:t>
      </w:r>
    </w:p>
    <w:p w14:paraId="7A2E6DFF" w14:textId="77777777" w:rsidR="00482DCD" w:rsidRPr="00F1431B" w:rsidRDefault="00482DCD" w:rsidP="00EB4ED6">
      <w:pPr>
        <w:pStyle w:val="ListParagraph"/>
        <w:numPr>
          <w:ilvl w:val="0"/>
          <w:numId w:val="1"/>
        </w:numPr>
        <w:ind w:left="426"/>
      </w:pPr>
      <w:r w:rsidRPr="00F1431B">
        <w:t xml:space="preserve">Rodríguez, I., Abarca, E., Herskovic, V., and Campos, M. (2019). Living with chronic pain: A qualitative study of the daily life of older people with chronic pain in Chile. Pain Res. Manag. 2019, 8148652. 10.1155/2019/8148652 </w:t>
      </w:r>
    </w:p>
    <w:p w14:paraId="623ED981" w14:textId="77777777" w:rsidR="00482DCD" w:rsidRPr="00F1431B" w:rsidRDefault="00482DCD" w:rsidP="00EB4ED6">
      <w:pPr>
        <w:pStyle w:val="ListParagraph"/>
        <w:numPr>
          <w:ilvl w:val="0"/>
          <w:numId w:val="1"/>
        </w:numPr>
        <w:ind w:left="426"/>
      </w:pPr>
      <w:proofErr w:type="spellStart"/>
      <w:r w:rsidRPr="00F1431B">
        <w:lastRenderedPageBreak/>
        <w:t>Roenne</w:t>
      </w:r>
      <w:proofErr w:type="spellEnd"/>
      <w:r w:rsidRPr="00F1431B">
        <w:t xml:space="preserve">, P.F., Horn, N.S., and Hansen, C.A. (2020). Involvement of relatives in chronic non-malignant pain rehabilitation at multidisciplinary pain </w:t>
      </w:r>
      <w:proofErr w:type="spellStart"/>
      <w:r w:rsidRPr="00F1431B">
        <w:t>centres</w:t>
      </w:r>
      <w:proofErr w:type="spellEnd"/>
      <w:r w:rsidRPr="00F1431B">
        <w:t>: part one - the patient perspective. Scand. J. Pain 21, 81–94. 10.1515/sjpain-2019-0162.</w:t>
      </w:r>
    </w:p>
    <w:bookmarkEnd w:id="1"/>
    <w:p w14:paraId="202B0C19" w14:textId="77777777" w:rsidR="00482DCD" w:rsidRPr="00F1431B" w:rsidRDefault="00482DCD" w:rsidP="00EB4ED6">
      <w:pPr>
        <w:pStyle w:val="ListParagraph"/>
        <w:numPr>
          <w:ilvl w:val="0"/>
          <w:numId w:val="1"/>
        </w:numPr>
        <w:ind w:left="426"/>
      </w:pPr>
      <w:proofErr w:type="spellStart"/>
      <w:r w:rsidRPr="00F1431B">
        <w:rPr>
          <w:shd w:val="clear" w:color="auto" w:fill="FFFFFF"/>
        </w:rPr>
        <w:t>Röing</w:t>
      </w:r>
      <w:proofErr w:type="spellEnd"/>
      <w:r w:rsidRPr="00F1431B">
        <w:rPr>
          <w:shd w:val="clear" w:color="auto" w:fill="FFFFFF"/>
        </w:rPr>
        <w:t xml:space="preserve">, M., and Sanner, M. (2015). A meta-ethnographic synthesis on </w:t>
      </w:r>
      <w:proofErr w:type="spellStart"/>
      <w:r w:rsidRPr="00F1431B">
        <w:rPr>
          <w:shd w:val="clear" w:color="auto" w:fill="FFFFFF"/>
        </w:rPr>
        <w:t>phenomenographic</w:t>
      </w:r>
      <w:proofErr w:type="spellEnd"/>
      <w:r w:rsidRPr="00F1431B">
        <w:rPr>
          <w:shd w:val="clear" w:color="auto" w:fill="FFFFFF"/>
        </w:rPr>
        <w:t xml:space="preserve"> studies of patients’ experiences of chronic illness. Int. J. Qual. Stud. Health Well-being. 10, 26279. 10.3402/</w:t>
      </w:r>
      <w:proofErr w:type="gramStart"/>
      <w:r w:rsidRPr="00F1431B">
        <w:rPr>
          <w:shd w:val="clear" w:color="auto" w:fill="FFFFFF"/>
        </w:rPr>
        <w:t>qhw.v</w:t>
      </w:r>
      <w:proofErr w:type="gramEnd"/>
      <w:r w:rsidRPr="00F1431B">
        <w:rPr>
          <w:shd w:val="clear" w:color="auto" w:fill="FFFFFF"/>
        </w:rPr>
        <w:t>10.26279</w:t>
      </w:r>
    </w:p>
    <w:p w14:paraId="2E7BD394" w14:textId="77777777" w:rsidR="00482DCD" w:rsidRPr="00F1431B" w:rsidRDefault="00482DCD" w:rsidP="00EB4ED6">
      <w:pPr>
        <w:pStyle w:val="ListParagraph"/>
        <w:numPr>
          <w:ilvl w:val="0"/>
          <w:numId w:val="1"/>
        </w:numPr>
        <w:ind w:left="426"/>
      </w:pPr>
      <w:proofErr w:type="spellStart"/>
      <w:r w:rsidRPr="00F1431B">
        <w:rPr>
          <w:color w:val="212121"/>
          <w:shd w:val="clear" w:color="auto" w:fill="FFFFFF"/>
        </w:rPr>
        <w:t>Safour</w:t>
      </w:r>
      <w:proofErr w:type="spellEnd"/>
      <w:r w:rsidRPr="00F1431B">
        <w:rPr>
          <w:color w:val="212121"/>
          <w:shd w:val="clear" w:color="auto" w:fill="FFFFFF"/>
        </w:rPr>
        <w:t>, W., and Hovey, R. The impact of chronic temporomandibular disorders on fatigue and daily life: A qualitative phenomenological study. JDR Clin. Trans. Res. 2025, 10, 398</w:t>
      </w:r>
      <w:r w:rsidRPr="00F1431B">
        <w:t>–</w:t>
      </w:r>
      <w:r w:rsidRPr="00F1431B">
        <w:rPr>
          <w:color w:val="212121"/>
          <w:shd w:val="clear" w:color="auto" w:fill="FFFFFF"/>
        </w:rPr>
        <w:t xml:space="preserve">405. 10.1177/23800844241302064. </w:t>
      </w:r>
    </w:p>
    <w:p w14:paraId="5F70ACF4" w14:textId="77777777" w:rsidR="00482DCD" w:rsidRPr="00F1431B" w:rsidRDefault="00482DCD" w:rsidP="00EB4ED6">
      <w:pPr>
        <w:pStyle w:val="ListParagraph"/>
        <w:numPr>
          <w:ilvl w:val="0"/>
          <w:numId w:val="1"/>
        </w:numPr>
        <w:ind w:left="426"/>
      </w:pPr>
      <w:r w:rsidRPr="00F1431B">
        <w:t>Sanabria-Mazo, J.P., Colomer-Carbonell, A., Gandara-Urrutia, N., Pérez-</w:t>
      </w:r>
      <w:proofErr w:type="spellStart"/>
      <w:r w:rsidRPr="00F1431B">
        <w:t>Sutil</w:t>
      </w:r>
      <w:proofErr w:type="spellEnd"/>
      <w:r w:rsidRPr="00F1431B">
        <w:t>, J. M., Noboa-Rocamora, G., Fernández-Vázquez, Ó., Val-Mariano, G., Fontana-McNally, M., Cardona-Ros, G., Feliu-Soler, A., et al. (2024). Experiences of patients with chronic low back pain plus comorbid depressive symptoms in a videoconference group acceptance and commitment therapy or behavioral activation treatment for depression: a qualitative study. </w:t>
      </w:r>
      <w:proofErr w:type="spellStart"/>
      <w:r w:rsidRPr="00F1431B">
        <w:t>Disabil</w:t>
      </w:r>
      <w:proofErr w:type="spellEnd"/>
      <w:r w:rsidRPr="00F1431B">
        <w:t xml:space="preserve">. </w:t>
      </w:r>
      <w:proofErr w:type="spellStart"/>
      <w:r w:rsidRPr="00F1431B">
        <w:t>Rehabil</w:t>
      </w:r>
      <w:proofErr w:type="spellEnd"/>
      <w:r w:rsidRPr="00F1431B">
        <w:t>. 46, 5052–5063. 10.1080/09638288.2023.2298265.</w:t>
      </w:r>
    </w:p>
    <w:p w14:paraId="00A804D4" w14:textId="77777777" w:rsidR="00482DCD" w:rsidRPr="00F1431B" w:rsidRDefault="00482DCD" w:rsidP="00EB4ED6">
      <w:pPr>
        <w:pStyle w:val="ListParagraph"/>
        <w:numPr>
          <w:ilvl w:val="0"/>
          <w:numId w:val="1"/>
        </w:numPr>
        <w:ind w:left="426"/>
      </w:pPr>
      <w:r w:rsidRPr="00F1431B">
        <w:t xml:space="preserve">Schwarz, B., </w:t>
      </w:r>
      <w:proofErr w:type="spellStart"/>
      <w:r w:rsidRPr="00F1431B">
        <w:t>Banaschak</w:t>
      </w:r>
      <w:proofErr w:type="spellEnd"/>
      <w:r w:rsidRPr="00F1431B">
        <w:t xml:space="preserve">, H., </w:t>
      </w:r>
      <w:proofErr w:type="spellStart"/>
      <w:r w:rsidRPr="00F1431B">
        <w:t>Heyme</w:t>
      </w:r>
      <w:proofErr w:type="spellEnd"/>
      <w:r w:rsidRPr="00F1431B">
        <w:t xml:space="preserve">, R., von </w:t>
      </w:r>
      <w:proofErr w:type="spellStart"/>
      <w:r w:rsidRPr="00F1431B">
        <w:t>Kardorff</w:t>
      </w:r>
      <w:proofErr w:type="spellEnd"/>
      <w:r w:rsidRPr="00F1431B">
        <w:t xml:space="preserve">, E., Reims, N., </w:t>
      </w:r>
      <w:proofErr w:type="spellStart"/>
      <w:r w:rsidRPr="00F1431B">
        <w:t>Streibelt</w:t>
      </w:r>
      <w:proofErr w:type="spellEnd"/>
      <w:r w:rsidRPr="00F1431B">
        <w:t>, M., and Bethge, M. (2024). A mega-ethnography of qualitative meta-syntheses on return to work in people with chronic health conditions. Eine mega-</w:t>
      </w:r>
      <w:proofErr w:type="spellStart"/>
      <w:r w:rsidRPr="00F1431B">
        <w:t>ethnographie</w:t>
      </w:r>
      <w:proofErr w:type="spellEnd"/>
      <w:r w:rsidRPr="00F1431B">
        <w:t xml:space="preserve"> </w:t>
      </w:r>
      <w:proofErr w:type="spellStart"/>
      <w:r w:rsidRPr="00F1431B">
        <w:t>qualitativer</w:t>
      </w:r>
      <w:proofErr w:type="spellEnd"/>
      <w:r w:rsidRPr="00F1431B">
        <w:t xml:space="preserve"> meta-</w:t>
      </w:r>
      <w:proofErr w:type="spellStart"/>
      <w:r w:rsidRPr="00F1431B">
        <w:t>synthesen</w:t>
      </w:r>
      <w:proofErr w:type="spellEnd"/>
      <w:r w:rsidRPr="00F1431B">
        <w:t xml:space="preserve"> </w:t>
      </w:r>
      <w:proofErr w:type="spellStart"/>
      <w:r w:rsidRPr="00F1431B">
        <w:t>zum</w:t>
      </w:r>
      <w:proofErr w:type="spellEnd"/>
      <w:r w:rsidRPr="00F1431B">
        <w:t xml:space="preserve"> return to work </w:t>
      </w:r>
      <w:proofErr w:type="spellStart"/>
      <w:r w:rsidRPr="00F1431B">
        <w:t>bei</w:t>
      </w:r>
      <w:proofErr w:type="spellEnd"/>
      <w:r w:rsidRPr="00F1431B">
        <w:t xml:space="preserve"> </w:t>
      </w:r>
      <w:proofErr w:type="spellStart"/>
      <w:r w:rsidRPr="00F1431B">
        <w:t>chronischen</w:t>
      </w:r>
      <w:proofErr w:type="spellEnd"/>
      <w:r w:rsidRPr="00F1431B">
        <w:t xml:space="preserve"> </w:t>
      </w:r>
      <w:proofErr w:type="spellStart"/>
      <w:r w:rsidRPr="00F1431B">
        <w:t>erkrankungen</w:t>
      </w:r>
      <w:proofErr w:type="spellEnd"/>
      <w:r w:rsidRPr="00F1431B">
        <w:t>. Rehabilitation (</w:t>
      </w:r>
      <w:proofErr w:type="spellStart"/>
      <w:r w:rsidRPr="00F1431B">
        <w:t>Stuttg</w:t>
      </w:r>
      <w:proofErr w:type="spellEnd"/>
      <w:r w:rsidRPr="00F1431B">
        <w:t xml:space="preserve">). 63, 39–50. 10.1055/a-2129-2731 </w:t>
      </w:r>
    </w:p>
    <w:p w14:paraId="48CDF9FA" w14:textId="77777777" w:rsidR="00482DCD" w:rsidRPr="00F1431B" w:rsidRDefault="00482DCD" w:rsidP="00EB4ED6">
      <w:pPr>
        <w:pStyle w:val="ListParagraph"/>
        <w:numPr>
          <w:ilvl w:val="0"/>
          <w:numId w:val="1"/>
        </w:numPr>
        <w:ind w:left="426"/>
      </w:pPr>
      <w:r w:rsidRPr="00F1431B">
        <w:t>Schultz, R., Kousgaard, M.B., la Cour, P., and Davidsen, A.S. (2019). Between three chairs: experiences of being a patient with chronic widespread pain in an intersectoral setting in Denmark. Health Psychol. Open 6, 2055102919852500. 10.1177/2055102919852500</w:t>
      </w:r>
    </w:p>
    <w:p w14:paraId="20FBD82C" w14:textId="77777777" w:rsidR="00482DCD" w:rsidRPr="00F1431B" w:rsidRDefault="00482DCD" w:rsidP="00EB4ED6">
      <w:pPr>
        <w:pStyle w:val="ListParagraph"/>
        <w:numPr>
          <w:ilvl w:val="0"/>
          <w:numId w:val="1"/>
        </w:numPr>
        <w:ind w:left="426"/>
      </w:pPr>
      <w:r w:rsidRPr="00F1431B">
        <w:t xml:space="preserve">Schütze, R., Rees, C., Slater, H., Smith, A., and O'Sullivan, P. (2017). 'I call it </w:t>
      </w:r>
      <w:proofErr w:type="spellStart"/>
      <w:r w:rsidRPr="00F1431B">
        <w:t>stinkin</w:t>
      </w:r>
      <w:proofErr w:type="spellEnd"/>
      <w:r w:rsidRPr="00F1431B">
        <w:t xml:space="preserve">' </w:t>
      </w:r>
      <w:proofErr w:type="spellStart"/>
      <w:r w:rsidRPr="00F1431B">
        <w:t>thinkin</w:t>
      </w:r>
      <w:proofErr w:type="spellEnd"/>
      <w:r w:rsidRPr="00F1431B">
        <w:t>': A qualitative analysis of metacognition in people with chronic low back pain and elevated catastrophizing. Br. J. Health Psychol. 22, 463–480. 10.1111/bjhp.12240.</w:t>
      </w:r>
    </w:p>
    <w:p w14:paraId="78A0C195" w14:textId="77777777" w:rsidR="00482DCD" w:rsidRPr="00F1431B" w:rsidRDefault="00482DCD" w:rsidP="00EB4ED6">
      <w:pPr>
        <w:pStyle w:val="ListParagraph"/>
        <w:numPr>
          <w:ilvl w:val="0"/>
          <w:numId w:val="1"/>
        </w:numPr>
        <w:ind w:left="426"/>
      </w:pPr>
      <w:r w:rsidRPr="00F1431B">
        <w:rPr>
          <w:color w:val="1B1B1B"/>
          <w:shd w:val="clear" w:color="auto" w:fill="FFFFFF"/>
        </w:rPr>
        <w:t xml:space="preserve">Shehadeh, A., Malak, M.Z., and Ayed, A. (2025). Holistic framing for improving care provision for older people with chronic diseases in Jordan: a phenomenological study. BMC Health Serv. Res. 25, 492. 10.1186/s12913-025-12658-0. </w:t>
      </w:r>
    </w:p>
    <w:p w14:paraId="4A2F7AC6" w14:textId="5E859D31" w:rsidR="00482DCD" w:rsidRPr="00F1431B" w:rsidRDefault="00482DCD" w:rsidP="00EB4ED6">
      <w:pPr>
        <w:pStyle w:val="ListParagraph"/>
        <w:numPr>
          <w:ilvl w:val="0"/>
          <w:numId w:val="1"/>
        </w:numPr>
        <w:ind w:left="426"/>
      </w:pPr>
      <w:r w:rsidRPr="00F1431B">
        <w:t xml:space="preserve">Shelton, R.C., Philbin, M.M., and </w:t>
      </w:r>
      <w:proofErr w:type="spellStart"/>
      <w:r w:rsidRPr="00F1431B">
        <w:t>Ramanadhan</w:t>
      </w:r>
      <w:proofErr w:type="spellEnd"/>
      <w:r w:rsidRPr="00F1431B">
        <w:t xml:space="preserve">, S. (2022). Qualitative research methods in chronic disease: introduction and opportunities to promote health equity. Annu. Review Public Health 43, 37–57. </w:t>
      </w:r>
      <w:hyperlink r:id="rId157" w:history="1">
        <w:r w:rsidRPr="00F1431B">
          <w:rPr>
            <w:rStyle w:val="Hyperlink"/>
          </w:rPr>
          <w:t>10.1146/annurev-publhealth-012420-105104</w:t>
        </w:r>
      </w:hyperlink>
      <w:r w:rsidRPr="00F1431B">
        <w:t>.</w:t>
      </w:r>
    </w:p>
    <w:p w14:paraId="1A85CB55" w14:textId="77777777" w:rsidR="00482DCD" w:rsidRPr="00F1431B" w:rsidRDefault="00482DCD" w:rsidP="00EB4ED6">
      <w:pPr>
        <w:pStyle w:val="ListParagraph"/>
        <w:numPr>
          <w:ilvl w:val="0"/>
          <w:numId w:val="1"/>
        </w:numPr>
        <w:ind w:left="426"/>
      </w:pPr>
      <w:r w:rsidRPr="00F1431B">
        <w:t>Skúladóttir, H., Gunnarsdóttir, T.J., Halldórsdóttir, S., Sveinsdóttir, H., Holden, J.E., and Björnsdóttir, A. (2020). Breaking the vicious circle: Experiences of people in chronic pain on the pain rehabilitation journey. </w:t>
      </w:r>
      <w:proofErr w:type="spellStart"/>
      <w:r w:rsidRPr="00F1431B">
        <w:t>Nurs</w:t>
      </w:r>
      <w:proofErr w:type="spellEnd"/>
      <w:r w:rsidRPr="00F1431B">
        <w:t>. Open 7, 1412–1423. 10.1002/nop2.512.</w:t>
      </w:r>
    </w:p>
    <w:p w14:paraId="19D647B6" w14:textId="77777777" w:rsidR="00482DCD" w:rsidRPr="00F1431B" w:rsidRDefault="00482DCD" w:rsidP="00EB4ED6">
      <w:pPr>
        <w:pStyle w:val="ListParagraph"/>
        <w:numPr>
          <w:ilvl w:val="0"/>
          <w:numId w:val="1"/>
        </w:numPr>
        <w:ind w:left="426"/>
      </w:pPr>
      <w:r w:rsidRPr="00F1431B">
        <w:t xml:space="preserve">Skúladóttir, </w:t>
      </w:r>
      <w:r w:rsidRPr="00F1431B">
        <w:rPr>
          <w:color w:val="212121"/>
          <w:shd w:val="clear" w:color="auto" w:fill="FFFFFF"/>
        </w:rPr>
        <w:t>H., and Halldorsdottir, S. (2011). The quest for well-being: self-identified needs of women in chronic pain. Scand. J. Caring Sci. 25, 81</w:t>
      </w:r>
      <w:r w:rsidRPr="00F1431B">
        <w:t>–</w:t>
      </w:r>
      <w:r w:rsidRPr="00F1431B">
        <w:rPr>
          <w:color w:val="212121"/>
          <w:shd w:val="clear" w:color="auto" w:fill="FFFFFF"/>
        </w:rPr>
        <w:t>91. 10.1111/j.1471-6712.2010.</w:t>
      </w:r>
      <w:proofErr w:type="gramStart"/>
      <w:r w:rsidRPr="00F1431B">
        <w:rPr>
          <w:color w:val="212121"/>
          <w:shd w:val="clear" w:color="auto" w:fill="FFFFFF"/>
        </w:rPr>
        <w:t>00793.x.</w:t>
      </w:r>
      <w:proofErr w:type="gramEnd"/>
      <w:r w:rsidRPr="00F1431B">
        <w:rPr>
          <w:color w:val="212121"/>
          <w:shd w:val="clear" w:color="auto" w:fill="FFFFFF"/>
        </w:rPr>
        <w:t xml:space="preserve"> </w:t>
      </w:r>
    </w:p>
    <w:p w14:paraId="4C89BDB3" w14:textId="3C13857F" w:rsidR="00482DCD" w:rsidRPr="00F1431B" w:rsidRDefault="00482DCD" w:rsidP="00EB4ED6">
      <w:pPr>
        <w:pStyle w:val="ListParagraph"/>
        <w:numPr>
          <w:ilvl w:val="0"/>
          <w:numId w:val="1"/>
        </w:numPr>
        <w:ind w:left="426"/>
      </w:pPr>
      <w:proofErr w:type="spellStart"/>
      <w:r w:rsidRPr="00F1431B">
        <w:t>Skjutar</w:t>
      </w:r>
      <w:proofErr w:type="spellEnd"/>
      <w:r w:rsidRPr="00F1431B">
        <w:t xml:space="preserve">, Å., and </w:t>
      </w:r>
      <w:proofErr w:type="spellStart"/>
      <w:r w:rsidRPr="00F1431B">
        <w:t>Müllersdorf</w:t>
      </w:r>
      <w:proofErr w:type="spellEnd"/>
      <w:r w:rsidRPr="00F1431B">
        <w:t xml:space="preserve">, M. (2010). Adapt, discover and engage: a qualitative interview study with patients living with chronic pain. J. </w:t>
      </w:r>
      <w:proofErr w:type="spellStart"/>
      <w:r w:rsidRPr="00F1431B">
        <w:t>Nurs</w:t>
      </w:r>
      <w:proofErr w:type="spellEnd"/>
      <w:r w:rsidRPr="00F1431B">
        <w:t xml:space="preserve">. </w:t>
      </w:r>
      <w:proofErr w:type="spellStart"/>
      <w:r w:rsidRPr="00F1431B">
        <w:t>Healthc</w:t>
      </w:r>
      <w:proofErr w:type="spellEnd"/>
      <w:r w:rsidRPr="00F1431B">
        <w:t xml:space="preserve">. Chronic </w:t>
      </w:r>
      <w:proofErr w:type="spellStart"/>
      <w:r w:rsidRPr="00F1431B">
        <w:t>Illn</w:t>
      </w:r>
      <w:proofErr w:type="spellEnd"/>
      <w:r w:rsidRPr="00F1431B">
        <w:t xml:space="preserve">. 2, 254–261. </w:t>
      </w:r>
      <w:hyperlink r:id="rId158" w:history="1">
        <w:r w:rsidRPr="00F1431B">
          <w:rPr>
            <w:rStyle w:val="Hyperlink"/>
          </w:rPr>
          <w:t>10.1111/j.1752-9824.</w:t>
        </w:r>
        <w:proofErr w:type="gramStart"/>
        <w:r w:rsidRPr="00F1431B">
          <w:rPr>
            <w:rStyle w:val="Hyperlink"/>
          </w:rPr>
          <w:t>2010.01066.x</w:t>
        </w:r>
        <w:proofErr w:type="gramEnd"/>
      </w:hyperlink>
      <w:r w:rsidRPr="00F1431B">
        <w:t>.</w:t>
      </w:r>
    </w:p>
    <w:p w14:paraId="5B3F58CA" w14:textId="77777777" w:rsidR="00482DCD" w:rsidRPr="00F1431B" w:rsidRDefault="00482DCD" w:rsidP="00EB4ED6">
      <w:pPr>
        <w:pStyle w:val="ListParagraph"/>
        <w:numPr>
          <w:ilvl w:val="0"/>
          <w:numId w:val="1"/>
        </w:numPr>
        <w:ind w:left="426"/>
      </w:pPr>
      <w:r w:rsidRPr="00F1431B">
        <w:rPr>
          <w:color w:val="222222"/>
          <w:shd w:val="clear" w:color="auto" w:fill="FFFFFF"/>
        </w:rPr>
        <w:t>Snell, G.E., Seage, C.H., and Mercer, J. (2024). A phenomenological study on the lived experience of men with chronic fatigue syndrome. J. Health Psychol. 29, 225</w:t>
      </w:r>
      <w:r w:rsidRPr="00F1431B">
        <w:t>–3</w:t>
      </w:r>
      <w:r w:rsidRPr="00F1431B">
        <w:rPr>
          <w:color w:val="222222"/>
          <w:shd w:val="clear" w:color="auto" w:fill="FFFFFF"/>
        </w:rPr>
        <w:t>37.</w:t>
      </w:r>
    </w:p>
    <w:p w14:paraId="283E1247" w14:textId="77777777" w:rsidR="00482DCD" w:rsidRPr="00F1431B" w:rsidRDefault="00482DCD" w:rsidP="00EB4ED6">
      <w:pPr>
        <w:pStyle w:val="ListParagraph"/>
        <w:numPr>
          <w:ilvl w:val="0"/>
          <w:numId w:val="1"/>
        </w:numPr>
        <w:ind w:left="426"/>
      </w:pPr>
      <w:r w:rsidRPr="00F1431B">
        <w:t xml:space="preserve">Snelgrove, S., Edwards, S., and </w:t>
      </w:r>
      <w:proofErr w:type="spellStart"/>
      <w:r w:rsidRPr="00F1431B">
        <w:t>Liossi</w:t>
      </w:r>
      <w:proofErr w:type="spellEnd"/>
      <w:r w:rsidRPr="00F1431B">
        <w:t>, C. (2013). A longitudinal study of patients' experiences of chronic low back pain using interpretative phenomenological analysis: changes and consistencies. Psychol. Health. 28, 121–138. 10.1080/08870446.2011.630734</w:t>
      </w:r>
    </w:p>
    <w:p w14:paraId="704FFFE9" w14:textId="77777777" w:rsidR="00482DCD" w:rsidRPr="00F1431B" w:rsidRDefault="00482DCD" w:rsidP="00EB4ED6">
      <w:pPr>
        <w:pStyle w:val="ListParagraph"/>
        <w:numPr>
          <w:ilvl w:val="0"/>
          <w:numId w:val="1"/>
        </w:numPr>
        <w:ind w:left="426"/>
      </w:pPr>
      <w:r w:rsidRPr="00F1431B">
        <w:lastRenderedPageBreak/>
        <w:t xml:space="preserve">Stensland, M. (2021). "If you don't keep going, you're </w:t>
      </w:r>
      <w:proofErr w:type="spellStart"/>
      <w:r w:rsidRPr="00F1431B">
        <w:t>gonna</w:t>
      </w:r>
      <w:proofErr w:type="spellEnd"/>
      <w:r w:rsidRPr="00F1431B">
        <w:t xml:space="preserve"> die": Helplessness and perseverance among older adults living with chronic low back pain. Gerontologist. 61907-916. 10.1093/</w:t>
      </w:r>
      <w:proofErr w:type="spellStart"/>
      <w:r w:rsidRPr="00F1431B">
        <w:t>geront</w:t>
      </w:r>
      <w:proofErr w:type="spellEnd"/>
      <w:r w:rsidRPr="00F1431B">
        <w:t>/gnaa150.</w:t>
      </w:r>
    </w:p>
    <w:p w14:paraId="481990D8" w14:textId="77777777" w:rsidR="00482DCD" w:rsidRPr="00F1431B" w:rsidRDefault="00482DCD" w:rsidP="00EB4ED6">
      <w:pPr>
        <w:pStyle w:val="ListParagraph"/>
        <w:numPr>
          <w:ilvl w:val="0"/>
          <w:numId w:val="1"/>
        </w:numPr>
        <w:ind w:left="426"/>
      </w:pPr>
      <w:r w:rsidRPr="00F1431B">
        <w:t>Stensland, M. (2021). Managing the incurable: older pain clinic patients' experiences of managing treatment-resistant chronic low back pain. J. Gerontol. Soc. Work 64, 405–422. 10.1080/01634372.2021.1898073.</w:t>
      </w:r>
    </w:p>
    <w:p w14:paraId="17D68A69" w14:textId="77777777" w:rsidR="00482DCD" w:rsidRPr="00F1431B" w:rsidRDefault="00482DCD" w:rsidP="00EB4ED6">
      <w:pPr>
        <w:pStyle w:val="ListParagraph"/>
        <w:numPr>
          <w:ilvl w:val="0"/>
          <w:numId w:val="1"/>
        </w:numPr>
        <w:ind w:left="426"/>
      </w:pPr>
      <w:r w:rsidRPr="00F1431B">
        <w:t>Stensland, M., and Sanders, S. (2018). Living a life full of pain: older pain clinic patients' experience of living with chronic low back pain. Qual. Health Res. 28, 1434–1448. 10.1177/1049732318765712.</w:t>
      </w:r>
    </w:p>
    <w:p w14:paraId="1C888CC1" w14:textId="77777777" w:rsidR="00482DCD" w:rsidRPr="00F1431B" w:rsidRDefault="00482DCD" w:rsidP="00EB4ED6">
      <w:pPr>
        <w:pStyle w:val="ListParagraph"/>
        <w:numPr>
          <w:ilvl w:val="0"/>
          <w:numId w:val="1"/>
        </w:numPr>
        <w:ind w:left="426"/>
      </w:pPr>
      <w:r w:rsidRPr="00F1431B">
        <w:t>Stensland, M.L., and Sanders, S. (2018). "It has changed my whole life": The systemic implications of chronic low back pain among older adults. J. Gerontol. Soc. Work 61, 129–150. 10.1080/01634372.2018.1427169.</w:t>
      </w:r>
    </w:p>
    <w:p w14:paraId="3D8C7AD7" w14:textId="77777777" w:rsidR="00482DCD" w:rsidRPr="00F1431B" w:rsidRDefault="00482DCD" w:rsidP="00EB4ED6">
      <w:pPr>
        <w:pStyle w:val="ListParagraph"/>
        <w:numPr>
          <w:ilvl w:val="0"/>
          <w:numId w:val="1"/>
        </w:numPr>
        <w:ind w:left="426"/>
      </w:pPr>
      <w:r w:rsidRPr="00F1431B">
        <w:t>Stensland, M.L., and Sanders, S. (2018). Not So Golden After All: The complexities of chronic low back pain in older adulthood. Gerontologist. 58, 923–931. 10.1093/</w:t>
      </w:r>
      <w:proofErr w:type="spellStart"/>
      <w:r w:rsidRPr="00F1431B">
        <w:t>geront</w:t>
      </w:r>
      <w:proofErr w:type="spellEnd"/>
      <w:r w:rsidRPr="00F1431B">
        <w:t>/gnx154.</w:t>
      </w:r>
    </w:p>
    <w:p w14:paraId="515162D2" w14:textId="77777777" w:rsidR="00482DCD" w:rsidRPr="00F1431B" w:rsidRDefault="00482DCD" w:rsidP="00EB4ED6">
      <w:pPr>
        <w:pStyle w:val="ListParagraph"/>
        <w:numPr>
          <w:ilvl w:val="0"/>
          <w:numId w:val="1"/>
        </w:numPr>
        <w:ind w:left="426"/>
      </w:pPr>
      <w:r w:rsidRPr="00F1431B">
        <w:rPr>
          <w:color w:val="212121"/>
          <w:shd w:val="clear" w:color="auto" w:fill="FFFFFF"/>
        </w:rPr>
        <w:t>Stilwell, P., Gagnon-Mailhot, M., Hudon, A., McIntyre, V., Meldrum, K., Pagé, M.G., Gallagher, S., and Wideman, T.H. (2025). When pain overwhelms the self: A phenomenological study of a new mode of suffering, based on adults' recollections of their worst pain episodes. J. Pain 32, 105413 10.1016/j.jpain.2025.105413.</w:t>
      </w:r>
    </w:p>
    <w:p w14:paraId="3A48EE87" w14:textId="77777777" w:rsidR="00482DCD" w:rsidRPr="00F1431B" w:rsidRDefault="00482DCD" w:rsidP="00EB4ED6">
      <w:pPr>
        <w:pStyle w:val="ListParagraph"/>
        <w:numPr>
          <w:ilvl w:val="0"/>
          <w:numId w:val="1"/>
        </w:numPr>
        <w:ind w:left="426"/>
      </w:pPr>
      <w:r w:rsidRPr="00F1431B">
        <w:rPr>
          <w:shd w:val="clear" w:color="auto" w:fill="FFFFFF"/>
        </w:rPr>
        <w:t xml:space="preserve">Sun, M., Liu, L., Wang, J., </w:t>
      </w:r>
      <w:proofErr w:type="spellStart"/>
      <w:r w:rsidRPr="00F1431B">
        <w:rPr>
          <w:shd w:val="clear" w:color="auto" w:fill="FFFFFF"/>
        </w:rPr>
        <w:t>Zhuansun</w:t>
      </w:r>
      <w:proofErr w:type="spellEnd"/>
      <w:r w:rsidRPr="00F1431B">
        <w:rPr>
          <w:shd w:val="clear" w:color="auto" w:fill="FFFFFF"/>
        </w:rPr>
        <w:t>, M., Xu, T., Qian, Y., and Dela Rosa, R. (2023). Facilitators and inhibitors in hospital-to-home transitional care for elderly patients with chronic diseases: A meta-synthesis of qualitative studies. Front Public Health. 11, 1047723. 10.3389/fpubh.2023.1047723.</w:t>
      </w:r>
    </w:p>
    <w:p w14:paraId="1AF37B86" w14:textId="77777777" w:rsidR="00482DCD" w:rsidRPr="00F1431B" w:rsidRDefault="00482DCD" w:rsidP="00EB4ED6">
      <w:pPr>
        <w:pStyle w:val="ListParagraph"/>
        <w:numPr>
          <w:ilvl w:val="0"/>
          <w:numId w:val="1"/>
        </w:numPr>
        <w:ind w:left="426"/>
      </w:pPr>
      <w:r w:rsidRPr="00F1431B">
        <w:t xml:space="preserve">Svensson, H.K., Olofsson, E.H., Karlsson, J., Hansson, T., and Olsson, L.E. (2016). A painful, </w:t>
      </w:r>
      <w:proofErr w:type="gramStart"/>
      <w:r w:rsidRPr="00F1431B">
        <w:t>never ending</w:t>
      </w:r>
      <w:proofErr w:type="gramEnd"/>
      <w:r w:rsidRPr="00F1431B">
        <w:t xml:space="preserve"> story: older women's experiences of living with an osteoporotic vertebral compression fracture. </w:t>
      </w:r>
      <w:proofErr w:type="spellStart"/>
      <w:r w:rsidRPr="00F1431B">
        <w:t>Osteoporos</w:t>
      </w:r>
      <w:proofErr w:type="spellEnd"/>
      <w:r w:rsidRPr="00F1431B">
        <w:t>. Int. 27, 1729–1736. 10.1007/s00198-015-3445-y</w:t>
      </w:r>
    </w:p>
    <w:p w14:paraId="09D68C4A" w14:textId="77777777" w:rsidR="00482DCD" w:rsidRPr="00F1431B" w:rsidRDefault="00482DCD" w:rsidP="00EB4ED6">
      <w:pPr>
        <w:pStyle w:val="ListParagraph"/>
        <w:numPr>
          <w:ilvl w:val="0"/>
          <w:numId w:val="1"/>
        </w:numPr>
        <w:ind w:left="426"/>
      </w:pPr>
      <w:r w:rsidRPr="00F1431B">
        <w:t>Taylor, B., Carswell, K., and Williams, A.C. (2013). The interaction of persistent pain and post-traumatic re-experiencing: a qualitative study in torture survivors. J. Pain Symptom Manage. 46, 546–555. 10.1016/j.jpainsymman.2012.10.281.</w:t>
      </w:r>
    </w:p>
    <w:p w14:paraId="06D0A6BD" w14:textId="77777777" w:rsidR="00482DCD" w:rsidRPr="00F1431B" w:rsidRDefault="00482DCD" w:rsidP="00EB4ED6">
      <w:pPr>
        <w:pStyle w:val="ListParagraph"/>
        <w:numPr>
          <w:ilvl w:val="0"/>
          <w:numId w:val="1"/>
        </w:numPr>
        <w:ind w:left="426"/>
      </w:pPr>
      <w:r w:rsidRPr="00F1431B">
        <w:t xml:space="preserve">Tollefson, J., Usher, K., and Foster, K. (2011). Relationships in pain: the experience of relationships to people living with chronic pain in rural areas. Int. J. </w:t>
      </w:r>
      <w:proofErr w:type="spellStart"/>
      <w:r w:rsidRPr="00F1431B">
        <w:t>Nurs</w:t>
      </w:r>
      <w:proofErr w:type="spellEnd"/>
      <w:r w:rsidRPr="00F1431B">
        <w:t xml:space="preserve">. </w:t>
      </w:r>
      <w:proofErr w:type="spellStart"/>
      <w:r w:rsidRPr="00F1431B">
        <w:t>Pract</w:t>
      </w:r>
      <w:proofErr w:type="spellEnd"/>
      <w:r w:rsidRPr="00F1431B">
        <w:t>. 17, 478-485. 10.1111/j.1440-172X.2011.</w:t>
      </w:r>
      <w:proofErr w:type="gramStart"/>
      <w:r w:rsidRPr="00F1431B">
        <w:t>01963.x.</w:t>
      </w:r>
      <w:proofErr w:type="gramEnd"/>
    </w:p>
    <w:p w14:paraId="0D994873" w14:textId="77777777" w:rsidR="00482DCD" w:rsidRPr="00F1431B" w:rsidRDefault="00482DCD" w:rsidP="00EB4ED6">
      <w:pPr>
        <w:pStyle w:val="ListParagraph"/>
        <w:numPr>
          <w:ilvl w:val="0"/>
          <w:numId w:val="1"/>
        </w:numPr>
        <w:ind w:left="426"/>
      </w:pPr>
      <w:r w:rsidRPr="00F1431B">
        <w:rPr>
          <w:shd w:val="clear" w:color="auto" w:fill="FFFFFF"/>
        </w:rPr>
        <w:t xml:space="preserve">Toye, F., Seers, K., </w:t>
      </w:r>
      <w:proofErr w:type="spellStart"/>
      <w:r w:rsidRPr="00F1431B">
        <w:rPr>
          <w:shd w:val="clear" w:color="auto" w:fill="FFFFFF"/>
        </w:rPr>
        <w:t>Hannink</w:t>
      </w:r>
      <w:proofErr w:type="spellEnd"/>
      <w:r w:rsidRPr="00F1431B">
        <w:rPr>
          <w:shd w:val="clear" w:color="auto" w:fill="FFFFFF"/>
        </w:rPr>
        <w:t xml:space="preserve">, E., and Barker, K. (2017). A mega-ethnography of eleven qualitative evidence syntheses exploring the experience of living with chronic non-malignant pain. BMC Med. Res. </w:t>
      </w:r>
      <w:proofErr w:type="spellStart"/>
      <w:r w:rsidRPr="00F1431B">
        <w:rPr>
          <w:shd w:val="clear" w:color="auto" w:fill="FFFFFF"/>
        </w:rPr>
        <w:t>Methodol</w:t>
      </w:r>
      <w:proofErr w:type="spellEnd"/>
      <w:r w:rsidRPr="00F1431B">
        <w:rPr>
          <w:shd w:val="clear" w:color="auto" w:fill="FFFFFF"/>
        </w:rPr>
        <w:t>. 17, 116. 10.1186/s12874-017-0392-7.</w:t>
      </w:r>
    </w:p>
    <w:p w14:paraId="4C7D2890" w14:textId="77777777" w:rsidR="00482DCD" w:rsidRPr="00F1431B" w:rsidRDefault="00482DCD" w:rsidP="00EB4ED6">
      <w:pPr>
        <w:pStyle w:val="ListParagraph"/>
        <w:numPr>
          <w:ilvl w:val="0"/>
          <w:numId w:val="1"/>
        </w:numPr>
        <w:ind w:left="426"/>
      </w:pPr>
      <w:r w:rsidRPr="00F1431B">
        <w:rPr>
          <w:color w:val="1B1B1B"/>
          <w:shd w:val="clear" w:color="auto" w:fill="FFFFFF"/>
        </w:rPr>
        <w:t xml:space="preserve">Toye, F., Seers, K., and Barker, K.L. (2019). Living life precariously with rheumatoid arthritis - a mega-ethnography of nine qualitative evidence syntheses. BMC </w:t>
      </w:r>
      <w:proofErr w:type="spellStart"/>
      <w:r w:rsidRPr="00F1431B">
        <w:rPr>
          <w:color w:val="1B1B1B"/>
          <w:shd w:val="clear" w:color="auto" w:fill="FFFFFF"/>
        </w:rPr>
        <w:t>Rheumatol</w:t>
      </w:r>
      <w:proofErr w:type="spellEnd"/>
      <w:r w:rsidRPr="00F1431B">
        <w:rPr>
          <w:color w:val="1B1B1B"/>
          <w:shd w:val="clear" w:color="auto" w:fill="FFFFFF"/>
        </w:rPr>
        <w:t>. 3, 5. 10.1186/s41927-018-0049-0.</w:t>
      </w:r>
    </w:p>
    <w:p w14:paraId="7889EC68" w14:textId="77777777" w:rsidR="00482DCD" w:rsidRPr="00F1431B" w:rsidRDefault="00482DCD" w:rsidP="00EB4ED6">
      <w:pPr>
        <w:pStyle w:val="ListParagraph"/>
        <w:numPr>
          <w:ilvl w:val="0"/>
          <w:numId w:val="1"/>
        </w:numPr>
        <w:ind w:left="426"/>
      </w:pPr>
      <w:r w:rsidRPr="00F1431B">
        <w:rPr>
          <w:shd w:val="clear" w:color="auto" w:fill="FFFFFF"/>
        </w:rPr>
        <w:t xml:space="preserve">Toye, F., Belton, J., </w:t>
      </w:r>
      <w:proofErr w:type="spellStart"/>
      <w:r w:rsidRPr="00F1431B">
        <w:rPr>
          <w:shd w:val="clear" w:color="auto" w:fill="FFFFFF"/>
        </w:rPr>
        <w:t>Hannink</w:t>
      </w:r>
      <w:proofErr w:type="spellEnd"/>
      <w:r w:rsidRPr="00F1431B">
        <w:rPr>
          <w:shd w:val="clear" w:color="auto" w:fill="FFFFFF"/>
        </w:rPr>
        <w:t>, E., Seers, K., and Barker, K. (2021). A healing journey with chronic pain: A meta-ethnography synthesizing 195 qualitative studies. Pain Med. 22, 1333</w:t>
      </w:r>
      <w:r w:rsidRPr="00F1431B">
        <w:t>–</w:t>
      </w:r>
      <w:r w:rsidRPr="00F1431B">
        <w:rPr>
          <w:shd w:val="clear" w:color="auto" w:fill="FFFFFF"/>
        </w:rPr>
        <w:t>1344. 10.1093/pm/pnaa373.</w:t>
      </w:r>
    </w:p>
    <w:p w14:paraId="5E3F58A7" w14:textId="77777777" w:rsidR="00482DCD" w:rsidRPr="00F1431B" w:rsidRDefault="00482DCD" w:rsidP="00EB4ED6">
      <w:pPr>
        <w:pStyle w:val="ListParagraph"/>
        <w:numPr>
          <w:ilvl w:val="0"/>
          <w:numId w:val="1"/>
        </w:numPr>
        <w:ind w:left="426"/>
      </w:pPr>
      <w:r w:rsidRPr="00F1431B">
        <w:t>Twiddy, H., Hanna, J., and Haynes, L. (2017). Growing pains: understanding the needs of emerging adults with chronic pain. Br. J. Pain 11, 108–118. 10.1177/2049463717709641.</w:t>
      </w:r>
    </w:p>
    <w:p w14:paraId="3F38D6B6" w14:textId="77777777" w:rsidR="00482DCD" w:rsidRPr="00F1431B" w:rsidRDefault="00482DCD" w:rsidP="00EB4ED6">
      <w:pPr>
        <w:pStyle w:val="ListParagraph"/>
        <w:numPr>
          <w:ilvl w:val="0"/>
          <w:numId w:val="1"/>
        </w:numPr>
        <w:ind w:left="426"/>
      </w:pPr>
      <w:r w:rsidRPr="00F1431B">
        <w:rPr>
          <w:color w:val="212121"/>
          <w:shd w:val="clear" w:color="auto" w:fill="FFFFFF"/>
        </w:rPr>
        <w:lastRenderedPageBreak/>
        <w:t xml:space="preserve">Vallerand, A., and Nowak, L. (2010). Chronic opioid therapy for nonmalignant pain: the patient's perspective. Part II--Barriers to chronic opioid therapy. Pain Manag. </w:t>
      </w:r>
      <w:proofErr w:type="spellStart"/>
      <w:r w:rsidRPr="00F1431B">
        <w:rPr>
          <w:color w:val="212121"/>
          <w:shd w:val="clear" w:color="auto" w:fill="FFFFFF"/>
        </w:rPr>
        <w:t>Nurs</w:t>
      </w:r>
      <w:proofErr w:type="spellEnd"/>
      <w:r w:rsidRPr="00F1431B">
        <w:rPr>
          <w:color w:val="212121"/>
          <w:shd w:val="clear" w:color="auto" w:fill="FFFFFF"/>
        </w:rPr>
        <w:t xml:space="preserve">. 11, 126–31. 10.1016/j.pmn.2009.03.006. </w:t>
      </w:r>
    </w:p>
    <w:p w14:paraId="0291C802" w14:textId="77777777" w:rsidR="00482DCD" w:rsidRPr="00F1431B" w:rsidRDefault="00482DCD" w:rsidP="00EB4ED6">
      <w:pPr>
        <w:pStyle w:val="ListParagraph"/>
        <w:numPr>
          <w:ilvl w:val="0"/>
          <w:numId w:val="1"/>
        </w:numPr>
        <w:ind w:left="426"/>
      </w:pPr>
      <w:r w:rsidRPr="00F1431B">
        <w:t xml:space="preserve">van Rysewyk, S., Blomkvist, R., Chuter, A., Crighton, R., Hodson, F., </w:t>
      </w:r>
      <w:proofErr w:type="spellStart"/>
      <w:r w:rsidRPr="00F1431B">
        <w:t>Roomes</w:t>
      </w:r>
      <w:proofErr w:type="spellEnd"/>
      <w:r w:rsidRPr="00F1431B">
        <w:t>, D., Smith, B. H., and Toye, F. (2023</w:t>
      </w:r>
      <w:proofErr w:type="gramStart"/>
      <w:r w:rsidRPr="00F1431B">
        <w:t>)..</w:t>
      </w:r>
      <w:proofErr w:type="gramEnd"/>
      <w:r w:rsidRPr="00F1431B">
        <w:t xml:space="preserve">Understanding the lived experience of chronic pain: A systematic review and synthesis of qualitative evidence syntheses. Br. J. Pain 17, 592–605. 10.1177/20494637231196426. </w:t>
      </w:r>
    </w:p>
    <w:p w14:paraId="2DB29792" w14:textId="77777777" w:rsidR="00482DCD" w:rsidRPr="00F1431B" w:rsidRDefault="00482DCD" w:rsidP="00EB4ED6">
      <w:pPr>
        <w:pStyle w:val="ListParagraph"/>
        <w:numPr>
          <w:ilvl w:val="0"/>
          <w:numId w:val="1"/>
        </w:numPr>
        <w:ind w:left="426"/>
      </w:pPr>
      <w:r w:rsidRPr="00F1431B">
        <w:rPr>
          <w:color w:val="212121"/>
          <w:shd w:val="clear" w:color="auto" w:fill="FFFFFF"/>
        </w:rPr>
        <w:t xml:space="preserve">West, C., Stewart, L., Foster, K., and Usher, K. (2012). The meaning of resilience to persons living with chronic pain: an interpretive qualitative inquiry. J. Clin. </w:t>
      </w:r>
      <w:proofErr w:type="spellStart"/>
      <w:r w:rsidRPr="00F1431B">
        <w:rPr>
          <w:color w:val="212121"/>
          <w:shd w:val="clear" w:color="auto" w:fill="FFFFFF"/>
        </w:rPr>
        <w:t>Nurs</w:t>
      </w:r>
      <w:proofErr w:type="spellEnd"/>
      <w:r w:rsidRPr="00F1431B">
        <w:rPr>
          <w:color w:val="212121"/>
          <w:shd w:val="clear" w:color="auto" w:fill="FFFFFF"/>
        </w:rPr>
        <w:t>. 21, 1284</w:t>
      </w:r>
      <w:r w:rsidRPr="00F1431B">
        <w:t>–</w:t>
      </w:r>
      <w:r w:rsidRPr="00F1431B">
        <w:rPr>
          <w:color w:val="212121"/>
          <w:shd w:val="clear" w:color="auto" w:fill="FFFFFF"/>
        </w:rPr>
        <w:t>1292. 10.1111/j.1365-2702.2011.</w:t>
      </w:r>
      <w:proofErr w:type="gramStart"/>
      <w:r w:rsidRPr="00F1431B">
        <w:rPr>
          <w:color w:val="212121"/>
          <w:shd w:val="clear" w:color="auto" w:fill="FFFFFF"/>
        </w:rPr>
        <w:t>04005.x.</w:t>
      </w:r>
      <w:proofErr w:type="gramEnd"/>
      <w:r w:rsidRPr="00F1431B">
        <w:rPr>
          <w:color w:val="212121"/>
          <w:shd w:val="clear" w:color="auto" w:fill="FFFFFF"/>
        </w:rPr>
        <w:t xml:space="preserve"> </w:t>
      </w:r>
    </w:p>
    <w:p w14:paraId="376D8147" w14:textId="77777777" w:rsidR="00482DCD" w:rsidRPr="00F1431B" w:rsidRDefault="00482DCD" w:rsidP="00EB4ED6">
      <w:pPr>
        <w:pStyle w:val="ListParagraph"/>
        <w:numPr>
          <w:ilvl w:val="0"/>
          <w:numId w:val="1"/>
        </w:numPr>
        <w:ind w:left="426"/>
        <w:rPr>
          <w:rStyle w:val="Hyperlink"/>
        </w:rPr>
      </w:pPr>
      <w:r w:rsidRPr="00F1431B">
        <w:t>Yildirim Duman, J.G. (2021). Self-management of chronic diseases: A descriptive phenomenological study. Soc. Work Public Health. 36, 300–310. 10.1080/19371918.2020.1859034</w:t>
      </w:r>
    </w:p>
    <w:p w14:paraId="1FE87FC2" w14:textId="7CC2BE66" w:rsidR="00381710" w:rsidRPr="008A1752" w:rsidDel="00801802" w:rsidRDefault="00381710" w:rsidP="00381710">
      <w:pPr>
        <w:pStyle w:val="Heading1"/>
        <w:rPr>
          <w:rFonts w:asciiTheme="majorBidi" w:eastAsia="Times New Roman" w:hAnsiTheme="majorBidi"/>
          <w:b/>
          <w:bCs/>
          <w:sz w:val="24"/>
          <w:szCs w:val="24"/>
        </w:rPr>
      </w:pPr>
      <w:r w:rsidRPr="008A1752">
        <w:rPr>
          <w:rFonts w:asciiTheme="majorBidi" w:hAnsiTheme="majorBidi"/>
          <w:b/>
          <w:bCs/>
          <w:color w:val="auto"/>
          <w:sz w:val="24"/>
          <w:szCs w:val="24"/>
        </w:rPr>
        <w:t xml:space="preserve">References </w:t>
      </w:r>
      <w:r>
        <w:rPr>
          <w:rFonts w:asciiTheme="majorBidi" w:hAnsiTheme="majorBidi"/>
          <w:b/>
          <w:bCs/>
          <w:color w:val="auto"/>
          <w:sz w:val="24"/>
          <w:szCs w:val="24"/>
        </w:rPr>
        <w:t xml:space="preserve">from Phase 2: </w:t>
      </w:r>
      <w:r w:rsidRPr="008A1752">
        <w:rPr>
          <w:rFonts w:asciiTheme="majorBidi" w:hAnsiTheme="majorBidi"/>
          <w:b/>
          <w:bCs/>
          <w:color w:val="auto"/>
          <w:sz w:val="24"/>
          <w:szCs w:val="24"/>
        </w:rPr>
        <w:t xml:space="preserve">Transdisciplinary </w:t>
      </w:r>
      <w:r>
        <w:rPr>
          <w:rFonts w:asciiTheme="majorBidi" w:hAnsiTheme="majorBidi"/>
          <w:b/>
          <w:bCs/>
          <w:color w:val="auto"/>
          <w:sz w:val="24"/>
          <w:szCs w:val="24"/>
        </w:rPr>
        <w:t>Principles</w:t>
      </w:r>
    </w:p>
    <w:p w14:paraId="357A0520"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Allen-Scott LK, Buntain B, Hatfield JM et al (2015) Academic institutions and one health: building capacity for transdisciplinary research approaches to address complex health issues at the animal-human-ecosystem interface. </w:t>
      </w:r>
      <w:proofErr w:type="spellStart"/>
      <w:r w:rsidRPr="00B65392">
        <w:rPr>
          <w:rFonts w:asciiTheme="majorBidi" w:hAnsiTheme="majorBidi" w:cstheme="majorBidi"/>
        </w:rPr>
        <w:t>Acad</w:t>
      </w:r>
      <w:proofErr w:type="spellEnd"/>
      <w:r w:rsidRPr="00B65392">
        <w:rPr>
          <w:rFonts w:asciiTheme="majorBidi" w:hAnsiTheme="majorBidi" w:cstheme="majorBidi"/>
        </w:rPr>
        <w:t xml:space="preserve"> Med 90:866–871. https://doi.org/10.1097/ACM.0000000000000639.</w:t>
      </w:r>
    </w:p>
    <w:p w14:paraId="252379B0"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lang w:val="en-GB"/>
        </w:rPr>
        <w:t xml:space="preserve">Andersen AH, Assing Hvidt E, Huniche L, et al (2021) </w:t>
      </w:r>
      <w:r w:rsidRPr="00B65392">
        <w:rPr>
          <w:rFonts w:asciiTheme="majorBidi" w:hAnsiTheme="majorBidi" w:cstheme="majorBidi"/>
        </w:rPr>
        <w:t>Why we suffer? Existential challenges of patients with chronic illness: a Kierkegaardian inspired interpretative phenomenological analysis. J Humanist Psychol 65:00221678211002439. https://doi.org/10.1177/00221678211002439</w:t>
      </w:r>
    </w:p>
    <w:p w14:paraId="5D001F57"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Austin CJ (2016) The ontology of organisms: mechanistic modules or patterned processes? Biol </w:t>
      </w:r>
      <w:proofErr w:type="spellStart"/>
      <w:r w:rsidRPr="00B65392">
        <w:rPr>
          <w:rFonts w:asciiTheme="majorBidi" w:hAnsiTheme="majorBidi" w:cstheme="majorBidi"/>
        </w:rPr>
        <w:t>Philos</w:t>
      </w:r>
      <w:proofErr w:type="spellEnd"/>
      <w:r w:rsidRPr="00B65392">
        <w:rPr>
          <w:rFonts w:asciiTheme="majorBidi" w:hAnsiTheme="majorBidi" w:cstheme="majorBidi"/>
        </w:rPr>
        <w:t xml:space="preserve"> 31:639–662. https://doi.org/10.1007/s10539-016-9533-3.</w:t>
      </w:r>
    </w:p>
    <w:p w14:paraId="68BF349B"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Balogun-Mwangi O, Matsumoto A, Ballou M, et al (2016) Women’s pain, women’s voices: using the feminist ecological model and a participatory action research approach in developing a group curriculum for chronic pain. J </w:t>
      </w:r>
      <w:proofErr w:type="spellStart"/>
      <w:r w:rsidRPr="00B65392">
        <w:rPr>
          <w:rFonts w:asciiTheme="majorBidi" w:hAnsiTheme="majorBidi" w:cstheme="majorBidi"/>
        </w:rPr>
        <w:t>Ethnogr</w:t>
      </w:r>
      <w:proofErr w:type="spellEnd"/>
      <w:r w:rsidRPr="00B65392">
        <w:rPr>
          <w:rFonts w:asciiTheme="majorBidi" w:hAnsiTheme="majorBidi" w:cstheme="majorBidi"/>
        </w:rPr>
        <w:t xml:space="preserve"> Qual Res 11:1–16.</w:t>
      </w:r>
    </w:p>
    <w:p w14:paraId="0A51FCA6"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Canella C, Braun C, Witt CM (2024) Developing a digital mind body medicine supportive care intervention for people with amyotrophic lateral sclerosis using stakeholder engagement and design thinking. Digit Health 10:20552076241255928. https://doi.org/10.1177/20552076241255928.</w:t>
      </w:r>
    </w:p>
    <w:p w14:paraId="065613B9"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Ciesielski TH, Aldrich MC, </w:t>
      </w:r>
      <w:proofErr w:type="spellStart"/>
      <w:r w:rsidRPr="00B65392">
        <w:rPr>
          <w:rFonts w:asciiTheme="majorBidi" w:hAnsiTheme="majorBidi" w:cstheme="majorBidi"/>
        </w:rPr>
        <w:t>Marsit</w:t>
      </w:r>
      <w:proofErr w:type="spellEnd"/>
      <w:r w:rsidRPr="00B65392">
        <w:rPr>
          <w:rFonts w:asciiTheme="majorBidi" w:hAnsiTheme="majorBidi" w:cstheme="majorBidi"/>
        </w:rPr>
        <w:t xml:space="preserve"> CJ et al (2017) Transdisciplinary approaches enhance the production of translational knowledge. </w:t>
      </w:r>
      <w:proofErr w:type="spellStart"/>
      <w:r w:rsidRPr="00B65392">
        <w:rPr>
          <w:rFonts w:asciiTheme="majorBidi" w:hAnsiTheme="majorBidi" w:cstheme="majorBidi"/>
        </w:rPr>
        <w:t>Transl</w:t>
      </w:r>
      <w:proofErr w:type="spellEnd"/>
      <w:r w:rsidRPr="00B65392">
        <w:rPr>
          <w:rFonts w:asciiTheme="majorBidi" w:hAnsiTheme="majorBidi" w:cstheme="majorBidi"/>
        </w:rPr>
        <w:t xml:space="preserve"> Res 182:123–134. https://doi.org/10.1016/j.trsl.2016.11.002.</w:t>
      </w:r>
    </w:p>
    <w:p w14:paraId="2F3F4227"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lang w:val="en-GB"/>
        </w:rPr>
        <w:t xml:space="preserve">Collins SE, </w:t>
      </w:r>
      <w:proofErr w:type="spellStart"/>
      <w:r w:rsidRPr="00B65392">
        <w:rPr>
          <w:rFonts w:asciiTheme="majorBidi" w:hAnsiTheme="majorBidi" w:cstheme="majorBidi"/>
          <w:lang w:val="en-GB"/>
        </w:rPr>
        <w:t>Clifasefi</w:t>
      </w:r>
      <w:proofErr w:type="spellEnd"/>
      <w:r w:rsidRPr="00B65392">
        <w:rPr>
          <w:rFonts w:asciiTheme="majorBidi" w:hAnsiTheme="majorBidi" w:cstheme="majorBidi"/>
          <w:lang w:val="en-GB"/>
        </w:rPr>
        <w:t xml:space="preserve"> SL, Stanton J S et al (2018) </w:t>
      </w:r>
      <w:r w:rsidRPr="00B65392">
        <w:rPr>
          <w:rFonts w:asciiTheme="majorBidi" w:hAnsiTheme="majorBidi" w:cstheme="majorBidi"/>
        </w:rPr>
        <w:t>Community-based participatory research (CBPR): towards equitable involvement of community in psychology research. Am Psychol 73:884–898. https://doi.org/10.1037/amp0000167.</w:t>
      </w:r>
    </w:p>
    <w:p w14:paraId="28D99083"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Dupré J (2017) The metaphysics of evolution. Interface Focus 7:20160148. https://doi.org/10.1098/rsfs.2016.0148.</w:t>
      </w:r>
    </w:p>
    <w:p w14:paraId="3D89A9DD"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Dupuis S, </w:t>
      </w:r>
      <w:proofErr w:type="spellStart"/>
      <w:r w:rsidRPr="00B65392">
        <w:rPr>
          <w:rFonts w:asciiTheme="majorBidi" w:hAnsiTheme="majorBidi" w:cstheme="majorBidi"/>
        </w:rPr>
        <w:t>McAiney</w:t>
      </w:r>
      <w:proofErr w:type="spellEnd"/>
      <w:r w:rsidRPr="00B65392">
        <w:rPr>
          <w:rFonts w:asciiTheme="majorBidi" w:hAnsiTheme="majorBidi" w:cstheme="majorBidi"/>
        </w:rPr>
        <w:t xml:space="preserve"> C, Loiselle L et al (2021) Use of participatory action research approach to develop a self-management resource for persons living with dementia. Dementia (London) 20:2393–2411. https://doi.org/10.1177/1471301221997281.</w:t>
      </w:r>
    </w:p>
    <w:p w14:paraId="65464692"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Dwarswaard</w:t>
      </w:r>
      <w:proofErr w:type="spellEnd"/>
      <w:r w:rsidRPr="00B65392">
        <w:rPr>
          <w:rFonts w:asciiTheme="majorBidi" w:hAnsiTheme="majorBidi" w:cstheme="majorBidi"/>
        </w:rPr>
        <w:t xml:space="preserve"> J, Bakker EJM, van Staa A et al (2016) Self-management support from the perspective of patients with a chronic condition: a thematic synthesis of qualitative studies. Health Expect 219:194–208. https://doi.org/10.1111/hex.12346.</w:t>
      </w:r>
    </w:p>
    <w:p w14:paraId="540E2D39"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lastRenderedPageBreak/>
        <w:t xml:space="preserve">Fontana L, Fasano A, Chong YS et al (2021) Transdisciplinary research and clinical priorities for better health. </w:t>
      </w:r>
      <w:proofErr w:type="spellStart"/>
      <w:r w:rsidRPr="00B65392">
        <w:rPr>
          <w:rFonts w:asciiTheme="majorBidi" w:hAnsiTheme="majorBidi" w:cstheme="majorBidi"/>
        </w:rPr>
        <w:t>PLoS</w:t>
      </w:r>
      <w:proofErr w:type="spellEnd"/>
      <w:r w:rsidRPr="00B65392">
        <w:rPr>
          <w:rFonts w:asciiTheme="majorBidi" w:hAnsiTheme="majorBidi" w:cstheme="majorBidi"/>
        </w:rPr>
        <w:t xml:space="preserve"> Med </w:t>
      </w:r>
      <w:proofErr w:type="gramStart"/>
      <w:r w:rsidRPr="00B65392">
        <w:rPr>
          <w:rFonts w:asciiTheme="majorBidi" w:hAnsiTheme="majorBidi" w:cstheme="majorBidi"/>
        </w:rPr>
        <w:t>18:e</w:t>
      </w:r>
      <w:proofErr w:type="gramEnd"/>
      <w:r w:rsidRPr="00B65392">
        <w:rPr>
          <w:rFonts w:asciiTheme="majorBidi" w:hAnsiTheme="majorBidi" w:cstheme="majorBidi"/>
        </w:rPr>
        <w:t>1003699. https://doi.org/10.1371/journal.pmed.1003699.</w:t>
      </w:r>
    </w:p>
    <w:p w14:paraId="3EE9C9E9"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Guttinger</w:t>
      </w:r>
      <w:proofErr w:type="spellEnd"/>
      <w:r w:rsidRPr="00B65392">
        <w:rPr>
          <w:rFonts w:asciiTheme="majorBidi" w:hAnsiTheme="majorBidi" w:cstheme="majorBidi"/>
        </w:rPr>
        <w:t xml:space="preserve"> S (2018) A process ontology for macromolecular biology. In: Nicholson DJ, Dupré J, editors. </w:t>
      </w:r>
      <w:r w:rsidRPr="00B65392">
        <w:rPr>
          <w:rFonts w:asciiTheme="majorBidi" w:hAnsiTheme="majorBidi" w:cstheme="majorBidi"/>
          <w:i/>
          <w:iCs/>
        </w:rPr>
        <w:t>Everything flows: towards a processual philosophy of biology</w:t>
      </w:r>
      <w:r w:rsidRPr="00B65392">
        <w:rPr>
          <w:rFonts w:asciiTheme="majorBidi" w:hAnsiTheme="majorBidi" w:cstheme="majorBidi"/>
        </w:rPr>
        <w:t xml:space="preserve">. Oxford: Oxford University Press; pp. 303–320. </w:t>
      </w:r>
      <w:proofErr w:type="spellStart"/>
      <w:r w:rsidRPr="00B65392">
        <w:rPr>
          <w:rFonts w:asciiTheme="majorBidi" w:hAnsiTheme="majorBidi" w:cstheme="majorBidi"/>
        </w:rPr>
        <w:t>doi</w:t>
      </w:r>
      <w:proofErr w:type="spellEnd"/>
      <w:r w:rsidRPr="00B65392">
        <w:rPr>
          <w:rFonts w:asciiTheme="majorBidi" w:hAnsiTheme="majorBidi" w:cstheme="majorBidi"/>
        </w:rPr>
        <w:t>: https://doi.org/10.1093/oso/9780198779636.003.0015.</w:t>
      </w:r>
    </w:p>
    <w:p w14:paraId="29F3C032"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Harkin D, Coates V, Brown D (2022) Exploring ways to enhance pain management for older people with dementia in acute care settings using a participatory action research approach. Int J Older People </w:t>
      </w:r>
      <w:proofErr w:type="spellStart"/>
      <w:r w:rsidRPr="00B65392">
        <w:rPr>
          <w:rFonts w:asciiTheme="majorBidi" w:hAnsiTheme="majorBidi" w:cstheme="majorBidi"/>
        </w:rPr>
        <w:t>Nurs</w:t>
      </w:r>
      <w:proofErr w:type="spellEnd"/>
      <w:r w:rsidRPr="00B65392">
        <w:rPr>
          <w:rFonts w:asciiTheme="majorBidi" w:hAnsiTheme="majorBidi" w:cstheme="majorBidi"/>
        </w:rPr>
        <w:t xml:space="preserve"> </w:t>
      </w:r>
      <w:proofErr w:type="gramStart"/>
      <w:r w:rsidRPr="00B65392">
        <w:rPr>
          <w:rFonts w:asciiTheme="majorBidi" w:hAnsiTheme="majorBidi" w:cstheme="majorBidi"/>
        </w:rPr>
        <w:t>17:e</w:t>
      </w:r>
      <w:proofErr w:type="gramEnd"/>
      <w:r w:rsidRPr="00B65392">
        <w:rPr>
          <w:rFonts w:asciiTheme="majorBidi" w:hAnsiTheme="majorBidi" w:cstheme="majorBidi"/>
        </w:rPr>
        <w:t>12487. https://doi.org/10.1111/opn.12487.</w:t>
      </w:r>
    </w:p>
    <w:p w14:paraId="0720FBC2"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Hilton L, Hempel S, Ewing BA et al (2017) Mindfulness meditation for chronic pain: systematic review and meta-analysis. Ann </w:t>
      </w:r>
      <w:proofErr w:type="spellStart"/>
      <w:r w:rsidRPr="00B65392">
        <w:rPr>
          <w:rFonts w:asciiTheme="majorBidi" w:hAnsiTheme="majorBidi" w:cstheme="majorBidi"/>
        </w:rPr>
        <w:t>Behav</w:t>
      </w:r>
      <w:proofErr w:type="spellEnd"/>
      <w:r w:rsidRPr="00B65392">
        <w:rPr>
          <w:rFonts w:asciiTheme="majorBidi" w:hAnsiTheme="majorBidi" w:cstheme="majorBidi"/>
        </w:rPr>
        <w:t xml:space="preserve"> Med 51:199–213. https://doi.org/10.1007/s12160-016-9844-2.</w:t>
      </w:r>
    </w:p>
    <w:p w14:paraId="176700CB"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Hoehndorf</w:t>
      </w:r>
      <w:proofErr w:type="spellEnd"/>
      <w:r w:rsidRPr="00B65392">
        <w:rPr>
          <w:rFonts w:asciiTheme="majorBidi" w:hAnsiTheme="majorBidi" w:cstheme="majorBidi"/>
        </w:rPr>
        <w:t xml:space="preserve"> R, Schofield PN, </w:t>
      </w:r>
      <w:proofErr w:type="spellStart"/>
      <w:r w:rsidRPr="00B65392">
        <w:rPr>
          <w:rFonts w:asciiTheme="majorBidi" w:hAnsiTheme="majorBidi" w:cstheme="majorBidi"/>
        </w:rPr>
        <w:t>Gkoutos</w:t>
      </w:r>
      <w:proofErr w:type="spellEnd"/>
      <w:r w:rsidRPr="00B65392">
        <w:rPr>
          <w:rFonts w:asciiTheme="majorBidi" w:hAnsiTheme="majorBidi" w:cstheme="majorBidi"/>
        </w:rPr>
        <w:t xml:space="preserve"> GV (2015) The role of ontologies in biological and biomedical research: a functional perspective. Brief </w:t>
      </w:r>
      <w:proofErr w:type="spellStart"/>
      <w:r w:rsidRPr="00B65392">
        <w:rPr>
          <w:rFonts w:asciiTheme="majorBidi" w:hAnsiTheme="majorBidi" w:cstheme="majorBidi"/>
        </w:rPr>
        <w:t>Bioinform</w:t>
      </w:r>
      <w:proofErr w:type="spellEnd"/>
      <w:r w:rsidRPr="00B65392">
        <w:rPr>
          <w:rFonts w:asciiTheme="majorBidi" w:hAnsiTheme="majorBidi" w:cstheme="majorBidi"/>
        </w:rPr>
        <w:t xml:space="preserve"> 16:1069–1080. https://doi.org/10.1093/bib/bbv011.</w:t>
      </w:r>
    </w:p>
    <w:p w14:paraId="659631E1"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Holkup</w:t>
      </w:r>
      <w:proofErr w:type="spellEnd"/>
      <w:r w:rsidRPr="00B65392">
        <w:rPr>
          <w:rFonts w:asciiTheme="majorBidi" w:hAnsiTheme="majorBidi" w:cstheme="majorBidi"/>
        </w:rPr>
        <w:t xml:space="preserve"> PA, Tripp-Reimer T, Salois EM (2004) Community-based participatory research: an approach to intervention research with a Native American community. ANS Adv </w:t>
      </w:r>
      <w:proofErr w:type="spellStart"/>
      <w:r w:rsidRPr="00B65392">
        <w:rPr>
          <w:rFonts w:asciiTheme="majorBidi" w:hAnsiTheme="majorBidi" w:cstheme="majorBidi"/>
        </w:rPr>
        <w:t>Nurs</w:t>
      </w:r>
      <w:proofErr w:type="spellEnd"/>
      <w:r w:rsidRPr="00B65392">
        <w:rPr>
          <w:rFonts w:asciiTheme="majorBidi" w:hAnsiTheme="majorBidi" w:cstheme="majorBidi"/>
        </w:rPr>
        <w:t xml:space="preserve"> Sci 27:162–175. https://doi.org/10.1097/00012272-200407000-00002.</w:t>
      </w:r>
    </w:p>
    <w:p w14:paraId="4E045F2D"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Hudon C, Fortin M, Haggerty J (2012) Patient-centered care in chronic disease management: a thematic analysis of the literature in family medicine. Patient Educ Couns 88:170–176. https://doi.org/10.1016/j.pec.2012.01.009.</w:t>
      </w:r>
    </w:p>
    <w:p w14:paraId="18C42468" w14:textId="77777777" w:rsidR="00381710" w:rsidRPr="00B65392" w:rsidRDefault="00381710" w:rsidP="00EB4ED6">
      <w:pPr>
        <w:pStyle w:val="ListParagraph"/>
        <w:numPr>
          <w:ilvl w:val="0"/>
          <w:numId w:val="3"/>
        </w:numPr>
        <w:snapToGrid w:val="0"/>
        <w:ind w:left="426"/>
        <w:rPr>
          <w:rFonts w:asciiTheme="majorBidi" w:hAnsiTheme="majorBidi" w:cstheme="majorBidi"/>
          <w:lang w:val="fr-FR"/>
        </w:rPr>
      </w:pPr>
      <w:r w:rsidRPr="00B65392">
        <w:rPr>
          <w:rFonts w:asciiTheme="majorBidi" w:hAnsiTheme="majorBidi" w:cstheme="majorBidi"/>
          <w:lang w:val="en-GB"/>
        </w:rPr>
        <w:t xml:space="preserve">Israel BA, Coombe CM, Cheezum RR et al (2010) </w:t>
      </w:r>
      <w:r w:rsidRPr="00B65392">
        <w:rPr>
          <w:rFonts w:asciiTheme="majorBidi" w:hAnsiTheme="majorBidi" w:cstheme="majorBidi"/>
        </w:rPr>
        <w:t xml:space="preserve">Community-based participatory research: a capacity-building approach for policy advocacy aimed at eliminating health disparities. Am J Public Health 100:2094–2102. </w:t>
      </w:r>
      <w:r w:rsidRPr="00B65392">
        <w:rPr>
          <w:rFonts w:asciiTheme="majorBidi" w:hAnsiTheme="majorBidi" w:cstheme="majorBidi"/>
          <w:lang w:val="fr-FR"/>
        </w:rPr>
        <w:t>https://doi.org/10.2105/AJPH.2009.170506.</w:t>
      </w:r>
    </w:p>
    <w:p w14:paraId="37B56234"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lang w:val="en-GB"/>
        </w:rPr>
        <w:t xml:space="preserve">Jing X, Min H, Gong Y et al </w:t>
      </w:r>
      <w:r w:rsidRPr="00B65392">
        <w:rPr>
          <w:rFonts w:asciiTheme="majorBidi" w:hAnsiTheme="majorBidi" w:cstheme="majorBidi"/>
        </w:rPr>
        <w:t xml:space="preserve">(2023) Ontologies applied in clinical decision support system rules: systematic review. JMIR Med Inform </w:t>
      </w:r>
      <w:proofErr w:type="gramStart"/>
      <w:r w:rsidRPr="00B65392">
        <w:rPr>
          <w:rFonts w:asciiTheme="majorBidi" w:hAnsiTheme="majorBidi" w:cstheme="majorBidi"/>
        </w:rPr>
        <w:t>11:e</w:t>
      </w:r>
      <w:proofErr w:type="gramEnd"/>
      <w:r w:rsidRPr="00B65392">
        <w:rPr>
          <w:rFonts w:asciiTheme="majorBidi" w:hAnsiTheme="majorBidi" w:cstheme="majorBidi"/>
        </w:rPr>
        <w:t>43053. https://doi.org/10.2196/43053.</w:t>
      </w:r>
    </w:p>
    <w:p w14:paraId="4485361D"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Johnson MI, Page K, Woodall J (2024) Perspectives on community-based system change for people living with persistent pain: insights from developing the “Rethinking Pain service”. Front Pain Res (Lausanne) 5:1299027. https://doi.org/10.3389/fpain.2024.1299027.</w:t>
      </w:r>
    </w:p>
    <w:p w14:paraId="4579CC7A"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Kearney M, Rieppel O (2023) A process ontology of organisms and its connection to biological individuality concepts. Org Divers </w:t>
      </w:r>
      <w:proofErr w:type="spellStart"/>
      <w:r w:rsidRPr="00B65392">
        <w:rPr>
          <w:rFonts w:asciiTheme="majorBidi" w:hAnsiTheme="majorBidi" w:cstheme="majorBidi"/>
        </w:rPr>
        <w:t>Evol</w:t>
      </w:r>
      <w:proofErr w:type="spellEnd"/>
      <w:r w:rsidRPr="00B65392">
        <w:rPr>
          <w:rFonts w:asciiTheme="majorBidi" w:hAnsiTheme="majorBidi" w:cstheme="majorBidi"/>
        </w:rPr>
        <w:t xml:space="preserve"> 23:1–6. https://doi.org/10.1007/s13127-022-00584-6.</w:t>
      </w:r>
    </w:p>
    <w:p w14:paraId="6CA64B45"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Keng SL, </w:t>
      </w:r>
      <w:proofErr w:type="spellStart"/>
      <w:r w:rsidRPr="00B65392">
        <w:rPr>
          <w:rFonts w:asciiTheme="majorBidi" w:hAnsiTheme="majorBidi" w:cstheme="majorBidi"/>
        </w:rPr>
        <w:t>Smoski</w:t>
      </w:r>
      <w:proofErr w:type="spellEnd"/>
      <w:r w:rsidRPr="00B65392">
        <w:rPr>
          <w:rFonts w:asciiTheme="majorBidi" w:hAnsiTheme="majorBidi" w:cstheme="majorBidi"/>
        </w:rPr>
        <w:t xml:space="preserve"> MJ, Robins CJ (2011) Effects of mindfulness on psychological health: a review of empirical studies. Clin Psychol Rev 31:1041–1056. https://doi.org/10.1016/j.cpr.2011.04.006.</w:t>
      </w:r>
    </w:p>
    <w:p w14:paraId="42A285EF"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Knudsen RK, Skovbjerg S, Pedersen EL et al (2024) Factors affecting implementation of mindfulness in hospital settings: a qualitative meta-synthesis of healthcare professionals’ experiences. Int J </w:t>
      </w:r>
      <w:proofErr w:type="spellStart"/>
      <w:r w:rsidRPr="00B65392">
        <w:rPr>
          <w:rFonts w:asciiTheme="majorBidi" w:hAnsiTheme="majorBidi" w:cstheme="majorBidi"/>
        </w:rPr>
        <w:t>Nurs</w:t>
      </w:r>
      <w:proofErr w:type="spellEnd"/>
      <w:r w:rsidRPr="00B65392">
        <w:rPr>
          <w:rFonts w:asciiTheme="majorBidi" w:hAnsiTheme="majorBidi" w:cstheme="majorBidi"/>
        </w:rPr>
        <w:t xml:space="preserve"> Stud Adv 6:100192. https://doi.org/10.1016/j.ijnsa.2024.100192.</w:t>
      </w:r>
    </w:p>
    <w:p w14:paraId="6FF90301"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Koutroufinis</w:t>
      </w:r>
      <w:proofErr w:type="spellEnd"/>
      <w:r w:rsidRPr="00B65392">
        <w:rPr>
          <w:rFonts w:asciiTheme="majorBidi" w:hAnsiTheme="majorBidi" w:cstheme="majorBidi"/>
        </w:rPr>
        <w:t xml:space="preserve"> SA (2017) Organism, machine, process. Towards a process ontology for organismic dynamics. Organisms J Biol Sci 1:23–44. https://doi.org/10.13133/2532-5876/13878.</w:t>
      </w:r>
    </w:p>
    <w:p w14:paraId="3EF52DC2"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Lachal</w:t>
      </w:r>
      <w:proofErr w:type="spellEnd"/>
      <w:r w:rsidRPr="00B65392">
        <w:rPr>
          <w:rFonts w:asciiTheme="majorBidi" w:hAnsiTheme="majorBidi" w:cstheme="majorBidi"/>
        </w:rPr>
        <w:t xml:space="preserve"> J, </w:t>
      </w:r>
      <w:proofErr w:type="spellStart"/>
      <w:r w:rsidRPr="00B65392">
        <w:rPr>
          <w:rFonts w:asciiTheme="majorBidi" w:hAnsiTheme="majorBidi" w:cstheme="majorBidi"/>
        </w:rPr>
        <w:t>Revah</w:t>
      </w:r>
      <w:proofErr w:type="spellEnd"/>
      <w:r w:rsidRPr="00B65392">
        <w:rPr>
          <w:rFonts w:asciiTheme="majorBidi" w:hAnsiTheme="majorBidi" w:cstheme="majorBidi"/>
        </w:rPr>
        <w:t xml:space="preserve">-Levy A, Orri M et al (2017) </w:t>
      </w:r>
      <w:proofErr w:type="spellStart"/>
      <w:r w:rsidRPr="00B65392">
        <w:rPr>
          <w:rFonts w:asciiTheme="majorBidi" w:hAnsiTheme="majorBidi" w:cstheme="majorBidi"/>
        </w:rPr>
        <w:t>Metasynthesis</w:t>
      </w:r>
      <w:proofErr w:type="spellEnd"/>
      <w:r w:rsidRPr="00B65392">
        <w:rPr>
          <w:rFonts w:asciiTheme="majorBidi" w:hAnsiTheme="majorBidi" w:cstheme="majorBidi"/>
        </w:rPr>
        <w:t>: an original method to synthesize qualitative literature in psychiatry. Front Psychiatry 8:269. https://doi.org/10.3389/fpsyt.2017.00269.</w:t>
      </w:r>
    </w:p>
    <w:p w14:paraId="5EE930A2"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lastRenderedPageBreak/>
        <w:t>Lawless MT, Tieu M, Archibald MM et al (2025) From promise to practice: how health researchers understand and promote transdisciplinary collaboration. Qual Health Res 35:3–16. https://doi.org/10.1177/10497323241235882.</w:t>
      </w:r>
    </w:p>
    <w:p w14:paraId="32FBA9CB"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Li S, Miles K, George RE et al (2023) A critical review of cultural competence frameworks and models in medical and health professional education: a meta-ethnographic synthesis. Med Teach 45:1085–1107. https://doi.org/10.1080/0142159X.2023.2174419.</w:t>
      </w:r>
    </w:p>
    <w:p w14:paraId="7BAD9CA5"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Liaw ST, Rahimi A, Ray P et al (2013) Towards an ontology for data quality in integrated chronic disease management: a realist review of the literature. Int J Med Inform 82:10–24. https://doi.org/10.1016/j.ijmedinf.2012.10.001.</w:t>
      </w:r>
    </w:p>
    <w:p w14:paraId="4E5F6638"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Liu J, Li S (2023) An ethnographic investigation of medical students’ cultural competence development in clinical placements. Adv Health Sci Educ Theory </w:t>
      </w:r>
      <w:proofErr w:type="spellStart"/>
      <w:r w:rsidRPr="00B65392">
        <w:rPr>
          <w:rFonts w:asciiTheme="majorBidi" w:hAnsiTheme="majorBidi" w:cstheme="majorBidi"/>
        </w:rPr>
        <w:t>Pract</w:t>
      </w:r>
      <w:proofErr w:type="spellEnd"/>
      <w:r w:rsidRPr="00B65392">
        <w:rPr>
          <w:rFonts w:asciiTheme="majorBidi" w:hAnsiTheme="majorBidi" w:cstheme="majorBidi"/>
        </w:rPr>
        <w:t xml:space="preserve"> 28:705–739. https://doi.org/10.1007/s10459-022-10179-7.</w:t>
      </w:r>
    </w:p>
    <w:p w14:paraId="3CE14AFC" w14:textId="77777777" w:rsidR="00381710" w:rsidRPr="00B65392" w:rsidRDefault="00381710" w:rsidP="00EB4ED6">
      <w:pPr>
        <w:pStyle w:val="ListParagraph"/>
        <w:numPr>
          <w:ilvl w:val="0"/>
          <w:numId w:val="3"/>
        </w:numPr>
        <w:snapToGrid w:val="0"/>
        <w:ind w:left="426"/>
        <w:rPr>
          <w:rFonts w:asciiTheme="majorBidi" w:hAnsiTheme="majorBidi" w:cstheme="majorBidi"/>
          <w:lang w:val="fr-FR"/>
        </w:rPr>
      </w:pPr>
      <w:r w:rsidRPr="00B65392">
        <w:rPr>
          <w:rFonts w:asciiTheme="majorBidi" w:hAnsiTheme="majorBidi" w:cstheme="majorBidi"/>
        </w:rPr>
        <w:t xml:space="preserve">Loughlin M, Bluhm R, Fuller J et al (2015) Diseases, patients and the epistemology of practice: mapping the borders of health, medicine and care. </w:t>
      </w:r>
      <w:r w:rsidRPr="00B65392">
        <w:rPr>
          <w:rFonts w:asciiTheme="majorBidi" w:hAnsiTheme="majorBidi" w:cstheme="majorBidi"/>
          <w:lang w:val="fr-FR"/>
        </w:rPr>
        <w:t xml:space="preserve">J Eval Clin </w:t>
      </w:r>
      <w:proofErr w:type="spellStart"/>
      <w:r w:rsidRPr="00B65392">
        <w:rPr>
          <w:rFonts w:asciiTheme="majorBidi" w:hAnsiTheme="majorBidi" w:cstheme="majorBidi"/>
          <w:lang w:val="fr-FR"/>
        </w:rPr>
        <w:t>Pract</w:t>
      </w:r>
      <w:proofErr w:type="spellEnd"/>
      <w:r w:rsidRPr="00B65392">
        <w:rPr>
          <w:rFonts w:asciiTheme="majorBidi" w:hAnsiTheme="majorBidi" w:cstheme="majorBidi"/>
          <w:lang w:val="fr-FR"/>
        </w:rPr>
        <w:t xml:space="preserve"> </w:t>
      </w:r>
      <w:proofErr w:type="gramStart"/>
      <w:r w:rsidRPr="00B65392">
        <w:rPr>
          <w:rFonts w:asciiTheme="majorBidi" w:hAnsiTheme="majorBidi" w:cstheme="majorBidi"/>
          <w:lang w:val="fr-FR"/>
        </w:rPr>
        <w:t>21:</w:t>
      </w:r>
      <w:proofErr w:type="gramEnd"/>
      <w:r w:rsidRPr="00B65392">
        <w:rPr>
          <w:rFonts w:asciiTheme="majorBidi" w:hAnsiTheme="majorBidi" w:cstheme="majorBidi"/>
          <w:lang w:val="fr-FR"/>
        </w:rPr>
        <w:t>357–364. https://doi.org/10.1111/jep.12370.</w:t>
      </w:r>
    </w:p>
    <w:p w14:paraId="2A067AD1"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lang w:val="fr-FR"/>
        </w:rPr>
        <w:t xml:space="preserve">Ma Y, Xiang Q, Yan C et al (2021). </w:t>
      </w:r>
      <w:r w:rsidRPr="00B65392">
        <w:rPr>
          <w:rFonts w:asciiTheme="majorBidi" w:hAnsiTheme="majorBidi" w:cstheme="majorBidi"/>
        </w:rPr>
        <w:t xml:space="preserve">Relationship between chronic diseases and depression: the mediating effect of pain. BMC Psychiatry 21:436. </w:t>
      </w:r>
      <w:r w:rsidRPr="00E32553">
        <w:t>https://doi.org/10.1186/s12888-021-03428-3</w:t>
      </w:r>
      <w:r w:rsidRPr="00B65392">
        <w:rPr>
          <w:rFonts w:asciiTheme="majorBidi" w:hAnsiTheme="majorBidi" w:cstheme="majorBidi"/>
        </w:rPr>
        <w:t>.</w:t>
      </w:r>
    </w:p>
    <w:p w14:paraId="55A27286"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Maitra A, Kamdar MR, Zulman DM et al (2021) Using ethnographic methods to classify the human experience in medicine: a case study of the presence ontology. J Am Med Inform Assoc 28:1900–1909. https://doi.org/10.1093/jamia/ocab091.</w:t>
      </w:r>
    </w:p>
    <w:p w14:paraId="54106D46"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Marikar</w:t>
      </w:r>
      <w:proofErr w:type="spellEnd"/>
      <w:r w:rsidRPr="00B65392">
        <w:rPr>
          <w:rFonts w:asciiTheme="majorBidi" w:hAnsiTheme="majorBidi" w:cstheme="majorBidi"/>
        </w:rPr>
        <w:t xml:space="preserve"> Bawa FL, Mercer SW, Sutton JW et al (2023) Mindfulness for people with chronic pain: factors affecting engagement and suggestions for </w:t>
      </w:r>
      <w:proofErr w:type="spellStart"/>
      <w:r w:rsidRPr="00B65392">
        <w:rPr>
          <w:rFonts w:asciiTheme="majorBidi" w:hAnsiTheme="majorBidi" w:cstheme="majorBidi"/>
        </w:rPr>
        <w:t>programme</w:t>
      </w:r>
      <w:proofErr w:type="spellEnd"/>
      <w:r w:rsidRPr="00B65392">
        <w:rPr>
          <w:rFonts w:asciiTheme="majorBidi" w:hAnsiTheme="majorBidi" w:cstheme="majorBidi"/>
        </w:rPr>
        <w:t xml:space="preserve"> optimization. Health Expect 26:1287–1307. https://doi.org/10.1111/hex.13745.</w:t>
      </w:r>
    </w:p>
    <w:p w14:paraId="153CF42B"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Min B, Allen-Scott LK, Buntain B (2013) Transdisciplinary research for complex One Health issues: a scoping review of key concepts. Prev Vet Med 112:222–229. https://doi.org/10.1016/j.prevetmed.2013.09.010.</w:t>
      </w:r>
    </w:p>
    <w:p w14:paraId="5E6FD203"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Mooney R, Dempsey C, Brown BJ et al (2023) Using participatory action research methods to address epistemic injustice within mental health research and the mental health system. Front Public Health 11:1075363. https://doi.org/10.3389/fpubh.2023.1075363.</w:t>
      </w:r>
    </w:p>
    <w:p w14:paraId="02D8A65E"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Murtagh S, McCombe G, Broughan J et al (2021) Integrating primary and secondary care to enhance chronic disease management: a scoping review. Int J </w:t>
      </w:r>
      <w:proofErr w:type="spellStart"/>
      <w:r w:rsidRPr="00B65392">
        <w:rPr>
          <w:rFonts w:asciiTheme="majorBidi" w:hAnsiTheme="majorBidi" w:cstheme="majorBidi"/>
        </w:rPr>
        <w:t>Integr</w:t>
      </w:r>
      <w:proofErr w:type="spellEnd"/>
      <w:r w:rsidRPr="00B65392">
        <w:rPr>
          <w:rFonts w:asciiTheme="majorBidi" w:hAnsiTheme="majorBidi" w:cstheme="majorBidi"/>
        </w:rPr>
        <w:t xml:space="preserve"> Care 21:4. https://doi.org/10.5334/ijic.5508.</w:t>
      </w:r>
    </w:p>
    <w:p w14:paraId="4C731F7E"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Nicolescu B (2010) Methodology of </w:t>
      </w:r>
      <w:proofErr w:type="spellStart"/>
      <w:r w:rsidRPr="00B65392">
        <w:rPr>
          <w:rFonts w:asciiTheme="majorBidi" w:hAnsiTheme="majorBidi" w:cstheme="majorBidi"/>
        </w:rPr>
        <w:t>transdisciplinarity</w:t>
      </w:r>
      <w:proofErr w:type="spellEnd"/>
      <w:r w:rsidRPr="00B65392">
        <w:rPr>
          <w:rFonts w:asciiTheme="majorBidi" w:hAnsiTheme="majorBidi" w:cstheme="majorBidi"/>
        </w:rPr>
        <w:t xml:space="preserve">: levels of reality, logic of the included middle and complexity. </w:t>
      </w:r>
      <w:proofErr w:type="spellStart"/>
      <w:r w:rsidRPr="00B65392">
        <w:rPr>
          <w:rFonts w:asciiTheme="majorBidi" w:hAnsiTheme="majorBidi" w:cstheme="majorBidi"/>
        </w:rPr>
        <w:t>Transdiscipl</w:t>
      </w:r>
      <w:proofErr w:type="spellEnd"/>
      <w:r w:rsidRPr="00B65392">
        <w:rPr>
          <w:rFonts w:asciiTheme="majorBidi" w:hAnsiTheme="majorBidi" w:cstheme="majorBidi"/>
        </w:rPr>
        <w:t xml:space="preserve"> J Eng Sci 1:17–32.</w:t>
      </w:r>
    </w:p>
    <w:p w14:paraId="778BF938"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Niño de Guzmán Quispe E, Martínez García L, Orrego </w:t>
      </w:r>
      <w:proofErr w:type="spellStart"/>
      <w:r w:rsidRPr="00B65392">
        <w:rPr>
          <w:rFonts w:asciiTheme="majorBidi" w:hAnsiTheme="majorBidi" w:cstheme="majorBidi"/>
        </w:rPr>
        <w:t>Villagrán</w:t>
      </w:r>
      <w:proofErr w:type="spellEnd"/>
      <w:r w:rsidRPr="00B65392">
        <w:rPr>
          <w:rFonts w:asciiTheme="majorBidi" w:hAnsiTheme="majorBidi" w:cstheme="majorBidi"/>
        </w:rPr>
        <w:t xml:space="preserve"> C et al (2021) The perspectives of patients with chronic diseases and their caregivers on self-management interventions: a scoping review of reviews. Patient 14:719–740. https://doi.org/10.1007/s40271-021-00514-2.</w:t>
      </w:r>
    </w:p>
    <w:p w14:paraId="4FE4BF05"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lang w:val="en-GB"/>
        </w:rPr>
        <w:t xml:space="preserve">Nizza IE, Smith JA, Kirkham JA (2022) </w:t>
      </w:r>
      <w:r w:rsidRPr="00B65392">
        <w:rPr>
          <w:rFonts w:asciiTheme="majorBidi" w:hAnsiTheme="majorBidi" w:cstheme="majorBidi"/>
        </w:rPr>
        <w:t>Portraying improvement in the management of chronic pain: a multi-modal longitudinal interpretative phenomenological analysis study. Front Pain Res (Lausanne) 3:901271. https://doi.org/10.3389/fpain.2022.901271.</w:t>
      </w:r>
    </w:p>
    <w:p w14:paraId="15810F64"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lang w:val="en-GB"/>
        </w:rPr>
        <w:t>Pathiraja</w:t>
      </w:r>
      <w:proofErr w:type="spellEnd"/>
      <w:r w:rsidRPr="00B65392">
        <w:rPr>
          <w:rFonts w:asciiTheme="majorBidi" w:hAnsiTheme="majorBidi" w:cstheme="majorBidi"/>
          <w:lang w:val="en-GB"/>
        </w:rPr>
        <w:t xml:space="preserve"> Rathnayaka </w:t>
      </w:r>
      <w:proofErr w:type="spellStart"/>
      <w:r w:rsidRPr="00B65392">
        <w:rPr>
          <w:rFonts w:asciiTheme="majorBidi" w:hAnsiTheme="majorBidi" w:cstheme="majorBidi"/>
          <w:lang w:val="en-GB"/>
        </w:rPr>
        <w:t>Hitige</w:t>
      </w:r>
      <w:proofErr w:type="spellEnd"/>
      <w:r w:rsidRPr="00B65392">
        <w:rPr>
          <w:rFonts w:asciiTheme="majorBidi" w:hAnsiTheme="majorBidi" w:cstheme="majorBidi"/>
          <w:lang w:val="en-GB"/>
        </w:rPr>
        <w:t xml:space="preserve"> N, Song T, Craig SJ et al (2024) </w:t>
      </w:r>
      <w:r w:rsidRPr="00B65392">
        <w:rPr>
          <w:rFonts w:asciiTheme="majorBidi" w:hAnsiTheme="majorBidi" w:cstheme="majorBidi"/>
        </w:rPr>
        <w:t>An ontology-based approach for understanding appendicectomy processes and associated resources. Healthcare (Basel) 13:10. https://doi.org/10.3390/healthcare13010010.</w:t>
      </w:r>
    </w:p>
    <w:p w14:paraId="13382A60"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lastRenderedPageBreak/>
        <w:t xml:space="preserve">Pineo H, Turnbull ER, Davies M et al (2021) A new transdisciplinary research model to investigate and improve the health of the public. Health </w:t>
      </w:r>
      <w:proofErr w:type="spellStart"/>
      <w:r w:rsidRPr="00B65392">
        <w:rPr>
          <w:rFonts w:asciiTheme="majorBidi" w:hAnsiTheme="majorBidi" w:cstheme="majorBidi"/>
        </w:rPr>
        <w:t>Promot</w:t>
      </w:r>
      <w:proofErr w:type="spellEnd"/>
      <w:r w:rsidRPr="00B65392">
        <w:rPr>
          <w:rFonts w:asciiTheme="majorBidi" w:hAnsiTheme="majorBidi" w:cstheme="majorBidi"/>
        </w:rPr>
        <w:t xml:space="preserve"> Int 36:481–492. https://doi.org/10.1093/heapro/daaa125.</w:t>
      </w:r>
    </w:p>
    <w:p w14:paraId="6CBE5D72"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Prophet J, Rahman R, Hassett L (2023) An online photovoice study designed by researchers from art and social work to better understand the experience of chronic pain by women of color. AM J Art Media Stud (32):69–89. https://doi.org/10.25038/am.v0i28.582.</w:t>
      </w:r>
    </w:p>
    <w:p w14:paraId="5E13BD92"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Pyysiäinen</w:t>
      </w:r>
      <w:proofErr w:type="spellEnd"/>
      <w:r w:rsidRPr="00B65392">
        <w:rPr>
          <w:rFonts w:asciiTheme="majorBidi" w:hAnsiTheme="majorBidi" w:cstheme="majorBidi"/>
        </w:rPr>
        <w:t xml:space="preserve"> J (2021) Sociocultural affordances and enactment of agency: a transactional view. Theor Psychol 31:491–512. https://doi.org/10.1177/0959354321989431.</w:t>
      </w:r>
    </w:p>
    <w:p w14:paraId="365C7E41"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Ramstead MJD, </w:t>
      </w:r>
      <w:proofErr w:type="spellStart"/>
      <w:r w:rsidRPr="00B65392">
        <w:rPr>
          <w:rFonts w:asciiTheme="majorBidi" w:hAnsiTheme="majorBidi" w:cstheme="majorBidi"/>
        </w:rPr>
        <w:t>Veissière</w:t>
      </w:r>
      <w:proofErr w:type="spellEnd"/>
      <w:r w:rsidRPr="00B65392">
        <w:rPr>
          <w:rFonts w:asciiTheme="majorBidi" w:hAnsiTheme="majorBidi" w:cstheme="majorBidi"/>
        </w:rPr>
        <w:t xml:space="preserve"> SPL, </w:t>
      </w:r>
      <w:proofErr w:type="spellStart"/>
      <w:r w:rsidRPr="00B65392">
        <w:rPr>
          <w:rFonts w:asciiTheme="majorBidi" w:hAnsiTheme="majorBidi" w:cstheme="majorBidi"/>
        </w:rPr>
        <w:t>Kirmayer</w:t>
      </w:r>
      <w:proofErr w:type="spellEnd"/>
      <w:r w:rsidRPr="00B65392">
        <w:rPr>
          <w:rFonts w:asciiTheme="majorBidi" w:hAnsiTheme="majorBidi" w:cstheme="majorBidi"/>
        </w:rPr>
        <w:t xml:space="preserve"> LJ (2016) Cultural affordances: scaffolding local worlds through shared intentionality and regimes of attention. Front Psychol 7:1090. https://doi.org/10.3389/fpsyg.2016.01090.</w:t>
      </w:r>
    </w:p>
    <w:p w14:paraId="156452E4"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Redwood D, Lanier A, Kemberling M et al (2010) Community-based participatory research in a large cohort study of chronic diseases among Alaska Native adults. Prog Community Health </w:t>
      </w:r>
      <w:proofErr w:type="spellStart"/>
      <w:r w:rsidRPr="00B65392">
        <w:rPr>
          <w:rFonts w:asciiTheme="majorBidi" w:hAnsiTheme="majorBidi" w:cstheme="majorBidi"/>
        </w:rPr>
        <w:t>Partnersh</w:t>
      </w:r>
      <w:proofErr w:type="spellEnd"/>
      <w:r w:rsidRPr="00B65392">
        <w:rPr>
          <w:rFonts w:asciiTheme="majorBidi" w:hAnsiTheme="majorBidi" w:cstheme="majorBidi"/>
        </w:rPr>
        <w:t xml:space="preserve"> 4:325–330. https://doi.org/10.1353/cpr.2010.0012.</w:t>
      </w:r>
    </w:p>
    <w:p w14:paraId="44CCAF0C"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Rogger</w:t>
      </w:r>
      <w:proofErr w:type="spellEnd"/>
      <w:r w:rsidRPr="00B65392">
        <w:rPr>
          <w:rFonts w:asciiTheme="majorBidi" w:hAnsiTheme="majorBidi" w:cstheme="majorBidi"/>
        </w:rPr>
        <w:t xml:space="preserve"> R, Bello C, Romero CS et al (2023) Cultural framing and the impact on acute pain and pain services. Curr Pain Headache Rep 27:429–436. https://doi.org/10.1007/s11916-023-01125-2.</w:t>
      </w:r>
    </w:p>
    <w:p w14:paraId="7B643E5D"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Rosenzweig S, Greeson JM, Reibel DK Green JS et al (2010) Mindfulness-based stress reduction for chronic pain conditions: variation in treatment outcomes and role of home meditation practice. J </w:t>
      </w:r>
      <w:proofErr w:type="spellStart"/>
      <w:r w:rsidRPr="00B65392">
        <w:rPr>
          <w:rFonts w:asciiTheme="majorBidi" w:hAnsiTheme="majorBidi" w:cstheme="majorBidi"/>
        </w:rPr>
        <w:t>Psychosom</w:t>
      </w:r>
      <w:proofErr w:type="spellEnd"/>
      <w:r w:rsidRPr="00B65392">
        <w:rPr>
          <w:rFonts w:asciiTheme="majorBidi" w:hAnsiTheme="majorBidi" w:cstheme="majorBidi"/>
        </w:rPr>
        <w:t xml:space="preserve"> Res 68:29–36. </w:t>
      </w:r>
      <w:hyperlink r:id="rId159" w:history="1">
        <w:r w:rsidRPr="00B65392">
          <w:rPr>
            <w:rStyle w:val="Hyperlink"/>
            <w:rFonts w:asciiTheme="majorBidi" w:hAnsiTheme="majorBidi"/>
          </w:rPr>
          <w:t>https://doi.org/10.1016/j.jpsychores.2009.03.010</w:t>
        </w:r>
      </w:hyperlink>
      <w:r w:rsidRPr="00B65392">
        <w:rPr>
          <w:rFonts w:asciiTheme="majorBidi" w:hAnsiTheme="majorBidi" w:cstheme="majorBidi"/>
        </w:rPr>
        <w:t>.</w:t>
      </w:r>
    </w:p>
    <w:p w14:paraId="4FB98246" w14:textId="77777777" w:rsidR="00381710" w:rsidRPr="00B65392" w:rsidRDefault="00381710" w:rsidP="00EB4ED6">
      <w:pPr>
        <w:pStyle w:val="ListParagraph"/>
        <w:numPr>
          <w:ilvl w:val="0"/>
          <w:numId w:val="3"/>
        </w:numPr>
        <w:snapToGrid w:val="0"/>
        <w:ind w:left="426"/>
      </w:pPr>
      <w:r w:rsidRPr="00B65392">
        <w:rPr>
          <w:color w:val="222222"/>
          <w:shd w:val="clear" w:color="auto" w:fill="FFFFFF"/>
        </w:rPr>
        <w:t>Rovetto, R. J., &amp; Mizoguchi, R. (2015). Causality and the ontology of disease.</w:t>
      </w:r>
      <w:r w:rsidRPr="00B65392">
        <w:rPr>
          <w:rStyle w:val="apple-converted-space"/>
          <w:color w:val="222222"/>
          <w:shd w:val="clear" w:color="auto" w:fill="FFFFFF"/>
        </w:rPr>
        <w:t> </w:t>
      </w:r>
      <w:r w:rsidRPr="00B65392">
        <w:rPr>
          <w:i/>
          <w:iCs/>
          <w:color w:val="222222"/>
        </w:rPr>
        <w:t>Applied Ontology</w:t>
      </w:r>
      <w:r w:rsidRPr="00B65392">
        <w:rPr>
          <w:color w:val="222222"/>
          <w:shd w:val="clear" w:color="auto" w:fill="FFFFFF"/>
        </w:rPr>
        <w:t>,</w:t>
      </w:r>
      <w:r w:rsidRPr="00B65392">
        <w:rPr>
          <w:rStyle w:val="apple-converted-space"/>
          <w:color w:val="222222"/>
          <w:shd w:val="clear" w:color="auto" w:fill="FFFFFF"/>
        </w:rPr>
        <w:t> </w:t>
      </w:r>
      <w:r w:rsidRPr="00B65392">
        <w:rPr>
          <w:i/>
          <w:iCs/>
          <w:color w:val="222222"/>
        </w:rPr>
        <w:t>10</w:t>
      </w:r>
      <w:r w:rsidRPr="00B65392">
        <w:rPr>
          <w:color w:val="222222"/>
          <w:shd w:val="clear" w:color="auto" w:fill="FFFFFF"/>
        </w:rPr>
        <w:t>(2), 79-105.</w:t>
      </w:r>
    </w:p>
    <w:p w14:paraId="1AC7A773"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Seibt J (2018) Ontological tools for the process turn in biology. In: Nicholson DJ, Dupré J, editors. </w:t>
      </w:r>
      <w:r w:rsidRPr="00B65392">
        <w:rPr>
          <w:rFonts w:asciiTheme="majorBidi" w:hAnsiTheme="majorBidi" w:cstheme="majorBidi"/>
          <w:i/>
          <w:iCs/>
        </w:rPr>
        <w:t>Everything flows: towards a processual philosophy of biology</w:t>
      </w:r>
      <w:r w:rsidRPr="00B65392">
        <w:rPr>
          <w:rFonts w:asciiTheme="majorBidi" w:hAnsiTheme="majorBidi" w:cstheme="majorBidi"/>
        </w:rPr>
        <w:t>. Oxford: Oxford University Press; pp. 113–136. https://doi.org/10.1093/oso/9780198779636.003.0006.</w:t>
      </w:r>
    </w:p>
    <w:p w14:paraId="786FAF74"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Sell K, Hommes F, Fischer F et al (2022) </w:t>
      </w:r>
      <w:proofErr w:type="gramStart"/>
      <w:r w:rsidRPr="00B65392">
        <w:rPr>
          <w:rFonts w:asciiTheme="majorBidi" w:hAnsiTheme="majorBidi" w:cstheme="majorBidi"/>
        </w:rPr>
        <w:t>Multi-,</w:t>
      </w:r>
      <w:proofErr w:type="gramEnd"/>
      <w:r w:rsidRPr="00B65392">
        <w:rPr>
          <w:rFonts w:asciiTheme="majorBidi" w:hAnsiTheme="majorBidi" w:cstheme="majorBidi"/>
        </w:rPr>
        <w:t xml:space="preserve"> inter-, and </w:t>
      </w:r>
      <w:proofErr w:type="spellStart"/>
      <w:r w:rsidRPr="00B65392">
        <w:rPr>
          <w:rFonts w:asciiTheme="majorBidi" w:hAnsiTheme="majorBidi" w:cstheme="majorBidi"/>
        </w:rPr>
        <w:t>transdisciplinarity</w:t>
      </w:r>
      <w:proofErr w:type="spellEnd"/>
      <w:r w:rsidRPr="00B65392">
        <w:rPr>
          <w:rFonts w:asciiTheme="majorBidi" w:hAnsiTheme="majorBidi" w:cstheme="majorBidi"/>
        </w:rPr>
        <w:t xml:space="preserve"> within the public health workforce: a scoping review to assess definitions and applications of concepts. Int J Environ Res Public Health 19:10902. https://doi.org/10.3390/ijerph191710902.</w:t>
      </w:r>
    </w:p>
    <w:p w14:paraId="6FAAFCAF"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Shah N, Qazi R, Chu XP (2024) Unraveling the tapestry of pain: a comprehensive review of ethnic variations, cultural influences, and physiological mechanisms in pain management and perception. </w:t>
      </w:r>
      <w:proofErr w:type="spellStart"/>
      <w:r w:rsidRPr="00B65392">
        <w:rPr>
          <w:rFonts w:asciiTheme="majorBidi" w:hAnsiTheme="majorBidi" w:cstheme="majorBidi"/>
        </w:rPr>
        <w:t>Cureus</w:t>
      </w:r>
      <w:proofErr w:type="spellEnd"/>
      <w:r w:rsidRPr="00B65392">
        <w:rPr>
          <w:rFonts w:asciiTheme="majorBidi" w:hAnsiTheme="majorBidi" w:cstheme="majorBidi"/>
        </w:rPr>
        <w:t xml:space="preserve"> </w:t>
      </w:r>
      <w:proofErr w:type="gramStart"/>
      <w:r w:rsidRPr="00B65392">
        <w:rPr>
          <w:rFonts w:asciiTheme="majorBidi" w:hAnsiTheme="majorBidi" w:cstheme="majorBidi"/>
        </w:rPr>
        <w:t>16:e</w:t>
      </w:r>
      <w:proofErr w:type="gramEnd"/>
      <w:r w:rsidRPr="00B65392">
        <w:rPr>
          <w:rFonts w:asciiTheme="majorBidi" w:hAnsiTheme="majorBidi" w:cstheme="majorBidi"/>
        </w:rPr>
        <w:t>60692. https://doi.org/10.7759/cureus.60692.</w:t>
      </w:r>
    </w:p>
    <w:p w14:paraId="0DACB60C"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Shi Y, Wu W (2023) Multimodal non-invasive non-pharmacological therapies for chronic pain: mechanisms and progress. BMC Med 21:372. https://doi.org/10.1186/s12916-023-03076-2.</w:t>
      </w:r>
    </w:p>
    <w:p w14:paraId="35D09033"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Skaer TL (2015) Research findings using mindfulness-based interventions for chronic pain. Pain Stud Treat 3:38–45. https://doi.org/10.4236/pst.2015.34005.</w:t>
      </w:r>
    </w:p>
    <w:p w14:paraId="1D38C3F4"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rPr>
        <w:t>Somerman</w:t>
      </w:r>
      <w:proofErr w:type="spellEnd"/>
      <w:r w:rsidRPr="00B65392">
        <w:rPr>
          <w:rFonts w:asciiTheme="majorBidi" w:hAnsiTheme="majorBidi" w:cstheme="majorBidi"/>
        </w:rPr>
        <w:t xml:space="preserve"> M, Mouradian WE (2020) Integrating oral and systemic health: innovations in transdisciplinary science, health care and policy. Front Dent Med 1:599214. https://doi.org/10.3389/fdmed.2020.599214.</w:t>
      </w:r>
    </w:p>
    <w:p w14:paraId="25C22FCC"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Stilwell P, Harman K (2019) An enactive approach to pain: beyond the biopsychosocial model. </w:t>
      </w:r>
      <w:proofErr w:type="spellStart"/>
      <w:r w:rsidRPr="00B65392">
        <w:rPr>
          <w:rFonts w:asciiTheme="majorBidi" w:hAnsiTheme="majorBidi" w:cstheme="majorBidi"/>
        </w:rPr>
        <w:t>Phenomenol</w:t>
      </w:r>
      <w:proofErr w:type="spellEnd"/>
      <w:r w:rsidRPr="00B65392">
        <w:rPr>
          <w:rFonts w:asciiTheme="majorBidi" w:hAnsiTheme="majorBidi" w:cstheme="majorBidi"/>
        </w:rPr>
        <w:t xml:space="preserve"> </w:t>
      </w:r>
      <w:proofErr w:type="spellStart"/>
      <w:r w:rsidRPr="00B65392">
        <w:rPr>
          <w:rFonts w:asciiTheme="majorBidi" w:hAnsiTheme="majorBidi" w:cstheme="majorBidi"/>
        </w:rPr>
        <w:t>Cogn</w:t>
      </w:r>
      <w:proofErr w:type="spellEnd"/>
      <w:r w:rsidRPr="00B65392">
        <w:rPr>
          <w:rFonts w:asciiTheme="majorBidi" w:hAnsiTheme="majorBidi" w:cstheme="majorBidi"/>
        </w:rPr>
        <w:t xml:space="preserve"> Sci 18:637–665. https://doi.org/10.1007/s11097-019-09624-7.</w:t>
      </w:r>
    </w:p>
    <w:p w14:paraId="25B07BE1"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Tapp H, White L, Steuerwald M et al (2013) Use of community-based participatory research in primary care to improve healthcare outcomes and disparities in care. J Comp Eff Res 22:405–419. https://doi.org/10.2217/cer.13.45.</w:t>
      </w:r>
    </w:p>
    <w:p w14:paraId="7E8D2740"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lastRenderedPageBreak/>
        <w:t>Tobias Mortlock JM, Alapati HH, Edginton T (2025) How to create a mindful community of practice: exploring the social functions of group-based mindfulness practices facilitated via Zoom during Covid-19. Front Psychol 16:1356057. https://doi.org/10.3389/fpsyg.2025.1356057.</w:t>
      </w:r>
    </w:p>
    <w:p w14:paraId="0827AB27" w14:textId="77777777" w:rsidR="00381710" w:rsidRPr="005965EA" w:rsidRDefault="00381710" w:rsidP="00EB4ED6">
      <w:pPr>
        <w:pStyle w:val="ListParagraph"/>
        <w:numPr>
          <w:ilvl w:val="0"/>
          <w:numId w:val="3"/>
        </w:numPr>
        <w:snapToGrid w:val="0"/>
        <w:ind w:left="426"/>
        <w:rPr>
          <w:rFonts w:asciiTheme="majorBidi" w:hAnsiTheme="majorBidi" w:cstheme="majorBidi"/>
          <w:lang w:val="pl-PL"/>
        </w:rPr>
      </w:pPr>
      <w:r w:rsidRPr="00B65392">
        <w:rPr>
          <w:rFonts w:asciiTheme="majorBidi" w:hAnsiTheme="majorBidi" w:cstheme="majorBidi"/>
        </w:rPr>
        <w:t xml:space="preserve">Van Dijk L (2021) Affordances in a multispecies entanglement. </w:t>
      </w:r>
      <w:r w:rsidRPr="005965EA">
        <w:rPr>
          <w:rFonts w:asciiTheme="majorBidi" w:hAnsiTheme="majorBidi" w:cstheme="majorBidi"/>
          <w:lang w:val="pl-PL"/>
        </w:rPr>
        <w:t xml:space="preserve">Ecol Psychol 33:73–89. </w:t>
      </w:r>
      <w:r w:rsidRPr="005965EA">
        <w:rPr>
          <w:lang w:val="pl-PL"/>
        </w:rPr>
        <w:t>https://doi.org/10.1080/10407413.2021.1885978</w:t>
      </w:r>
      <w:r w:rsidRPr="005965EA">
        <w:rPr>
          <w:rFonts w:asciiTheme="majorBidi" w:hAnsiTheme="majorBidi" w:cstheme="majorBidi"/>
          <w:lang w:val="pl-PL"/>
        </w:rPr>
        <w:t>.</w:t>
      </w:r>
    </w:p>
    <w:p w14:paraId="74DDB608"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Van der </w:t>
      </w:r>
      <w:proofErr w:type="spellStart"/>
      <w:r w:rsidRPr="00B65392">
        <w:rPr>
          <w:rFonts w:asciiTheme="majorBidi" w:hAnsiTheme="majorBidi" w:cstheme="majorBidi"/>
        </w:rPr>
        <w:t>Vlegel</w:t>
      </w:r>
      <w:proofErr w:type="spellEnd"/>
      <w:r w:rsidRPr="00B65392">
        <w:rPr>
          <w:rFonts w:asciiTheme="majorBidi" w:hAnsiTheme="majorBidi" w:cstheme="majorBidi"/>
        </w:rPr>
        <w:t xml:space="preserve">-Brouwer W, </w:t>
      </w:r>
      <w:proofErr w:type="spellStart"/>
      <w:r w:rsidRPr="00B65392">
        <w:rPr>
          <w:rFonts w:asciiTheme="majorBidi" w:hAnsiTheme="majorBidi" w:cstheme="majorBidi"/>
        </w:rPr>
        <w:t>Eelderink</w:t>
      </w:r>
      <w:proofErr w:type="spellEnd"/>
      <w:r w:rsidRPr="00B65392">
        <w:rPr>
          <w:rFonts w:asciiTheme="majorBidi" w:hAnsiTheme="majorBidi" w:cstheme="majorBidi"/>
        </w:rPr>
        <w:t xml:space="preserve"> M, </w:t>
      </w:r>
      <w:proofErr w:type="spellStart"/>
      <w:r w:rsidRPr="00B65392">
        <w:rPr>
          <w:rFonts w:asciiTheme="majorBidi" w:hAnsiTheme="majorBidi" w:cstheme="majorBidi"/>
        </w:rPr>
        <w:t>Bussemaker</w:t>
      </w:r>
      <w:proofErr w:type="spellEnd"/>
      <w:r w:rsidRPr="00B65392">
        <w:rPr>
          <w:rFonts w:asciiTheme="majorBidi" w:hAnsiTheme="majorBidi" w:cstheme="majorBidi"/>
        </w:rPr>
        <w:t xml:space="preserve"> J (2023) Participatory action research as a driver for health promotion and prevention: a co-creation process between professionals and citizens in a deprived </w:t>
      </w:r>
      <w:proofErr w:type="spellStart"/>
      <w:r w:rsidRPr="00B65392">
        <w:rPr>
          <w:rFonts w:asciiTheme="majorBidi" w:hAnsiTheme="majorBidi" w:cstheme="majorBidi"/>
        </w:rPr>
        <w:t>neighbourhood</w:t>
      </w:r>
      <w:proofErr w:type="spellEnd"/>
      <w:r w:rsidRPr="00B65392">
        <w:rPr>
          <w:rFonts w:asciiTheme="majorBidi" w:hAnsiTheme="majorBidi" w:cstheme="majorBidi"/>
        </w:rPr>
        <w:t xml:space="preserve"> in The Hague. Int J </w:t>
      </w:r>
      <w:proofErr w:type="spellStart"/>
      <w:r w:rsidRPr="00B65392">
        <w:rPr>
          <w:rFonts w:asciiTheme="majorBidi" w:hAnsiTheme="majorBidi" w:cstheme="majorBidi"/>
        </w:rPr>
        <w:t>Integr</w:t>
      </w:r>
      <w:proofErr w:type="spellEnd"/>
      <w:r w:rsidRPr="00B65392">
        <w:rPr>
          <w:rFonts w:asciiTheme="majorBidi" w:hAnsiTheme="majorBidi" w:cstheme="majorBidi"/>
        </w:rPr>
        <w:t xml:space="preserve"> Care 23:13. https://doi.org/10.5334/ijic.7560.</w:t>
      </w:r>
    </w:p>
    <w:p w14:paraId="789D39F4" w14:textId="77777777" w:rsidR="00381710" w:rsidRPr="00B65392" w:rsidRDefault="00381710" w:rsidP="00EB4ED6">
      <w:pPr>
        <w:pStyle w:val="ListParagraph"/>
        <w:numPr>
          <w:ilvl w:val="0"/>
          <w:numId w:val="3"/>
        </w:numPr>
        <w:snapToGrid w:val="0"/>
        <w:ind w:left="426"/>
        <w:rPr>
          <w:rFonts w:asciiTheme="majorBidi" w:hAnsiTheme="majorBidi" w:cstheme="majorBidi"/>
        </w:rPr>
      </w:pPr>
      <w:proofErr w:type="spellStart"/>
      <w:r w:rsidRPr="00B65392">
        <w:rPr>
          <w:rFonts w:asciiTheme="majorBidi" w:hAnsiTheme="majorBidi" w:cstheme="majorBidi"/>
          <w:lang w:val="en-GB"/>
        </w:rPr>
        <w:t>Vienni</w:t>
      </w:r>
      <w:proofErr w:type="spellEnd"/>
      <w:r w:rsidRPr="00B65392">
        <w:rPr>
          <w:rFonts w:asciiTheme="majorBidi" w:hAnsiTheme="majorBidi" w:cstheme="majorBidi"/>
          <w:lang w:val="en-GB"/>
        </w:rPr>
        <w:t xml:space="preserve">-Baptista B, Pohl CE (2024) </w:t>
      </w:r>
      <w:r w:rsidRPr="00B65392">
        <w:rPr>
          <w:rFonts w:asciiTheme="majorBidi" w:hAnsiTheme="majorBidi" w:cstheme="majorBidi"/>
        </w:rPr>
        <w:t xml:space="preserve">Exploring interdisciplinarity and </w:t>
      </w:r>
      <w:proofErr w:type="spellStart"/>
      <w:r w:rsidRPr="00B65392">
        <w:rPr>
          <w:rFonts w:asciiTheme="majorBidi" w:hAnsiTheme="majorBidi" w:cstheme="majorBidi"/>
        </w:rPr>
        <w:t>transdisciplinarity</w:t>
      </w:r>
      <w:proofErr w:type="spellEnd"/>
      <w:r w:rsidRPr="00B65392">
        <w:rPr>
          <w:rFonts w:asciiTheme="majorBidi" w:hAnsiTheme="majorBidi" w:cstheme="majorBidi"/>
        </w:rPr>
        <w:t xml:space="preserve"> as knowledge regimes: a heuristic tool for disentangling understandings in academia and policy. Sci Technol Hum Values 49:1309–1348. https://doi.org/10.1177/01622439231216789.</w:t>
      </w:r>
    </w:p>
    <w:p w14:paraId="42C538F5"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Yang L, Shewchuk B, Shang C et al (2023) Transdisciplinary team science in health research, where are we? J </w:t>
      </w:r>
      <w:proofErr w:type="spellStart"/>
      <w:r w:rsidRPr="00B65392">
        <w:rPr>
          <w:rFonts w:asciiTheme="majorBidi" w:hAnsiTheme="majorBidi" w:cstheme="majorBidi"/>
        </w:rPr>
        <w:t>Integr</w:t>
      </w:r>
      <w:proofErr w:type="spellEnd"/>
      <w:r w:rsidRPr="00B65392">
        <w:rPr>
          <w:rFonts w:asciiTheme="majorBidi" w:hAnsiTheme="majorBidi" w:cstheme="majorBidi"/>
        </w:rPr>
        <w:t xml:space="preserve"> </w:t>
      </w:r>
      <w:proofErr w:type="gramStart"/>
      <w:r w:rsidRPr="00B65392">
        <w:rPr>
          <w:rFonts w:asciiTheme="majorBidi" w:hAnsiTheme="majorBidi" w:cstheme="majorBidi"/>
        </w:rPr>
        <w:t>Des</w:t>
      </w:r>
      <w:proofErr w:type="gramEnd"/>
      <w:r w:rsidRPr="00B65392">
        <w:rPr>
          <w:rFonts w:asciiTheme="majorBidi" w:hAnsiTheme="majorBidi" w:cstheme="majorBidi"/>
        </w:rPr>
        <w:t xml:space="preserve"> Process Sci 26:307–316. https://doi.org/10.3233/JID-220011.</w:t>
      </w:r>
    </w:p>
    <w:p w14:paraId="2326D776"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Yılmazer E, </w:t>
      </w:r>
      <w:proofErr w:type="spellStart"/>
      <w:r w:rsidRPr="00B65392">
        <w:rPr>
          <w:rFonts w:asciiTheme="majorBidi" w:hAnsiTheme="majorBidi" w:cstheme="majorBidi"/>
        </w:rPr>
        <w:t>Altinok</w:t>
      </w:r>
      <w:proofErr w:type="spellEnd"/>
      <w:r w:rsidRPr="00B65392">
        <w:rPr>
          <w:rFonts w:asciiTheme="majorBidi" w:hAnsiTheme="majorBidi" w:cstheme="majorBidi"/>
        </w:rPr>
        <w:t xml:space="preserve"> A (2024) Innovating mindfulness-based stress reduction (MBSR) delivery in cancer care: enhancing accessibility and engagement. Clin Cancer </w:t>
      </w:r>
      <w:proofErr w:type="spellStart"/>
      <w:r w:rsidRPr="00B65392">
        <w:rPr>
          <w:rFonts w:asciiTheme="majorBidi" w:hAnsiTheme="majorBidi" w:cstheme="majorBidi"/>
        </w:rPr>
        <w:t>Investig</w:t>
      </w:r>
      <w:proofErr w:type="spellEnd"/>
      <w:r w:rsidRPr="00B65392">
        <w:rPr>
          <w:rFonts w:asciiTheme="majorBidi" w:hAnsiTheme="majorBidi" w:cstheme="majorBidi"/>
        </w:rPr>
        <w:t xml:space="preserve"> J 13:6–15. https://doi.org/10.51847/lrPe9pz2wg.</w:t>
      </w:r>
    </w:p>
    <w:p w14:paraId="24249625" w14:textId="77777777" w:rsidR="00381710" w:rsidRPr="00B65392"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rPr>
        <w:t xml:space="preserve">Zeidan F, Vago DR (2016) Mindfulness meditation-based pain relief: a mechanistic account. Ann N Y </w:t>
      </w:r>
      <w:proofErr w:type="spellStart"/>
      <w:r w:rsidRPr="00B65392">
        <w:rPr>
          <w:rFonts w:asciiTheme="majorBidi" w:hAnsiTheme="majorBidi" w:cstheme="majorBidi"/>
        </w:rPr>
        <w:t>Acad</w:t>
      </w:r>
      <w:proofErr w:type="spellEnd"/>
      <w:r w:rsidRPr="00B65392">
        <w:rPr>
          <w:rFonts w:asciiTheme="majorBidi" w:hAnsiTheme="majorBidi" w:cstheme="majorBidi"/>
        </w:rPr>
        <w:t xml:space="preserve"> Sci 1373:114–127. https://doi.org/10.1111/nyas.13153.</w:t>
      </w:r>
    </w:p>
    <w:p w14:paraId="0B323806" w14:textId="24474614" w:rsidR="00F04504" w:rsidRPr="00EB4ED6" w:rsidRDefault="00381710" w:rsidP="00EB4ED6">
      <w:pPr>
        <w:pStyle w:val="ListParagraph"/>
        <w:numPr>
          <w:ilvl w:val="0"/>
          <w:numId w:val="3"/>
        </w:numPr>
        <w:snapToGrid w:val="0"/>
        <w:ind w:left="426"/>
        <w:rPr>
          <w:rFonts w:asciiTheme="majorBidi" w:hAnsiTheme="majorBidi" w:cstheme="majorBidi"/>
        </w:rPr>
      </w:pPr>
      <w:r w:rsidRPr="00B65392">
        <w:rPr>
          <w:rFonts w:asciiTheme="majorBidi" w:hAnsiTheme="majorBidi" w:cstheme="majorBidi"/>
          <w:lang w:val="en-GB"/>
        </w:rPr>
        <w:t xml:space="preserve">Zeidan F, Baumgartner JN, Coghill RC (2019) </w:t>
      </w:r>
      <w:r w:rsidRPr="00B65392">
        <w:rPr>
          <w:rFonts w:asciiTheme="majorBidi" w:hAnsiTheme="majorBidi" w:cstheme="majorBidi"/>
        </w:rPr>
        <w:t xml:space="preserve">The neural mechanisms of mindfulness-based pain relief: a functional magnetic resonance imaging-based review and primer. PAIN Rep </w:t>
      </w:r>
      <w:proofErr w:type="gramStart"/>
      <w:r w:rsidRPr="00B65392">
        <w:rPr>
          <w:rFonts w:asciiTheme="majorBidi" w:hAnsiTheme="majorBidi" w:cstheme="majorBidi"/>
        </w:rPr>
        <w:t>4:e</w:t>
      </w:r>
      <w:proofErr w:type="gramEnd"/>
      <w:r w:rsidRPr="00B65392">
        <w:rPr>
          <w:rFonts w:asciiTheme="majorBidi" w:hAnsiTheme="majorBidi" w:cstheme="majorBidi"/>
        </w:rPr>
        <w:t>759. https://doi.org/10.1097/PR9.0000000000000759.</w:t>
      </w:r>
    </w:p>
    <w:sectPr w:rsidR="00F04504" w:rsidRPr="00EB4ED6" w:rsidSect="000E5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
    <w:panose1 w:val="020B0604020202020204"/>
    <w:charset w:val="00"/>
    <w:family w:val="auto"/>
    <w:pitch w:val="variable"/>
    <w:sig w:usb0="E00002FF" w:usb1="5000785B"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dy 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106AB"/>
    <w:multiLevelType w:val="hybridMultilevel"/>
    <w:tmpl w:val="6EE4B9C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20046"/>
    <w:multiLevelType w:val="multilevel"/>
    <w:tmpl w:val="4602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C04AF"/>
    <w:multiLevelType w:val="hybridMultilevel"/>
    <w:tmpl w:val="CF325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B44D1"/>
    <w:multiLevelType w:val="multilevel"/>
    <w:tmpl w:val="6EE81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9821FA"/>
    <w:multiLevelType w:val="multilevel"/>
    <w:tmpl w:val="37C8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D1717"/>
    <w:multiLevelType w:val="multilevel"/>
    <w:tmpl w:val="1C76495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F9361E"/>
    <w:multiLevelType w:val="multilevel"/>
    <w:tmpl w:val="1C76495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8C3BBA"/>
    <w:multiLevelType w:val="multilevel"/>
    <w:tmpl w:val="04F6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95687"/>
    <w:multiLevelType w:val="hybridMultilevel"/>
    <w:tmpl w:val="84AC5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5F7B18"/>
    <w:multiLevelType w:val="hybridMultilevel"/>
    <w:tmpl w:val="30EC5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F61F0"/>
    <w:multiLevelType w:val="hybridMultilevel"/>
    <w:tmpl w:val="FBE66B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FD02FC"/>
    <w:multiLevelType w:val="multilevel"/>
    <w:tmpl w:val="64C8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B60F6"/>
    <w:multiLevelType w:val="hybridMultilevel"/>
    <w:tmpl w:val="1E88C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E0D30"/>
    <w:multiLevelType w:val="multilevel"/>
    <w:tmpl w:val="1452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FB3E06"/>
    <w:multiLevelType w:val="multilevel"/>
    <w:tmpl w:val="366C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7B2EA4"/>
    <w:multiLevelType w:val="hybridMultilevel"/>
    <w:tmpl w:val="FDCE6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310659"/>
    <w:multiLevelType w:val="multilevel"/>
    <w:tmpl w:val="505E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005F9A"/>
    <w:multiLevelType w:val="hybridMultilevel"/>
    <w:tmpl w:val="4A3EBF96"/>
    <w:lvl w:ilvl="0" w:tplc="EA624E2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DE30CE"/>
    <w:multiLevelType w:val="hybridMultilevel"/>
    <w:tmpl w:val="CA1E911E"/>
    <w:lvl w:ilvl="0" w:tplc="EA624E2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F92AC3"/>
    <w:multiLevelType w:val="multilevel"/>
    <w:tmpl w:val="6EE814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39408A"/>
    <w:multiLevelType w:val="hybridMultilevel"/>
    <w:tmpl w:val="757A52E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037F96"/>
    <w:multiLevelType w:val="hybridMultilevel"/>
    <w:tmpl w:val="02945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B505C"/>
    <w:multiLevelType w:val="multilevel"/>
    <w:tmpl w:val="19E0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2A7C09"/>
    <w:multiLevelType w:val="hybridMultilevel"/>
    <w:tmpl w:val="1262B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072E71"/>
    <w:multiLevelType w:val="multilevel"/>
    <w:tmpl w:val="D28E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056117"/>
    <w:multiLevelType w:val="multilevel"/>
    <w:tmpl w:val="12AA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0C7C20"/>
    <w:multiLevelType w:val="hybridMultilevel"/>
    <w:tmpl w:val="3384D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112337"/>
    <w:multiLevelType w:val="hybridMultilevel"/>
    <w:tmpl w:val="6E2AA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4654AF"/>
    <w:multiLevelType w:val="hybridMultilevel"/>
    <w:tmpl w:val="00E6F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154D01"/>
    <w:multiLevelType w:val="multilevel"/>
    <w:tmpl w:val="DF46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F648AB"/>
    <w:multiLevelType w:val="multilevel"/>
    <w:tmpl w:val="24B8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124301"/>
    <w:multiLevelType w:val="hybridMultilevel"/>
    <w:tmpl w:val="6A165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3E4221"/>
    <w:multiLevelType w:val="multilevel"/>
    <w:tmpl w:val="6EE81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A64E10"/>
    <w:multiLevelType w:val="hybridMultilevel"/>
    <w:tmpl w:val="10500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BA508B"/>
    <w:multiLevelType w:val="multilevel"/>
    <w:tmpl w:val="6742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ABB4B1C"/>
    <w:multiLevelType w:val="multilevel"/>
    <w:tmpl w:val="8424C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1C2EAB"/>
    <w:multiLevelType w:val="hybridMultilevel"/>
    <w:tmpl w:val="266C5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231544"/>
    <w:multiLevelType w:val="multilevel"/>
    <w:tmpl w:val="0F40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981941"/>
    <w:multiLevelType w:val="hybridMultilevel"/>
    <w:tmpl w:val="F3BCF590"/>
    <w:lvl w:ilvl="0" w:tplc="EA624E2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13051B"/>
    <w:multiLevelType w:val="hybridMultilevel"/>
    <w:tmpl w:val="09263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B83A0A"/>
    <w:multiLevelType w:val="multilevel"/>
    <w:tmpl w:val="7FDA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C10A07"/>
    <w:multiLevelType w:val="multilevel"/>
    <w:tmpl w:val="B4328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787BB8"/>
    <w:multiLevelType w:val="hybridMultilevel"/>
    <w:tmpl w:val="D0B43A24"/>
    <w:lvl w:ilvl="0" w:tplc="EA624E2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A94E45"/>
    <w:multiLevelType w:val="hybridMultilevel"/>
    <w:tmpl w:val="CCE4D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7C36CF"/>
    <w:multiLevelType w:val="multilevel"/>
    <w:tmpl w:val="1C76495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A560D20"/>
    <w:multiLevelType w:val="multilevel"/>
    <w:tmpl w:val="9158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7F2895"/>
    <w:multiLevelType w:val="hybridMultilevel"/>
    <w:tmpl w:val="41D88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2E001E"/>
    <w:multiLevelType w:val="hybridMultilevel"/>
    <w:tmpl w:val="56649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1E21943"/>
    <w:multiLevelType w:val="hybridMultilevel"/>
    <w:tmpl w:val="C6BCA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2DB6CB1"/>
    <w:multiLevelType w:val="multilevel"/>
    <w:tmpl w:val="3F86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1053D9"/>
    <w:multiLevelType w:val="multilevel"/>
    <w:tmpl w:val="CBBC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86463D"/>
    <w:multiLevelType w:val="hybridMultilevel"/>
    <w:tmpl w:val="A4640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8E354F3"/>
    <w:multiLevelType w:val="hybridMultilevel"/>
    <w:tmpl w:val="4EB88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31781D"/>
    <w:multiLevelType w:val="hybridMultilevel"/>
    <w:tmpl w:val="AAF04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A385CF1"/>
    <w:multiLevelType w:val="hybridMultilevel"/>
    <w:tmpl w:val="739C82D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C8B0198"/>
    <w:multiLevelType w:val="multilevel"/>
    <w:tmpl w:val="A814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BF0CB9"/>
    <w:multiLevelType w:val="multilevel"/>
    <w:tmpl w:val="8560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D04629"/>
    <w:multiLevelType w:val="multilevel"/>
    <w:tmpl w:val="8AE4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5663FE"/>
    <w:multiLevelType w:val="multilevel"/>
    <w:tmpl w:val="8A46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4E02C8A"/>
    <w:multiLevelType w:val="multilevel"/>
    <w:tmpl w:val="DD88338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577454C"/>
    <w:multiLevelType w:val="multilevel"/>
    <w:tmpl w:val="78583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85317A6"/>
    <w:multiLevelType w:val="multilevel"/>
    <w:tmpl w:val="048C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8F01353"/>
    <w:multiLevelType w:val="multilevel"/>
    <w:tmpl w:val="2AE0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D1F10A8"/>
    <w:multiLevelType w:val="multilevel"/>
    <w:tmpl w:val="1C76495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D954474"/>
    <w:multiLevelType w:val="multilevel"/>
    <w:tmpl w:val="920E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3360A3"/>
    <w:multiLevelType w:val="multilevel"/>
    <w:tmpl w:val="120E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2D3816"/>
    <w:multiLevelType w:val="hybridMultilevel"/>
    <w:tmpl w:val="BC06A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2D935C0"/>
    <w:multiLevelType w:val="multilevel"/>
    <w:tmpl w:val="84C8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E71D71"/>
    <w:multiLevelType w:val="hybridMultilevel"/>
    <w:tmpl w:val="4934D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5075A07"/>
    <w:multiLevelType w:val="hybridMultilevel"/>
    <w:tmpl w:val="1924F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54B226D"/>
    <w:multiLevelType w:val="multilevel"/>
    <w:tmpl w:val="B59E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081494"/>
    <w:multiLevelType w:val="multilevel"/>
    <w:tmpl w:val="2BEC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44661D"/>
    <w:multiLevelType w:val="multilevel"/>
    <w:tmpl w:val="4BB8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7C335C"/>
    <w:multiLevelType w:val="hybridMultilevel"/>
    <w:tmpl w:val="E90C0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EB35F30"/>
    <w:multiLevelType w:val="multilevel"/>
    <w:tmpl w:val="15CC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930498">
    <w:abstractNumId w:val="42"/>
  </w:num>
  <w:num w:numId="2" w16cid:durableId="719865980">
    <w:abstractNumId w:val="47"/>
  </w:num>
  <w:num w:numId="3" w16cid:durableId="916480285">
    <w:abstractNumId w:val="52"/>
  </w:num>
  <w:num w:numId="4" w16cid:durableId="2103254030">
    <w:abstractNumId w:val="2"/>
  </w:num>
  <w:num w:numId="5" w16cid:durableId="168909615">
    <w:abstractNumId w:val="43"/>
  </w:num>
  <w:num w:numId="6" w16cid:durableId="1145665408">
    <w:abstractNumId w:val="20"/>
  </w:num>
  <w:num w:numId="7" w16cid:durableId="294912082">
    <w:abstractNumId w:val="59"/>
  </w:num>
  <w:num w:numId="8" w16cid:durableId="1826437441">
    <w:abstractNumId w:val="34"/>
  </w:num>
  <w:num w:numId="9" w16cid:durableId="821385921">
    <w:abstractNumId w:val="8"/>
  </w:num>
  <w:num w:numId="10" w16cid:durableId="1045106664">
    <w:abstractNumId w:val="21"/>
  </w:num>
  <w:num w:numId="11" w16cid:durableId="1180780691">
    <w:abstractNumId w:val="5"/>
  </w:num>
  <w:num w:numId="12" w16cid:durableId="1064985650">
    <w:abstractNumId w:val="63"/>
  </w:num>
  <w:num w:numId="13" w16cid:durableId="1152058818">
    <w:abstractNumId w:val="6"/>
  </w:num>
  <w:num w:numId="14" w16cid:durableId="1266693773">
    <w:abstractNumId w:val="44"/>
  </w:num>
  <w:num w:numId="15" w16cid:durableId="1038317288">
    <w:abstractNumId w:val="26"/>
  </w:num>
  <w:num w:numId="16" w16cid:durableId="920413103">
    <w:abstractNumId w:val="15"/>
  </w:num>
  <w:num w:numId="17" w16cid:durableId="1336882328">
    <w:abstractNumId w:val="53"/>
  </w:num>
  <w:num w:numId="18" w16cid:durableId="1352339985">
    <w:abstractNumId w:val="0"/>
  </w:num>
  <w:num w:numId="19" w16cid:durableId="171144986">
    <w:abstractNumId w:val="73"/>
  </w:num>
  <w:num w:numId="20" w16cid:durableId="1817643856">
    <w:abstractNumId w:val="33"/>
  </w:num>
  <w:num w:numId="21" w16cid:durableId="2067138672">
    <w:abstractNumId w:val="69"/>
  </w:num>
  <w:num w:numId="22" w16cid:durableId="315110380">
    <w:abstractNumId w:val="68"/>
  </w:num>
  <w:num w:numId="23" w16cid:durableId="1495491472">
    <w:abstractNumId w:val="51"/>
  </w:num>
  <w:num w:numId="24" w16cid:durableId="1811704359">
    <w:abstractNumId w:val="9"/>
  </w:num>
  <w:num w:numId="25" w16cid:durableId="1588920341">
    <w:abstractNumId w:val="27"/>
  </w:num>
  <w:num w:numId="26" w16cid:durableId="704672367">
    <w:abstractNumId w:val="36"/>
  </w:num>
  <w:num w:numId="27" w16cid:durableId="1292977399">
    <w:abstractNumId w:val="46"/>
  </w:num>
  <w:num w:numId="28" w16cid:durableId="1892617379">
    <w:abstractNumId w:val="39"/>
  </w:num>
  <w:num w:numId="29" w16cid:durableId="181016096">
    <w:abstractNumId w:val="28"/>
  </w:num>
  <w:num w:numId="30" w16cid:durableId="115221930">
    <w:abstractNumId w:val="48"/>
  </w:num>
  <w:num w:numId="31" w16cid:durableId="507906974">
    <w:abstractNumId w:val="31"/>
  </w:num>
  <w:num w:numId="32" w16cid:durableId="966282405">
    <w:abstractNumId w:val="12"/>
  </w:num>
  <w:num w:numId="33" w16cid:durableId="837309925">
    <w:abstractNumId w:val="19"/>
  </w:num>
  <w:num w:numId="34" w16cid:durableId="1263611528">
    <w:abstractNumId w:val="3"/>
  </w:num>
  <w:num w:numId="35" w16cid:durableId="851409042">
    <w:abstractNumId w:val="32"/>
  </w:num>
  <w:num w:numId="36" w16cid:durableId="1361974741">
    <w:abstractNumId w:val="66"/>
  </w:num>
  <w:num w:numId="37" w16cid:durableId="1404328999">
    <w:abstractNumId w:val="23"/>
  </w:num>
  <w:num w:numId="38" w16cid:durableId="1965428800">
    <w:abstractNumId w:val="54"/>
  </w:num>
  <w:num w:numId="39" w16cid:durableId="2066906601">
    <w:abstractNumId w:val="17"/>
  </w:num>
  <w:num w:numId="40" w16cid:durableId="1369329160">
    <w:abstractNumId w:val="18"/>
  </w:num>
  <w:num w:numId="41" w16cid:durableId="1064520964">
    <w:abstractNumId w:val="38"/>
  </w:num>
  <w:num w:numId="42" w16cid:durableId="1669014605">
    <w:abstractNumId w:val="60"/>
  </w:num>
  <w:num w:numId="43" w16cid:durableId="1883131503">
    <w:abstractNumId w:val="55"/>
  </w:num>
  <w:num w:numId="44" w16cid:durableId="1552186166">
    <w:abstractNumId w:val="40"/>
  </w:num>
  <w:num w:numId="45" w16cid:durableId="2010792364">
    <w:abstractNumId w:val="62"/>
  </w:num>
  <w:num w:numId="46" w16cid:durableId="1198393195">
    <w:abstractNumId w:val="16"/>
  </w:num>
  <w:num w:numId="47" w16cid:durableId="52167930">
    <w:abstractNumId w:val="71"/>
  </w:num>
  <w:num w:numId="48" w16cid:durableId="449398298">
    <w:abstractNumId w:val="4"/>
  </w:num>
  <w:num w:numId="49" w16cid:durableId="1516846177">
    <w:abstractNumId w:val="50"/>
  </w:num>
  <w:num w:numId="50" w16cid:durableId="1398936647">
    <w:abstractNumId w:val="45"/>
  </w:num>
  <w:num w:numId="51" w16cid:durableId="1355106635">
    <w:abstractNumId w:val="41"/>
  </w:num>
  <w:num w:numId="52" w16cid:durableId="914127498">
    <w:abstractNumId w:val="29"/>
  </w:num>
  <w:num w:numId="53" w16cid:durableId="5527170">
    <w:abstractNumId w:val="14"/>
  </w:num>
  <w:num w:numId="54" w16cid:durableId="752775691">
    <w:abstractNumId w:val="58"/>
  </w:num>
  <w:num w:numId="55" w16cid:durableId="1737632349">
    <w:abstractNumId w:val="22"/>
  </w:num>
  <w:num w:numId="56" w16cid:durableId="645938069">
    <w:abstractNumId w:val="1"/>
  </w:num>
  <w:num w:numId="57" w16cid:durableId="1306423502">
    <w:abstractNumId w:val="37"/>
  </w:num>
  <w:num w:numId="58" w16cid:durableId="1916360637">
    <w:abstractNumId w:val="7"/>
  </w:num>
  <w:num w:numId="59" w16cid:durableId="1166625098">
    <w:abstractNumId w:val="72"/>
  </w:num>
  <w:num w:numId="60" w16cid:durableId="1450927657">
    <w:abstractNumId w:val="67"/>
  </w:num>
  <w:num w:numId="61" w16cid:durableId="466243501">
    <w:abstractNumId w:val="24"/>
  </w:num>
  <w:num w:numId="62" w16cid:durableId="1848444140">
    <w:abstractNumId w:val="35"/>
  </w:num>
  <w:num w:numId="63" w16cid:durableId="159933752">
    <w:abstractNumId w:val="61"/>
  </w:num>
  <w:num w:numId="64" w16cid:durableId="796794947">
    <w:abstractNumId w:val="56"/>
  </w:num>
  <w:num w:numId="65" w16cid:durableId="2113547382">
    <w:abstractNumId w:val="13"/>
  </w:num>
  <w:num w:numId="66" w16cid:durableId="1654870789">
    <w:abstractNumId w:val="25"/>
  </w:num>
  <w:num w:numId="67" w16cid:durableId="898979211">
    <w:abstractNumId w:val="49"/>
  </w:num>
  <w:num w:numId="68" w16cid:durableId="1601569376">
    <w:abstractNumId w:val="64"/>
  </w:num>
  <w:num w:numId="69" w16cid:durableId="384455714">
    <w:abstractNumId w:val="30"/>
  </w:num>
  <w:num w:numId="70" w16cid:durableId="517890608">
    <w:abstractNumId w:val="11"/>
  </w:num>
  <w:num w:numId="71" w16cid:durableId="1475833396">
    <w:abstractNumId w:val="74"/>
  </w:num>
  <w:num w:numId="72" w16cid:durableId="1590696839">
    <w:abstractNumId w:val="65"/>
  </w:num>
  <w:num w:numId="73" w16cid:durableId="130558684">
    <w:abstractNumId w:val="57"/>
  </w:num>
  <w:num w:numId="74" w16cid:durableId="1653948979">
    <w:abstractNumId w:val="70"/>
  </w:num>
  <w:num w:numId="75" w16cid:durableId="356079023">
    <w:abstractNumId w:val="1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825"/>
    <w:rsid w:val="00004370"/>
    <w:rsid w:val="000106C2"/>
    <w:rsid w:val="000279FE"/>
    <w:rsid w:val="00031600"/>
    <w:rsid w:val="00071169"/>
    <w:rsid w:val="000747DA"/>
    <w:rsid w:val="00085582"/>
    <w:rsid w:val="000B4DFE"/>
    <w:rsid w:val="000B5E4B"/>
    <w:rsid w:val="000B5EE6"/>
    <w:rsid w:val="000B6110"/>
    <w:rsid w:val="000C67B3"/>
    <w:rsid w:val="000C6ADF"/>
    <w:rsid w:val="000D17F3"/>
    <w:rsid w:val="000D7A5C"/>
    <w:rsid w:val="000E577C"/>
    <w:rsid w:val="000F2A82"/>
    <w:rsid w:val="001060AC"/>
    <w:rsid w:val="00114EEF"/>
    <w:rsid w:val="001231BA"/>
    <w:rsid w:val="00124281"/>
    <w:rsid w:val="00135FE3"/>
    <w:rsid w:val="00137203"/>
    <w:rsid w:val="00146213"/>
    <w:rsid w:val="00153825"/>
    <w:rsid w:val="00163B1F"/>
    <w:rsid w:val="00165037"/>
    <w:rsid w:val="00165EAA"/>
    <w:rsid w:val="00171A24"/>
    <w:rsid w:val="00174055"/>
    <w:rsid w:val="00193027"/>
    <w:rsid w:val="001B6075"/>
    <w:rsid w:val="001C2084"/>
    <w:rsid w:val="001C33D6"/>
    <w:rsid w:val="001F2CA8"/>
    <w:rsid w:val="001F3A90"/>
    <w:rsid w:val="001F4A95"/>
    <w:rsid w:val="001F6311"/>
    <w:rsid w:val="002003B9"/>
    <w:rsid w:val="002233D2"/>
    <w:rsid w:val="00246072"/>
    <w:rsid w:val="002633A0"/>
    <w:rsid w:val="0027037C"/>
    <w:rsid w:val="00272556"/>
    <w:rsid w:val="0027538E"/>
    <w:rsid w:val="0028110E"/>
    <w:rsid w:val="00293C88"/>
    <w:rsid w:val="00294FBD"/>
    <w:rsid w:val="002A13E8"/>
    <w:rsid w:val="002B2977"/>
    <w:rsid w:val="002D3281"/>
    <w:rsid w:val="00300AAF"/>
    <w:rsid w:val="00305787"/>
    <w:rsid w:val="00325649"/>
    <w:rsid w:val="00326DFD"/>
    <w:rsid w:val="00327C23"/>
    <w:rsid w:val="00332C3D"/>
    <w:rsid w:val="0038127C"/>
    <w:rsid w:val="00381710"/>
    <w:rsid w:val="00386297"/>
    <w:rsid w:val="00393224"/>
    <w:rsid w:val="003A1236"/>
    <w:rsid w:val="003B0589"/>
    <w:rsid w:val="003B2294"/>
    <w:rsid w:val="003B6C1B"/>
    <w:rsid w:val="003C4536"/>
    <w:rsid w:val="003D5A0F"/>
    <w:rsid w:val="003E6EE4"/>
    <w:rsid w:val="003E7ABC"/>
    <w:rsid w:val="004216CD"/>
    <w:rsid w:val="00425CBE"/>
    <w:rsid w:val="00454947"/>
    <w:rsid w:val="0045503D"/>
    <w:rsid w:val="00462CD5"/>
    <w:rsid w:val="004633BD"/>
    <w:rsid w:val="00465D17"/>
    <w:rsid w:val="00482DCD"/>
    <w:rsid w:val="0048470A"/>
    <w:rsid w:val="00492B57"/>
    <w:rsid w:val="004D095B"/>
    <w:rsid w:val="004D4A76"/>
    <w:rsid w:val="004D5106"/>
    <w:rsid w:val="004D5F54"/>
    <w:rsid w:val="004E08AB"/>
    <w:rsid w:val="004E2CA8"/>
    <w:rsid w:val="004F0070"/>
    <w:rsid w:val="004F3584"/>
    <w:rsid w:val="004F4FA7"/>
    <w:rsid w:val="00520A70"/>
    <w:rsid w:val="00535921"/>
    <w:rsid w:val="0054774E"/>
    <w:rsid w:val="00557A00"/>
    <w:rsid w:val="00557DA8"/>
    <w:rsid w:val="00563B3A"/>
    <w:rsid w:val="005651BC"/>
    <w:rsid w:val="005674AC"/>
    <w:rsid w:val="005965EA"/>
    <w:rsid w:val="005A7FFB"/>
    <w:rsid w:val="005B7605"/>
    <w:rsid w:val="005D2EC7"/>
    <w:rsid w:val="005E76A7"/>
    <w:rsid w:val="005F369E"/>
    <w:rsid w:val="005F5DC7"/>
    <w:rsid w:val="005F7C23"/>
    <w:rsid w:val="006060B0"/>
    <w:rsid w:val="00607E5B"/>
    <w:rsid w:val="006407C7"/>
    <w:rsid w:val="00646C9E"/>
    <w:rsid w:val="0064717D"/>
    <w:rsid w:val="00647358"/>
    <w:rsid w:val="0066302A"/>
    <w:rsid w:val="00665357"/>
    <w:rsid w:val="00667549"/>
    <w:rsid w:val="006714FB"/>
    <w:rsid w:val="0067300A"/>
    <w:rsid w:val="00674278"/>
    <w:rsid w:val="00686BFC"/>
    <w:rsid w:val="00694514"/>
    <w:rsid w:val="006C17F2"/>
    <w:rsid w:val="006C4BEE"/>
    <w:rsid w:val="006F606C"/>
    <w:rsid w:val="006F68B3"/>
    <w:rsid w:val="007044DD"/>
    <w:rsid w:val="0070793F"/>
    <w:rsid w:val="00732EED"/>
    <w:rsid w:val="0074019B"/>
    <w:rsid w:val="0074639D"/>
    <w:rsid w:val="00763748"/>
    <w:rsid w:val="0076530F"/>
    <w:rsid w:val="00765C10"/>
    <w:rsid w:val="00766774"/>
    <w:rsid w:val="00781B02"/>
    <w:rsid w:val="007A794E"/>
    <w:rsid w:val="007B1F69"/>
    <w:rsid w:val="007B3A46"/>
    <w:rsid w:val="007C4D80"/>
    <w:rsid w:val="007D09EE"/>
    <w:rsid w:val="007D1704"/>
    <w:rsid w:val="007E1199"/>
    <w:rsid w:val="007F40A7"/>
    <w:rsid w:val="007F447D"/>
    <w:rsid w:val="00800F4E"/>
    <w:rsid w:val="008034B0"/>
    <w:rsid w:val="00803BA3"/>
    <w:rsid w:val="00806431"/>
    <w:rsid w:val="008070C5"/>
    <w:rsid w:val="008138DB"/>
    <w:rsid w:val="0082039E"/>
    <w:rsid w:val="00833F53"/>
    <w:rsid w:val="00836BAC"/>
    <w:rsid w:val="0083789E"/>
    <w:rsid w:val="0084416C"/>
    <w:rsid w:val="00862F22"/>
    <w:rsid w:val="00863843"/>
    <w:rsid w:val="00874F4E"/>
    <w:rsid w:val="008818F1"/>
    <w:rsid w:val="00885906"/>
    <w:rsid w:val="008A0C0A"/>
    <w:rsid w:val="008A18B3"/>
    <w:rsid w:val="008A5F78"/>
    <w:rsid w:val="008B0BE3"/>
    <w:rsid w:val="008C4C4B"/>
    <w:rsid w:val="008E06C0"/>
    <w:rsid w:val="008F3F85"/>
    <w:rsid w:val="00907B9F"/>
    <w:rsid w:val="009345CC"/>
    <w:rsid w:val="009431B1"/>
    <w:rsid w:val="0094689D"/>
    <w:rsid w:val="009579BC"/>
    <w:rsid w:val="00964361"/>
    <w:rsid w:val="00974DFF"/>
    <w:rsid w:val="00976CB1"/>
    <w:rsid w:val="00986DD6"/>
    <w:rsid w:val="00990503"/>
    <w:rsid w:val="00991DC1"/>
    <w:rsid w:val="009939AD"/>
    <w:rsid w:val="00994343"/>
    <w:rsid w:val="00994F9D"/>
    <w:rsid w:val="009A3F8D"/>
    <w:rsid w:val="009A42FA"/>
    <w:rsid w:val="009C6B90"/>
    <w:rsid w:val="009E2F78"/>
    <w:rsid w:val="009F2A01"/>
    <w:rsid w:val="009F45D2"/>
    <w:rsid w:val="009F4A32"/>
    <w:rsid w:val="00A11532"/>
    <w:rsid w:val="00A320C7"/>
    <w:rsid w:val="00A40626"/>
    <w:rsid w:val="00A42335"/>
    <w:rsid w:val="00A43DF3"/>
    <w:rsid w:val="00A47B5E"/>
    <w:rsid w:val="00A770D9"/>
    <w:rsid w:val="00A95AC9"/>
    <w:rsid w:val="00A96D33"/>
    <w:rsid w:val="00AA3DF9"/>
    <w:rsid w:val="00AA5D05"/>
    <w:rsid w:val="00AB1A6B"/>
    <w:rsid w:val="00AD3667"/>
    <w:rsid w:val="00AD386F"/>
    <w:rsid w:val="00AF0FF8"/>
    <w:rsid w:val="00B000CB"/>
    <w:rsid w:val="00B03C5B"/>
    <w:rsid w:val="00B068B0"/>
    <w:rsid w:val="00B13998"/>
    <w:rsid w:val="00B179B8"/>
    <w:rsid w:val="00B17F9F"/>
    <w:rsid w:val="00B3099D"/>
    <w:rsid w:val="00B345A8"/>
    <w:rsid w:val="00B358DA"/>
    <w:rsid w:val="00B4033F"/>
    <w:rsid w:val="00B424F1"/>
    <w:rsid w:val="00B56023"/>
    <w:rsid w:val="00B561D1"/>
    <w:rsid w:val="00B65D52"/>
    <w:rsid w:val="00B67D77"/>
    <w:rsid w:val="00B74072"/>
    <w:rsid w:val="00B776BA"/>
    <w:rsid w:val="00B8301F"/>
    <w:rsid w:val="00B93F1C"/>
    <w:rsid w:val="00B941AD"/>
    <w:rsid w:val="00BB0944"/>
    <w:rsid w:val="00BD5D3C"/>
    <w:rsid w:val="00BD723C"/>
    <w:rsid w:val="00BE51A9"/>
    <w:rsid w:val="00C067B3"/>
    <w:rsid w:val="00C14B2B"/>
    <w:rsid w:val="00C3584B"/>
    <w:rsid w:val="00C36490"/>
    <w:rsid w:val="00C4335B"/>
    <w:rsid w:val="00C5574B"/>
    <w:rsid w:val="00C60EF0"/>
    <w:rsid w:val="00C61209"/>
    <w:rsid w:val="00C71A33"/>
    <w:rsid w:val="00C9621D"/>
    <w:rsid w:val="00C964C9"/>
    <w:rsid w:val="00CA4597"/>
    <w:rsid w:val="00CB6413"/>
    <w:rsid w:val="00CC10D2"/>
    <w:rsid w:val="00CD057F"/>
    <w:rsid w:val="00CD5E3E"/>
    <w:rsid w:val="00CE2575"/>
    <w:rsid w:val="00CE507B"/>
    <w:rsid w:val="00CE622C"/>
    <w:rsid w:val="00CF59AF"/>
    <w:rsid w:val="00CF71FC"/>
    <w:rsid w:val="00D03E25"/>
    <w:rsid w:val="00D0591D"/>
    <w:rsid w:val="00D30385"/>
    <w:rsid w:val="00D311F1"/>
    <w:rsid w:val="00D33B40"/>
    <w:rsid w:val="00D55015"/>
    <w:rsid w:val="00D611C9"/>
    <w:rsid w:val="00D61259"/>
    <w:rsid w:val="00D65F87"/>
    <w:rsid w:val="00D76DA1"/>
    <w:rsid w:val="00D90579"/>
    <w:rsid w:val="00DC4448"/>
    <w:rsid w:val="00DD0D85"/>
    <w:rsid w:val="00DE1669"/>
    <w:rsid w:val="00DE6139"/>
    <w:rsid w:val="00E0324F"/>
    <w:rsid w:val="00E12960"/>
    <w:rsid w:val="00E130F0"/>
    <w:rsid w:val="00E23B32"/>
    <w:rsid w:val="00E31AA5"/>
    <w:rsid w:val="00E34E2F"/>
    <w:rsid w:val="00E35EDA"/>
    <w:rsid w:val="00E37584"/>
    <w:rsid w:val="00E418E3"/>
    <w:rsid w:val="00E43E88"/>
    <w:rsid w:val="00E43FC6"/>
    <w:rsid w:val="00E44381"/>
    <w:rsid w:val="00E46AB8"/>
    <w:rsid w:val="00E76014"/>
    <w:rsid w:val="00E76828"/>
    <w:rsid w:val="00E81111"/>
    <w:rsid w:val="00E91F4A"/>
    <w:rsid w:val="00E9589B"/>
    <w:rsid w:val="00EA5688"/>
    <w:rsid w:val="00EB4ED6"/>
    <w:rsid w:val="00EC68D9"/>
    <w:rsid w:val="00EC7AE5"/>
    <w:rsid w:val="00EC7EC7"/>
    <w:rsid w:val="00ED1BAD"/>
    <w:rsid w:val="00EE0619"/>
    <w:rsid w:val="00EF4B10"/>
    <w:rsid w:val="00F04504"/>
    <w:rsid w:val="00F0458C"/>
    <w:rsid w:val="00F051E2"/>
    <w:rsid w:val="00F107FB"/>
    <w:rsid w:val="00F1431B"/>
    <w:rsid w:val="00F20018"/>
    <w:rsid w:val="00F34D15"/>
    <w:rsid w:val="00F36F5E"/>
    <w:rsid w:val="00F46C8C"/>
    <w:rsid w:val="00F47F4F"/>
    <w:rsid w:val="00F53FE8"/>
    <w:rsid w:val="00F54BDC"/>
    <w:rsid w:val="00F54FD5"/>
    <w:rsid w:val="00F57360"/>
    <w:rsid w:val="00F64A83"/>
    <w:rsid w:val="00F704FE"/>
    <w:rsid w:val="00F72C96"/>
    <w:rsid w:val="00F94452"/>
    <w:rsid w:val="00FA1FA8"/>
    <w:rsid w:val="00FA1FB7"/>
    <w:rsid w:val="00FB03F6"/>
    <w:rsid w:val="00FC2734"/>
    <w:rsid w:val="00FC3D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BD84C"/>
  <w15:chartTrackingRefBased/>
  <w15:docId w15:val="{573ABE1D-8F9C-43B2-9479-43CFAC48F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01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5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3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53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53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1538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1538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1538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1538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3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3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53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53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153825"/>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153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153825"/>
    <w:rPr>
      <w:rFonts w:eastAsiaTheme="majorEastAsia" w:cstheme="majorBidi"/>
      <w:color w:val="272727" w:themeColor="text1" w:themeTint="D8"/>
    </w:rPr>
  </w:style>
  <w:style w:type="paragraph" w:styleId="Title">
    <w:name w:val="Title"/>
    <w:basedOn w:val="Normal"/>
    <w:next w:val="Normal"/>
    <w:link w:val="TitleChar"/>
    <w:uiPriority w:val="10"/>
    <w:qFormat/>
    <w:rsid w:val="001538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825"/>
    <w:pPr>
      <w:spacing w:before="160"/>
      <w:jc w:val="center"/>
    </w:pPr>
    <w:rPr>
      <w:i/>
      <w:iCs/>
      <w:color w:val="404040" w:themeColor="text1" w:themeTint="BF"/>
    </w:rPr>
  </w:style>
  <w:style w:type="character" w:customStyle="1" w:styleId="QuoteChar">
    <w:name w:val="Quote Char"/>
    <w:basedOn w:val="DefaultParagraphFont"/>
    <w:link w:val="Quote"/>
    <w:uiPriority w:val="29"/>
    <w:rsid w:val="00153825"/>
    <w:rPr>
      <w:i/>
      <w:iCs/>
      <w:color w:val="404040" w:themeColor="text1" w:themeTint="BF"/>
    </w:rPr>
  </w:style>
  <w:style w:type="paragraph" w:styleId="ListParagraph">
    <w:name w:val="List Paragraph"/>
    <w:basedOn w:val="Normal"/>
    <w:uiPriority w:val="34"/>
    <w:qFormat/>
    <w:rsid w:val="00153825"/>
    <w:pPr>
      <w:ind w:left="720"/>
      <w:contextualSpacing/>
    </w:pPr>
  </w:style>
  <w:style w:type="character" w:styleId="IntenseEmphasis">
    <w:name w:val="Intense Emphasis"/>
    <w:basedOn w:val="DefaultParagraphFont"/>
    <w:uiPriority w:val="21"/>
    <w:qFormat/>
    <w:rsid w:val="00153825"/>
    <w:rPr>
      <w:i/>
      <w:iCs/>
      <w:color w:val="0F4761" w:themeColor="accent1" w:themeShade="BF"/>
    </w:rPr>
  </w:style>
  <w:style w:type="paragraph" w:styleId="IntenseQuote">
    <w:name w:val="Intense Quote"/>
    <w:basedOn w:val="Normal"/>
    <w:next w:val="Normal"/>
    <w:link w:val="IntenseQuoteChar"/>
    <w:uiPriority w:val="30"/>
    <w:qFormat/>
    <w:rsid w:val="0015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825"/>
    <w:rPr>
      <w:i/>
      <w:iCs/>
      <w:color w:val="0F4761" w:themeColor="accent1" w:themeShade="BF"/>
    </w:rPr>
  </w:style>
  <w:style w:type="character" w:styleId="IntenseReference">
    <w:name w:val="Intense Reference"/>
    <w:basedOn w:val="DefaultParagraphFont"/>
    <w:uiPriority w:val="32"/>
    <w:qFormat/>
    <w:rsid w:val="00153825"/>
    <w:rPr>
      <w:b/>
      <w:bCs/>
      <w:smallCaps/>
      <w:color w:val="0F4761" w:themeColor="accent1" w:themeShade="BF"/>
      <w:spacing w:val="5"/>
    </w:rPr>
  </w:style>
  <w:style w:type="paragraph" w:styleId="Header">
    <w:name w:val="header"/>
    <w:basedOn w:val="Normal"/>
    <w:link w:val="HeaderChar"/>
    <w:uiPriority w:val="99"/>
    <w:unhideWhenUsed/>
    <w:rsid w:val="001C33D6"/>
    <w:pPr>
      <w:tabs>
        <w:tab w:val="center" w:pos="4680"/>
        <w:tab w:val="right" w:pos="9360"/>
      </w:tabs>
    </w:pPr>
    <w:rPr>
      <w:sz w:val="22"/>
      <w:szCs w:val="22"/>
    </w:rPr>
  </w:style>
  <w:style w:type="character" w:customStyle="1" w:styleId="HeaderChar">
    <w:name w:val="Header Char"/>
    <w:basedOn w:val="DefaultParagraphFont"/>
    <w:link w:val="Header"/>
    <w:uiPriority w:val="99"/>
    <w:rsid w:val="001C33D6"/>
    <w:rPr>
      <w:kern w:val="0"/>
      <w:sz w:val="22"/>
      <w:szCs w:val="22"/>
      <w14:ligatures w14:val="none"/>
    </w:rPr>
  </w:style>
  <w:style w:type="paragraph" w:styleId="Footer">
    <w:name w:val="footer"/>
    <w:basedOn w:val="Normal"/>
    <w:link w:val="FooterChar"/>
    <w:uiPriority w:val="99"/>
    <w:unhideWhenUsed/>
    <w:rsid w:val="001C33D6"/>
    <w:pPr>
      <w:tabs>
        <w:tab w:val="center" w:pos="4680"/>
        <w:tab w:val="right" w:pos="9360"/>
      </w:tabs>
    </w:pPr>
    <w:rPr>
      <w:sz w:val="22"/>
      <w:szCs w:val="22"/>
    </w:rPr>
  </w:style>
  <w:style w:type="character" w:customStyle="1" w:styleId="FooterChar">
    <w:name w:val="Footer Char"/>
    <w:basedOn w:val="DefaultParagraphFont"/>
    <w:link w:val="Footer"/>
    <w:uiPriority w:val="99"/>
    <w:rsid w:val="001C33D6"/>
    <w:rPr>
      <w:kern w:val="0"/>
      <w:sz w:val="22"/>
      <w:szCs w:val="22"/>
      <w14:ligatures w14:val="none"/>
    </w:rPr>
  </w:style>
  <w:style w:type="character" w:customStyle="1" w:styleId="hoverbg-super">
    <w:name w:val="hover:bg-super"/>
    <w:basedOn w:val="DefaultParagraphFont"/>
    <w:rsid w:val="001C33D6"/>
  </w:style>
  <w:style w:type="character" w:customStyle="1" w:styleId="whitespace-nowrap">
    <w:name w:val="whitespace-nowrap"/>
    <w:basedOn w:val="DefaultParagraphFont"/>
    <w:rsid w:val="001C33D6"/>
  </w:style>
  <w:style w:type="character" w:styleId="Hyperlink">
    <w:name w:val="Hyperlink"/>
    <w:basedOn w:val="DefaultParagraphFont"/>
    <w:uiPriority w:val="99"/>
    <w:unhideWhenUsed/>
    <w:qFormat/>
    <w:rsid w:val="001C33D6"/>
    <w:rPr>
      <w:color w:val="467886" w:themeColor="hyperlink"/>
      <w:u w:val="single"/>
    </w:rPr>
  </w:style>
  <w:style w:type="table" w:styleId="TableGrid">
    <w:name w:val="Table Grid"/>
    <w:basedOn w:val="TableNormal"/>
    <w:uiPriority w:val="39"/>
    <w:rsid w:val="001C33D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1C33D6"/>
    <w:pPr>
      <w:spacing w:before="100" w:beforeAutospacing="1" w:after="100" w:afterAutospacing="1"/>
    </w:pPr>
  </w:style>
  <w:style w:type="character" w:styleId="FollowedHyperlink">
    <w:name w:val="FollowedHyperlink"/>
    <w:basedOn w:val="DefaultParagraphFont"/>
    <w:uiPriority w:val="99"/>
    <w:unhideWhenUsed/>
    <w:rsid w:val="001C33D6"/>
    <w:rPr>
      <w:color w:val="96607D" w:themeColor="followedHyperlink"/>
      <w:u w:val="single"/>
    </w:rPr>
  </w:style>
  <w:style w:type="character" w:customStyle="1" w:styleId="apple-converted-space">
    <w:name w:val="apple-converted-space"/>
    <w:basedOn w:val="DefaultParagraphFont"/>
    <w:rsid w:val="001C33D6"/>
  </w:style>
  <w:style w:type="paragraph" w:customStyle="1" w:styleId="p1">
    <w:name w:val="p1"/>
    <w:basedOn w:val="Normal"/>
    <w:rsid w:val="001C33D6"/>
    <w:rPr>
      <w:rFonts w:ascii="Helvetica" w:hAnsi="Helvetica"/>
      <w:color w:val="000000"/>
      <w:sz w:val="14"/>
      <w:szCs w:val="14"/>
    </w:rPr>
  </w:style>
  <w:style w:type="character" w:customStyle="1" w:styleId="s1">
    <w:name w:val="s1"/>
    <w:basedOn w:val="DefaultParagraphFont"/>
    <w:rsid w:val="001C33D6"/>
    <w:rPr>
      <w:rFonts w:ascii="Times" w:hAnsi="Times" w:hint="default"/>
      <w:sz w:val="2"/>
      <w:szCs w:val="2"/>
    </w:rPr>
  </w:style>
  <w:style w:type="character" w:customStyle="1" w:styleId="UnresolvedMention1">
    <w:name w:val="Unresolved Mention1"/>
    <w:basedOn w:val="DefaultParagraphFont"/>
    <w:uiPriority w:val="99"/>
    <w:unhideWhenUsed/>
    <w:rsid w:val="001C33D6"/>
    <w:rPr>
      <w:color w:val="605E5C"/>
      <w:shd w:val="clear" w:color="auto" w:fill="E1DFDD"/>
    </w:rPr>
  </w:style>
  <w:style w:type="paragraph" w:styleId="Revision">
    <w:name w:val="Revision"/>
    <w:hidden/>
    <w:uiPriority w:val="99"/>
    <w:rsid w:val="00781B02"/>
    <w:pPr>
      <w:spacing w:after="0" w:line="240" w:lineRule="auto"/>
    </w:pPr>
  </w:style>
  <w:style w:type="character" w:styleId="CommentReference">
    <w:name w:val="annotation reference"/>
    <w:basedOn w:val="DefaultParagraphFont"/>
    <w:unhideWhenUsed/>
    <w:qFormat/>
    <w:rsid w:val="00781B02"/>
    <w:rPr>
      <w:sz w:val="16"/>
      <w:szCs w:val="16"/>
    </w:rPr>
  </w:style>
  <w:style w:type="paragraph" w:styleId="CommentText">
    <w:name w:val="annotation text"/>
    <w:aliases w:val=" Char, Char Char Char, Char Char Char Char, 字元,Char,Char Char Char,Char Char Char Char,Char11,Char11 Char Char,Comment Text (US_Eng),Heading 21,comment text,字元"/>
    <w:basedOn w:val="Normal"/>
    <w:link w:val="CommentTextChar"/>
    <w:uiPriority w:val="99"/>
    <w:unhideWhenUsed/>
    <w:qFormat/>
    <w:rsid w:val="00781B02"/>
    <w:rPr>
      <w:sz w:val="20"/>
      <w:szCs w:val="20"/>
    </w:rPr>
  </w:style>
  <w:style w:type="character" w:customStyle="1" w:styleId="CommentTextChar">
    <w:name w:val="Comment Text Char"/>
    <w:aliases w:val=" Char Char, Char Char Char Char1, Char Char Char Char Char, 字元 Char,Char Char,Char Char Char Char1,Char Char Char Char Char,Char11 Char,Char11 Char Char Char,Comment Text (US_Eng) Char,Heading 21 Char,comment text Char,字元 Char"/>
    <w:basedOn w:val="DefaultParagraphFont"/>
    <w:link w:val="CommentText"/>
    <w:uiPriority w:val="99"/>
    <w:qFormat/>
    <w:rsid w:val="00781B02"/>
    <w:rPr>
      <w:sz w:val="20"/>
      <w:szCs w:val="20"/>
    </w:rPr>
  </w:style>
  <w:style w:type="paragraph" w:styleId="CommentSubject">
    <w:name w:val="annotation subject"/>
    <w:basedOn w:val="CommentText"/>
    <w:next w:val="CommentText"/>
    <w:link w:val="CommentSubjectChar"/>
    <w:uiPriority w:val="99"/>
    <w:unhideWhenUsed/>
    <w:rsid w:val="00781B02"/>
    <w:rPr>
      <w:b/>
      <w:bCs/>
    </w:rPr>
  </w:style>
  <w:style w:type="character" w:customStyle="1" w:styleId="CommentSubjectChar">
    <w:name w:val="Comment Subject Char"/>
    <w:basedOn w:val="CommentTextChar"/>
    <w:link w:val="CommentSubject"/>
    <w:uiPriority w:val="99"/>
    <w:rsid w:val="00781B02"/>
    <w:rPr>
      <w:b/>
      <w:bCs/>
      <w:sz w:val="20"/>
      <w:szCs w:val="20"/>
    </w:rPr>
  </w:style>
  <w:style w:type="paragraph" w:styleId="BalloonText">
    <w:name w:val="Balloon Text"/>
    <w:basedOn w:val="Normal"/>
    <w:link w:val="BalloonTextChar"/>
    <w:uiPriority w:val="99"/>
    <w:unhideWhenUsed/>
    <w:rsid w:val="00462CD5"/>
    <w:rPr>
      <w:rFonts w:ascii="Segoe UI" w:hAnsi="Segoe UI" w:cs="Segoe UI"/>
      <w:sz w:val="18"/>
      <w:szCs w:val="18"/>
    </w:rPr>
  </w:style>
  <w:style w:type="character" w:customStyle="1" w:styleId="BalloonTextChar">
    <w:name w:val="Balloon Text Char"/>
    <w:basedOn w:val="DefaultParagraphFont"/>
    <w:link w:val="BalloonText"/>
    <w:uiPriority w:val="99"/>
    <w:rsid w:val="00462CD5"/>
    <w:rPr>
      <w:rFonts w:ascii="Segoe UI" w:hAnsi="Segoe UI" w:cs="Segoe UI"/>
      <w:sz w:val="18"/>
      <w:szCs w:val="18"/>
    </w:rPr>
  </w:style>
  <w:style w:type="character" w:customStyle="1" w:styleId="cited">
    <w:name w:val="cited"/>
    <w:basedOn w:val="DefaultParagraphFont"/>
    <w:rsid w:val="00991DC1"/>
  </w:style>
  <w:style w:type="character" w:styleId="Strong">
    <w:name w:val="Strong"/>
    <w:basedOn w:val="DefaultParagraphFont"/>
    <w:uiPriority w:val="22"/>
    <w:qFormat/>
    <w:rsid w:val="00991DC1"/>
    <w:rPr>
      <w:b/>
      <w:bCs/>
    </w:rPr>
  </w:style>
  <w:style w:type="character" w:styleId="Emphasis">
    <w:name w:val="Emphasis"/>
    <w:basedOn w:val="DefaultParagraphFont"/>
    <w:uiPriority w:val="20"/>
    <w:qFormat/>
    <w:rsid w:val="00991DC1"/>
    <w:rPr>
      <w:i/>
      <w:iCs/>
    </w:rPr>
  </w:style>
  <w:style w:type="paragraph" w:styleId="TOC1">
    <w:name w:val="toc 1"/>
    <w:basedOn w:val="Normal"/>
    <w:rsid w:val="00991DC1"/>
    <w:pPr>
      <w:spacing w:line="305" w:lineRule="auto"/>
    </w:pPr>
    <w:rPr>
      <w:rFonts w:ascii="Calibri" w:hAnsi="Calibri" w:cs="Calibri"/>
      <w:sz w:val="26"/>
      <w:szCs w:val="20"/>
      <w:lang w:val="en-IN" w:eastAsia="en-GB"/>
    </w:rPr>
  </w:style>
  <w:style w:type="paragraph" w:styleId="TOC2">
    <w:name w:val="toc 2"/>
    <w:basedOn w:val="Normal"/>
    <w:rsid w:val="00991DC1"/>
    <w:pPr>
      <w:spacing w:line="330" w:lineRule="auto"/>
    </w:pPr>
    <w:rPr>
      <w:rFonts w:ascii="Calibri" w:hAnsi="Calibri" w:cs="Calibri"/>
      <w:szCs w:val="20"/>
      <w:lang w:val="en-IN" w:eastAsia="en-GB"/>
    </w:rPr>
  </w:style>
  <w:style w:type="paragraph" w:styleId="TOC3">
    <w:name w:val="toc 3"/>
    <w:basedOn w:val="Normal"/>
    <w:rsid w:val="00991DC1"/>
    <w:pPr>
      <w:spacing w:line="360" w:lineRule="auto"/>
    </w:pPr>
    <w:rPr>
      <w:rFonts w:ascii="Calibri" w:hAnsi="Calibri" w:cs="Calibri"/>
      <w:sz w:val="22"/>
      <w:szCs w:val="20"/>
      <w:lang w:val="en-IN" w:eastAsia="en-GB"/>
    </w:rPr>
  </w:style>
  <w:style w:type="paragraph" w:styleId="TOC4">
    <w:name w:val="toc 4"/>
    <w:basedOn w:val="Normal"/>
    <w:rsid w:val="00991DC1"/>
    <w:pPr>
      <w:spacing w:line="330" w:lineRule="exact"/>
    </w:pPr>
    <w:rPr>
      <w:rFonts w:ascii="Calibri" w:hAnsi="Calibri" w:cs="Calibri"/>
      <w:sz w:val="20"/>
      <w:szCs w:val="20"/>
      <w:lang w:val="en-IN" w:eastAsia="en-GB"/>
    </w:rPr>
  </w:style>
  <w:style w:type="paragraph" w:styleId="TOC5">
    <w:name w:val="toc 5"/>
    <w:basedOn w:val="Normal"/>
    <w:rsid w:val="00991DC1"/>
    <w:pPr>
      <w:spacing w:line="330" w:lineRule="exact"/>
    </w:pPr>
    <w:rPr>
      <w:rFonts w:ascii="Calibri" w:hAnsi="Calibri" w:cs="Calibri"/>
      <w:sz w:val="20"/>
      <w:szCs w:val="20"/>
      <w:lang w:val="en-IN" w:eastAsia="en-GB"/>
    </w:rPr>
  </w:style>
  <w:style w:type="paragraph" w:styleId="TOC6">
    <w:name w:val="toc 6"/>
    <w:basedOn w:val="Normal"/>
    <w:rsid w:val="00991DC1"/>
    <w:pPr>
      <w:spacing w:line="330" w:lineRule="exact"/>
    </w:pPr>
    <w:rPr>
      <w:rFonts w:ascii="Calibri" w:hAnsi="Calibri" w:cs="Calibri"/>
      <w:sz w:val="20"/>
      <w:szCs w:val="20"/>
      <w:lang w:val="en-IN" w:eastAsia="en-GB"/>
    </w:rPr>
  </w:style>
  <w:style w:type="paragraph" w:styleId="TOC7">
    <w:name w:val="toc 7"/>
    <w:basedOn w:val="Normal"/>
    <w:rsid w:val="00991DC1"/>
    <w:pPr>
      <w:spacing w:line="330" w:lineRule="exact"/>
    </w:pPr>
    <w:rPr>
      <w:rFonts w:ascii="Calibri" w:hAnsi="Calibri" w:cs="Calibri"/>
      <w:sz w:val="20"/>
      <w:szCs w:val="20"/>
      <w:lang w:val="en-IN" w:eastAsia="en-GB"/>
    </w:rPr>
  </w:style>
  <w:style w:type="paragraph" w:styleId="TOC8">
    <w:name w:val="toc 8"/>
    <w:basedOn w:val="Normal"/>
    <w:rsid w:val="00991DC1"/>
    <w:pPr>
      <w:spacing w:line="330" w:lineRule="exact"/>
    </w:pPr>
    <w:rPr>
      <w:rFonts w:ascii="Calibri" w:hAnsi="Calibri" w:cs="Calibri"/>
      <w:sz w:val="20"/>
      <w:szCs w:val="20"/>
      <w:lang w:val="en-IN" w:eastAsia="en-GB"/>
    </w:rPr>
  </w:style>
  <w:style w:type="paragraph" w:styleId="TOC9">
    <w:name w:val="toc 9"/>
    <w:basedOn w:val="Normal"/>
    <w:rsid w:val="00991DC1"/>
    <w:pPr>
      <w:spacing w:line="330" w:lineRule="exact"/>
    </w:pPr>
    <w:rPr>
      <w:rFonts w:ascii="Calibri" w:hAnsi="Calibri" w:cs="Calibri"/>
      <w:sz w:val="20"/>
      <w:szCs w:val="20"/>
      <w:lang w:val="en-IN" w:eastAsia="en-GB"/>
    </w:rPr>
  </w:style>
  <w:style w:type="character" w:styleId="EndnoteReference">
    <w:name w:val="endnote reference"/>
    <w:basedOn w:val="DefaultParagraphFont"/>
    <w:rsid w:val="00991DC1"/>
    <w:rPr>
      <w:rFonts w:cs="Times New Roman"/>
      <w:vertAlign w:val="superscript"/>
    </w:rPr>
  </w:style>
  <w:style w:type="character" w:styleId="FootnoteReference">
    <w:name w:val="footnote reference"/>
    <w:basedOn w:val="DefaultParagraphFont"/>
    <w:rsid w:val="00991DC1"/>
    <w:rPr>
      <w:rFonts w:cs="Times New Roman"/>
      <w:vertAlign w:val="superscript"/>
    </w:rPr>
  </w:style>
  <w:style w:type="paragraph" w:styleId="FootnoteText">
    <w:name w:val="footnote text"/>
    <w:basedOn w:val="Normal"/>
    <w:link w:val="FootnoteTextChar"/>
    <w:rsid w:val="00991DC1"/>
    <w:rPr>
      <w:sz w:val="20"/>
      <w:szCs w:val="20"/>
      <w:lang w:val="en-IN" w:eastAsia="en-GB"/>
    </w:rPr>
  </w:style>
  <w:style w:type="character" w:customStyle="1" w:styleId="FootnoteTextChar">
    <w:name w:val="Footnote Text Char"/>
    <w:basedOn w:val="DefaultParagraphFont"/>
    <w:link w:val="FootnoteText"/>
    <w:rsid w:val="00991DC1"/>
    <w:rPr>
      <w:rFonts w:ascii="Times New Roman" w:eastAsia="Times New Roman" w:hAnsi="Times New Roman" w:cs="Times New Roman"/>
      <w:kern w:val="0"/>
      <w:sz w:val="20"/>
      <w:szCs w:val="20"/>
      <w:lang w:val="en-IN" w:eastAsia="en-GB"/>
      <w14:ligatures w14:val="none"/>
    </w:rPr>
  </w:style>
  <w:style w:type="paragraph" w:styleId="EndnoteText">
    <w:name w:val="endnote text"/>
    <w:basedOn w:val="Normal"/>
    <w:link w:val="EndnoteTextChar"/>
    <w:rsid w:val="00991DC1"/>
    <w:rPr>
      <w:sz w:val="20"/>
      <w:szCs w:val="20"/>
      <w:lang w:val="en-IN" w:eastAsia="en-GB"/>
    </w:rPr>
  </w:style>
  <w:style w:type="character" w:customStyle="1" w:styleId="EndnoteTextChar">
    <w:name w:val="Endnote Text Char"/>
    <w:basedOn w:val="DefaultParagraphFont"/>
    <w:link w:val="EndnoteText"/>
    <w:rsid w:val="00991DC1"/>
    <w:rPr>
      <w:rFonts w:ascii="Times New Roman" w:eastAsia="Times New Roman" w:hAnsi="Times New Roman" w:cs="Times New Roman"/>
      <w:kern w:val="0"/>
      <w:sz w:val="20"/>
      <w:szCs w:val="20"/>
      <w:lang w:val="en-IN" w:eastAsia="en-GB"/>
      <w14:ligatures w14:val="none"/>
    </w:rPr>
  </w:style>
  <w:style w:type="paragraph" w:styleId="Caption">
    <w:name w:val="caption"/>
    <w:basedOn w:val="Normal"/>
    <w:next w:val="Normal"/>
    <w:rsid w:val="00991DC1"/>
    <w:rPr>
      <w:b/>
      <w:color w:val="0E2841"/>
      <w:sz w:val="20"/>
      <w:szCs w:val="20"/>
      <w:lang w:val="en-IN" w:eastAsia="en-GB"/>
    </w:rPr>
  </w:style>
  <w:style w:type="paragraph" w:styleId="NoSpacing">
    <w:name w:val="No Spacing"/>
    <w:uiPriority w:val="1"/>
    <w:qFormat/>
    <w:rsid w:val="00991DC1"/>
    <w:pPr>
      <w:spacing w:after="0" w:line="240" w:lineRule="auto"/>
    </w:pPr>
    <w:rPr>
      <w:rFonts w:ascii="Times New Roman" w:eastAsia="Times New Roman" w:hAnsi="Times New Roman" w:cs="Times New Roman"/>
      <w:kern w:val="0"/>
      <w:sz w:val="20"/>
      <w:szCs w:val="20"/>
      <w:lang w:val="en-IN" w:eastAsia="en-GB"/>
      <w14:ligatures w14:val="none"/>
    </w:rPr>
  </w:style>
  <w:style w:type="character" w:styleId="SubtleEmphasis">
    <w:name w:val="Subtle Emphasis"/>
    <w:basedOn w:val="DefaultParagraphFont"/>
    <w:uiPriority w:val="19"/>
    <w:qFormat/>
    <w:rsid w:val="00991DC1"/>
    <w:rPr>
      <w:rFonts w:cs="Times New Roman"/>
      <w:i/>
      <w:color w:val="595959"/>
    </w:rPr>
  </w:style>
  <w:style w:type="character" w:styleId="SubtleReference">
    <w:name w:val="Subtle Reference"/>
    <w:basedOn w:val="DefaultParagraphFont"/>
    <w:uiPriority w:val="31"/>
    <w:rsid w:val="00991DC1"/>
    <w:rPr>
      <w:rFonts w:cs="Times New Roman"/>
      <w:color w:val="595959"/>
    </w:rPr>
  </w:style>
  <w:style w:type="character" w:styleId="BookTitle">
    <w:name w:val="Book Title"/>
    <w:basedOn w:val="DefaultParagraphFont"/>
    <w:uiPriority w:val="33"/>
    <w:qFormat/>
    <w:rsid w:val="00991DC1"/>
    <w:rPr>
      <w:rFonts w:cs="Times New Roman"/>
      <w:b/>
    </w:rPr>
  </w:style>
  <w:style w:type="paragraph" w:styleId="TOCHeading">
    <w:name w:val="TOC Heading"/>
    <w:basedOn w:val="Heading1"/>
    <w:next w:val="Normal"/>
    <w:uiPriority w:val="39"/>
    <w:rsid w:val="00991DC1"/>
    <w:pPr>
      <w:spacing w:before="400" w:after="40"/>
      <w:outlineLvl w:val="9"/>
    </w:pPr>
    <w:rPr>
      <w:rFonts w:ascii="Aptos Display" w:eastAsia="Times New Roman" w:hAnsi="Aptos Display" w:cs="Aptos Display"/>
      <w:color w:val="0A2F41"/>
      <w:sz w:val="36"/>
      <w:szCs w:val="20"/>
      <w:lang w:val="en-IN" w:eastAsia="en-GB"/>
    </w:rPr>
  </w:style>
  <w:style w:type="character" w:customStyle="1" w:styleId="Mention1">
    <w:name w:val="Mention1"/>
    <w:basedOn w:val="DefaultParagraphFont"/>
    <w:uiPriority w:val="99"/>
    <w:rsid w:val="00991DC1"/>
    <w:rPr>
      <w:rFonts w:cs="Times New Roman"/>
      <w:color w:val="2B579A"/>
    </w:rPr>
  </w:style>
  <w:style w:type="character" w:customStyle="1" w:styleId="Year">
    <w:name w:val="Year"/>
    <w:basedOn w:val="DefaultParagraphFont"/>
    <w:rsid w:val="00991DC1"/>
    <w:rPr>
      <w:rFonts w:cs="Times New Roman"/>
      <w:shd w:val="clear" w:color="auto" w:fill="FFF6C9"/>
    </w:rPr>
  </w:style>
  <w:style w:type="paragraph" w:customStyle="1" w:styleId="AbstractSubheading">
    <w:name w:val="Abstract Subheading"/>
    <w:basedOn w:val="Normal"/>
    <w:next w:val="Normal"/>
    <w:rsid w:val="00991DC1"/>
    <w:pPr>
      <w:keepNext/>
      <w:keepLines/>
      <w:numPr>
        <w:ilvl w:val="1"/>
      </w:numPr>
      <w:spacing w:line="259" w:lineRule="auto"/>
      <w:ind w:left="1440"/>
      <w:outlineLvl w:val="1"/>
    </w:pPr>
    <w:rPr>
      <w:b/>
      <w:color w:val="3F6FA2"/>
      <w:sz w:val="22"/>
      <w:szCs w:val="20"/>
      <w:lang w:val="en-IN" w:eastAsia="en-GB"/>
    </w:rPr>
  </w:style>
  <w:style w:type="paragraph" w:customStyle="1" w:styleId="List7">
    <w:name w:val="List 7"/>
    <w:basedOn w:val="Normal"/>
    <w:rsid w:val="00991DC1"/>
    <w:pPr>
      <w:spacing w:line="360" w:lineRule="auto"/>
      <w:ind w:left="1920" w:hanging="400"/>
    </w:pPr>
    <w:rPr>
      <w:rFonts w:ascii="Calibri" w:hAnsi="Calibri" w:cs="Calibri"/>
      <w:sz w:val="22"/>
      <w:szCs w:val="20"/>
      <w:lang w:val="en-IN" w:eastAsia="en-GB"/>
    </w:rPr>
  </w:style>
  <w:style w:type="character" w:customStyle="1" w:styleId="GrantID">
    <w:name w:val="Grant ID"/>
    <w:basedOn w:val="DefaultParagraphFont"/>
    <w:rsid w:val="00991DC1"/>
    <w:rPr>
      <w:rFonts w:cs="Times New Roman"/>
      <w:shd w:val="clear" w:color="auto" w:fill="DDA5FF"/>
    </w:rPr>
  </w:style>
  <w:style w:type="paragraph" w:customStyle="1" w:styleId="List6">
    <w:name w:val="List 6"/>
    <w:basedOn w:val="Normal"/>
    <w:rsid w:val="00991DC1"/>
    <w:pPr>
      <w:spacing w:line="360" w:lineRule="auto"/>
      <w:ind w:left="1860" w:hanging="400"/>
    </w:pPr>
    <w:rPr>
      <w:rFonts w:ascii="Calibri" w:hAnsi="Calibri" w:cs="Calibri"/>
      <w:sz w:val="22"/>
      <w:szCs w:val="20"/>
      <w:lang w:val="en-IN" w:eastAsia="en-GB"/>
    </w:rPr>
  </w:style>
  <w:style w:type="paragraph" w:customStyle="1" w:styleId="TableBody">
    <w:name w:val="Table Body"/>
    <w:basedOn w:val="Normal"/>
    <w:rsid w:val="00991DC1"/>
    <w:pPr>
      <w:spacing w:line="396" w:lineRule="auto"/>
    </w:pPr>
    <w:rPr>
      <w:rFonts w:ascii="Calibri" w:hAnsi="Calibri" w:cs="Calibri"/>
      <w:sz w:val="20"/>
      <w:szCs w:val="20"/>
      <w:lang w:val="en-IN" w:eastAsia="en-GB"/>
    </w:rPr>
  </w:style>
  <w:style w:type="character" w:customStyle="1" w:styleId="Label">
    <w:name w:val="Label"/>
    <w:basedOn w:val="DefaultParagraphFont"/>
    <w:rsid w:val="00991DC1"/>
    <w:rPr>
      <w:rFonts w:cs="Times New Roman"/>
      <w:shd w:val="clear" w:color="auto" w:fill="FFC391"/>
      <w:vertAlign w:val="baseline"/>
    </w:rPr>
  </w:style>
  <w:style w:type="paragraph" w:customStyle="1" w:styleId="Reference">
    <w:name w:val="Reference"/>
    <w:basedOn w:val="Normal"/>
    <w:rsid w:val="00991DC1"/>
    <w:pPr>
      <w:spacing w:before="320" w:line="360" w:lineRule="auto"/>
      <w:ind w:left="400" w:hanging="400"/>
      <w:jc w:val="both"/>
    </w:pPr>
    <w:rPr>
      <w:rFonts w:ascii="Calibri" w:hAnsi="Calibri" w:cs="Calibri"/>
      <w:sz w:val="22"/>
      <w:szCs w:val="20"/>
      <w:lang w:val="en-IN" w:eastAsia="en-GB"/>
    </w:rPr>
  </w:style>
  <w:style w:type="character" w:customStyle="1" w:styleId="PageNumbers">
    <w:name w:val="Page Numbers"/>
    <w:basedOn w:val="DefaultParagraphFont"/>
    <w:rsid w:val="00991DC1"/>
    <w:rPr>
      <w:rFonts w:cs="Times New Roman"/>
      <w:shd w:val="clear" w:color="auto" w:fill="FFEDF0"/>
    </w:rPr>
  </w:style>
  <w:style w:type="character" w:customStyle="1" w:styleId="Postcode">
    <w:name w:val="Postcode"/>
    <w:basedOn w:val="DefaultParagraphFont"/>
    <w:rsid w:val="00991DC1"/>
    <w:rPr>
      <w:rFonts w:cs="Times New Roman"/>
      <w:shd w:val="clear" w:color="auto" w:fill="BEBEBE"/>
    </w:rPr>
  </w:style>
  <w:style w:type="paragraph" w:customStyle="1" w:styleId="TableList">
    <w:name w:val="Table List"/>
    <w:basedOn w:val="Normal"/>
    <w:rsid w:val="00991DC1"/>
    <w:pPr>
      <w:spacing w:line="259" w:lineRule="auto"/>
      <w:ind w:left="300" w:hanging="300"/>
    </w:pPr>
    <w:rPr>
      <w:rFonts w:ascii="Calibri" w:hAnsi="Calibri" w:cs="Calibri"/>
      <w:sz w:val="20"/>
      <w:szCs w:val="20"/>
      <w:lang w:val="en-IN" w:eastAsia="en-GB"/>
    </w:rPr>
  </w:style>
  <w:style w:type="character" w:customStyle="1" w:styleId="Edition">
    <w:name w:val="Edition"/>
    <w:basedOn w:val="DefaultParagraphFont"/>
    <w:rsid w:val="00991DC1"/>
    <w:rPr>
      <w:rFonts w:cs="Times New Roman"/>
      <w:shd w:val="clear" w:color="auto" w:fill="FFF1A5"/>
    </w:rPr>
  </w:style>
  <w:style w:type="character" w:customStyle="1" w:styleId="NameScientific">
    <w:name w:val="Name Scientific"/>
    <w:basedOn w:val="DefaultParagraphFont"/>
    <w:rsid w:val="00991DC1"/>
    <w:rPr>
      <w:rFonts w:cs="Times New Roman"/>
      <w:shd w:val="clear" w:color="auto" w:fill="91E0FF"/>
    </w:rPr>
  </w:style>
  <w:style w:type="character" w:customStyle="1" w:styleId="GeneSequence">
    <w:name w:val="Gene Sequence"/>
    <w:basedOn w:val="DefaultParagraphFont"/>
    <w:rsid w:val="00991DC1"/>
    <w:rPr>
      <w:rFonts w:cs="Times New Roman"/>
      <w:shd w:val="clear" w:color="auto" w:fill="FFCDF2"/>
    </w:rPr>
  </w:style>
  <w:style w:type="character" w:customStyle="1" w:styleId="Conference">
    <w:name w:val="Conference"/>
    <w:basedOn w:val="DefaultParagraphFont"/>
    <w:rsid w:val="00991DC1"/>
    <w:rPr>
      <w:rFonts w:cs="Times New Roman"/>
      <w:shd w:val="clear" w:color="auto" w:fill="FFAFBC"/>
    </w:rPr>
  </w:style>
  <w:style w:type="paragraph" w:customStyle="1" w:styleId="ChapterNumber">
    <w:name w:val="Chapter Number"/>
    <w:basedOn w:val="Normal"/>
    <w:rsid w:val="00991DC1"/>
    <w:pPr>
      <w:spacing w:line="259" w:lineRule="auto"/>
    </w:pPr>
    <w:rPr>
      <w:rFonts w:ascii="Calibri" w:hAnsi="Calibri" w:cs="Calibri"/>
      <w:sz w:val="20"/>
      <w:szCs w:val="20"/>
      <w:lang w:val="en-IN" w:eastAsia="en-GB"/>
    </w:rPr>
  </w:style>
  <w:style w:type="character" w:customStyle="1" w:styleId="Region">
    <w:name w:val="Region"/>
    <w:basedOn w:val="DefaultParagraphFont"/>
    <w:rsid w:val="00991DC1"/>
    <w:rPr>
      <w:rFonts w:cs="Times New Roman"/>
      <w:shd w:val="clear" w:color="auto" w:fill="D8E9EE"/>
    </w:rPr>
  </w:style>
  <w:style w:type="paragraph" w:customStyle="1" w:styleId="TableNote">
    <w:name w:val="Table Note"/>
    <w:basedOn w:val="Normal"/>
    <w:rsid w:val="00991DC1"/>
    <w:pPr>
      <w:spacing w:line="259" w:lineRule="auto"/>
    </w:pPr>
    <w:rPr>
      <w:rFonts w:ascii="Calibri" w:hAnsi="Calibri" w:cs="Calibri"/>
      <w:sz w:val="18"/>
      <w:szCs w:val="20"/>
      <w:lang w:val="en-IN" w:eastAsia="en-GB"/>
    </w:rPr>
  </w:style>
  <w:style w:type="paragraph" w:customStyle="1" w:styleId="Copyright">
    <w:name w:val="Copyright"/>
    <w:basedOn w:val="Normal"/>
    <w:rsid w:val="00991DC1"/>
    <w:pPr>
      <w:shd w:val="clear" w:color="auto" w:fill="E9F9FF"/>
      <w:spacing w:line="259" w:lineRule="auto"/>
    </w:pPr>
    <w:rPr>
      <w:rFonts w:ascii="Calibri" w:hAnsi="Calibri" w:cs="Calibri"/>
      <w:sz w:val="18"/>
      <w:szCs w:val="20"/>
      <w:shd w:val="clear" w:color="auto" w:fill="E9F9FF"/>
      <w:lang w:val="en-IN" w:eastAsia="en-GB"/>
    </w:rPr>
  </w:style>
  <w:style w:type="character" w:customStyle="1" w:styleId="DatabaseLink">
    <w:name w:val="Database Link"/>
    <w:basedOn w:val="DefaultParagraphFont"/>
    <w:rsid w:val="00991DC1"/>
    <w:rPr>
      <w:rFonts w:cs="Times New Roman"/>
      <w:shd w:val="clear" w:color="auto" w:fill="AFBEFF"/>
    </w:rPr>
  </w:style>
  <w:style w:type="paragraph" w:customStyle="1" w:styleId="Glossary">
    <w:name w:val="Glossary"/>
    <w:basedOn w:val="Normal"/>
    <w:rsid w:val="00991DC1"/>
    <w:pPr>
      <w:shd w:val="clear" w:color="auto" w:fill="FFEDF0"/>
      <w:spacing w:before="120" w:after="120" w:line="432" w:lineRule="auto"/>
    </w:pPr>
    <w:rPr>
      <w:rFonts w:ascii="Calibri" w:hAnsi="Calibri" w:cs="Calibri"/>
      <w:sz w:val="20"/>
      <w:szCs w:val="20"/>
      <w:shd w:val="clear" w:color="auto" w:fill="FFEDF0"/>
      <w:lang w:val="en-IN" w:eastAsia="en-GB"/>
    </w:rPr>
  </w:style>
  <w:style w:type="character" w:customStyle="1" w:styleId="Location">
    <w:name w:val="Location"/>
    <w:basedOn w:val="DefaultParagraphFont"/>
    <w:rsid w:val="00991DC1"/>
    <w:rPr>
      <w:rFonts w:cs="Times New Roman"/>
      <w:shd w:val="clear" w:color="auto" w:fill="F9EDFF"/>
    </w:rPr>
  </w:style>
  <w:style w:type="character" w:customStyle="1" w:styleId="VolumeNumber">
    <w:name w:val="Volume Number"/>
    <w:basedOn w:val="DefaultParagraphFont"/>
    <w:rsid w:val="00991DC1"/>
    <w:rPr>
      <w:rFonts w:cs="Times New Roman"/>
      <w:shd w:val="clear" w:color="auto" w:fill="EDF0FF"/>
    </w:rPr>
  </w:style>
  <w:style w:type="paragraph" w:customStyle="1" w:styleId="List8">
    <w:name w:val="List 8"/>
    <w:basedOn w:val="Normal"/>
    <w:rsid w:val="00991DC1"/>
    <w:pPr>
      <w:spacing w:line="360" w:lineRule="auto"/>
      <w:ind w:left="1980" w:hanging="400"/>
    </w:pPr>
    <w:rPr>
      <w:rFonts w:ascii="Calibri" w:hAnsi="Calibri" w:cs="Calibri"/>
      <w:sz w:val="22"/>
      <w:szCs w:val="20"/>
      <w:lang w:val="en-IN" w:eastAsia="en-GB"/>
    </w:rPr>
  </w:style>
  <w:style w:type="paragraph" w:customStyle="1" w:styleId="Note">
    <w:name w:val="Note"/>
    <w:basedOn w:val="Normal"/>
    <w:rsid w:val="00991DC1"/>
    <w:pPr>
      <w:shd w:val="clear" w:color="auto" w:fill="FFFCED"/>
      <w:spacing w:line="432" w:lineRule="auto"/>
    </w:pPr>
    <w:rPr>
      <w:rFonts w:ascii="Calibri" w:hAnsi="Calibri" w:cs="Calibri"/>
      <w:sz w:val="20"/>
      <w:szCs w:val="20"/>
      <w:shd w:val="clear" w:color="auto" w:fill="FFFCED"/>
      <w:lang w:val="en-IN" w:eastAsia="en-GB"/>
    </w:rPr>
  </w:style>
  <w:style w:type="paragraph" w:customStyle="1" w:styleId="Surtitle">
    <w:name w:val="Surtitle"/>
    <w:basedOn w:val="Normal"/>
    <w:qFormat/>
    <w:rsid w:val="00991DC1"/>
    <w:pPr>
      <w:spacing w:line="208" w:lineRule="auto"/>
    </w:pPr>
    <w:rPr>
      <w:rFonts w:ascii="Calibri" w:hAnsi="Calibri" w:cs="Calibri"/>
      <w:sz w:val="38"/>
      <w:szCs w:val="20"/>
      <w:lang w:val="en-IN" w:eastAsia="en-GB"/>
    </w:rPr>
  </w:style>
  <w:style w:type="paragraph" w:customStyle="1" w:styleId="Affiliation">
    <w:name w:val="Affiliation"/>
    <w:basedOn w:val="Normal"/>
    <w:rsid w:val="00991DC1"/>
    <w:pPr>
      <w:shd w:val="clear" w:color="auto" w:fill="F4FFED"/>
      <w:spacing w:before="240" w:after="120" w:line="396" w:lineRule="auto"/>
      <w:ind w:left="400" w:hanging="400"/>
    </w:pPr>
    <w:rPr>
      <w:rFonts w:ascii="Calibri" w:hAnsi="Calibri" w:cs="Calibri"/>
      <w:sz w:val="20"/>
      <w:szCs w:val="20"/>
      <w:shd w:val="clear" w:color="auto" w:fill="F4FFED"/>
      <w:lang w:val="en-IN" w:eastAsia="en-GB"/>
    </w:rPr>
  </w:style>
  <w:style w:type="paragraph" w:customStyle="1" w:styleId="Biography">
    <w:name w:val="Biography"/>
    <w:basedOn w:val="Normal"/>
    <w:rsid w:val="00991DC1"/>
    <w:pPr>
      <w:shd w:val="clear" w:color="auto" w:fill="EDFCF5"/>
      <w:spacing w:line="396" w:lineRule="auto"/>
    </w:pPr>
    <w:rPr>
      <w:rFonts w:ascii="Calibri" w:hAnsi="Calibri" w:cs="Calibri"/>
      <w:sz w:val="20"/>
      <w:szCs w:val="20"/>
      <w:shd w:val="clear" w:color="auto" w:fill="EDFCF5"/>
      <w:lang w:val="en-IN" w:eastAsia="en-GB"/>
    </w:rPr>
  </w:style>
  <w:style w:type="paragraph" w:styleId="List3">
    <w:name w:val="List 3"/>
    <w:basedOn w:val="Normal"/>
    <w:rsid w:val="00991DC1"/>
    <w:pPr>
      <w:spacing w:line="360" w:lineRule="auto"/>
      <w:ind w:left="1200" w:hanging="400"/>
      <w:jc w:val="both"/>
    </w:pPr>
    <w:rPr>
      <w:rFonts w:ascii="Calibri" w:hAnsi="Calibri" w:cs="Calibri"/>
      <w:sz w:val="22"/>
      <w:szCs w:val="20"/>
      <w:lang w:val="en-IN" w:eastAsia="en-GB"/>
    </w:rPr>
  </w:style>
  <w:style w:type="paragraph" w:customStyle="1" w:styleId="Abstract">
    <w:name w:val="Abstract"/>
    <w:basedOn w:val="Normal"/>
    <w:rsid w:val="00991DC1"/>
    <w:pPr>
      <w:spacing w:line="360" w:lineRule="auto"/>
      <w:ind w:left="1440" w:right="1440"/>
      <w:jc w:val="both"/>
    </w:pPr>
    <w:rPr>
      <w:rFonts w:ascii="Calibri" w:hAnsi="Calibri" w:cs="Calibri"/>
      <w:sz w:val="22"/>
      <w:szCs w:val="20"/>
      <w:lang w:val="en-IN" w:eastAsia="en-GB"/>
    </w:rPr>
  </w:style>
  <w:style w:type="paragraph" w:customStyle="1" w:styleId="Formula">
    <w:name w:val="Formula"/>
    <w:basedOn w:val="Normal"/>
    <w:rsid w:val="00991DC1"/>
    <w:pPr>
      <w:shd w:val="clear" w:color="auto" w:fill="FFF5ED"/>
      <w:spacing w:before="120" w:after="120" w:line="360" w:lineRule="auto"/>
    </w:pPr>
    <w:rPr>
      <w:rFonts w:ascii="Calibri" w:hAnsi="Calibri" w:cs="Calibri"/>
      <w:sz w:val="22"/>
      <w:szCs w:val="20"/>
      <w:shd w:val="clear" w:color="auto" w:fill="FFF5ED"/>
      <w:lang w:val="en-IN" w:eastAsia="en-GB"/>
    </w:rPr>
  </w:style>
  <w:style w:type="paragraph" w:customStyle="1" w:styleId="Acknowledgements">
    <w:name w:val="Acknowledgements"/>
    <w:basedOn w:val="Normal"/>
    <w:rsid w:val="00991DC1"/>
    <w:pPr>
      <w:shd w:val="clear" w:color="auto" w:fill="F9EDFF"/>
      <w:spacing w:line="396" w:lineRule="auto"/>
      <w:jc w:val="both"/>
    </w:pPr>
    <w:rPr>
      <w:rFonts w:ascii="Calibri" w:hAnsi="Calibri" w:cs="Calibri"/>
      <w:sz w:val="20"/>
      <w:szCs w:val="20"/>
      <w:shd w:val="clear" w:color="auto" w:fill="F9EDFF"/>
      <w:lang w:val="en-IN" w:eastAsia="en-GB"/>
    </w:rPr>
  </w:style>
  <w:style w:type="character" w:customStyle="1" w:styleId="ArticleTitle">
    <w:name w:val="Article Title"/>
    <w:basedOn w:val="DefaultParagraphFont"/>
    <w:qFormat/>
    <w:rsid w:val="00991DC1"/>
    <w:rPr>
      <w:rFonts w:cs="Times New Roman"/>
      <w:shd w:val="clear" w:color="auto" w:fill="E9F9FF"/>
    </w:rPr>
  </w:style>
  <w:style w:type="character" w:customStyle="1" w:styleId="Organization">
    <w:name w:val="Organization"/>
    <w:basedOn w:val="DefaultParagraphFont"/>
    <w:rsid w:val="00991DC1"/>
    <w:rPr>
      <w:rFonts w:cs="Times New Roman"/>
      <w:shd w:val="clear" w:color="auto" w:fill="D1FFB5"/>
    </w:rPr>
  </w:style>
  <w:style w:type="paragraph" w:styleId="BlockText">
    <w:name w:val="Block Text"/>
    <w:basedOn w:val="Normal"/>
    <w:rsid w:val="00991DC1"/>
    <w:pPr>
      <w:spacing w:line="360" w:lineRule="auto"/>
      <w:ind w:left="1200"/>
    </w:pPr>
    <w:rPr>
      <w:rFonts w:ascii="Calibri" w:hAnsi="Calibri" w:cs="Calibri"/>
      <w:sz w:val="22"/>
      <w:szCs w:val="20"/>
      <w:lang w:val="en-IN" w:eastAsia="en-GB"/>
    </w:rPr>
  </w:style>
  <w:style w:type="character" w:customStyle="1" w:styleId="Country">
    <w:name w:val="Country"/>
    <w:basedOn w:val="DefaultParagraphFont"/>
    <w:rsid w:val="00991DC1"/>
    <w:rPr>
      <w:rFonts w:cs="Times New Roman"/>
      <w:shd w:val="clear" w:color="auto" w:fill="97C5D1"/>
    </w:rPr>
  </w:style>
  <w:style w:type="paragraph" w:styleId="List4">
    <w:name w:val="List 4"/>
    <w:basedOn w:val="Normal"/>
    <w:rsid w:val="00991DC1"/>
    <w:pPr>
      <w:spacing w:line="360" w:lineRule="auto"/>
      <w:ind w:left="1600" w:hanging="400"/>
    </w:pPr>
    <w:rPr>
      <w:rFonts w:ascii="Calibri" w:hAnsi="Calibri" w:cs="Calibri"/>
      <w:sz w:val="22"/>
      <w:szCs w:val="20"/>
      <w:lang w:val="en-IN" w:eastAsia="en-GB"/>
    </w:rPr>
  </w:style>
  <w:style w:type="character" w:customStyle="1" w:styleId="Source">
    <w:name w:val="Source"/>
    <w:basedOn w:val="DefaultParagraphFont"/>
    <w:rsid w:val="00991DC1"/>
    <w:rPr>
      <w:rFonts w:cs="Times New Roman"/>
      <w:shd w:val="clear" w:color="auto" w:fill="C1EDFF"/>
    </w:rPr>
  </w:style>
  <w:style w:type="paragraph" w:customStyle="1" w:styleId="QuotationSource">
    <w:name w:val="Quotation Source"/>
    <w:basedOn w:val="Normal"/>
    <w:rsid w:val="00991DC1"/>
    <w:pPr>
      <w:spacing w:after="170" w:line="360" w:lineRule="auto"/>
      <w:ind w:left="1200"/>
      <w:jc w:val="right"/>
    </w:pPr>
    <w:rPr>
      <w:rFonts w:ascii="Calibri" w:hAnsi="Calibri" w:cs="Calibri"/>
      <w:sz w:val="22"/>
      <w:szCs w:val="20"/>
      <w:lang w:val="en-IN" w:eastAsia="en-GB"/>
    </w:rPr>
  </w:style>
  <w:style w:type="character" w:customStyle="1" w:styleId="FamilyName">
    <w:name w:val="Family Name"/>
    <w:basedOn w:val="DefaultParagraphFont"/>
    <w:rsid w:val="00991DC1"/>
    <w:rPr>
      <w:rFonts w:cs="Times New Roman"/>
      <w:shd w:val="clear" w:color="auto" w:fill="87F2C2"/>
    </w:rPr>
  </w:style>
  <w:style w:type="character" w:customStyle="1" w:styleId="Heading">
    <w:name w:val="Heading:"/>
    <w:basedOn w:val="DefaultParagraphFont"/>
    <w:rsid w:val="00991DC1"/>
    <w:rPr>
      <w:rFonts w:cs="Times New Roman"/>
      <w:color w:val="5B89C1"/>
    </w:rPr>
  </w:style>
  <w:style w:type="paragraph" w:customStyle="1" w:styleId="Editages">
    <w:name w:val="Editages"/>
    <w:basedOn w:val="Normal"/>
    <w:rsid w:val="00991DC1"/>
    <w:pPr>
      <w:spacing w:before="360" w:after="120" w:line="283" w:lineRule="auto"/>
    </w:pPr>
    <w:rPr>
      <w:rFonts w:ascii="Calibri" w:hAnsi="Calibri" w:cs="Calibri"/>
      <w:sz w:val="28"/>
      <w:szCs w:val="20"/>
      <w:lang w:val="en-IN" w:eastAsia="en-GB"/>
    </w:rPr>
  </w:style>
  <w:style w:type="paragraph" w:styleId="List5">
    <w:name w:val="List 5"/>
    <w:basedOn w:val="Normal"/>
    <w:rsid w:val="00991DC1"/>
    <w:pPr>
      <w:spacing w:line="360" w:lineRule="auto"/>
      <w:ind w:left="1800" w:hanging="400"/>
    </w:pPr>
    <w:rPr>
      <w:rFonts w:ascii="Calibri" w:hAnsi="Calibri" w:cs="Calibri"/>
      <w:sz w:val="22"/>
      <w:szCs w:val="20"/>
      <w:lang w:val="en-IN" w:eastAsia="en-GB"/>
    </w:rPr>
  </w:style>
  <w:style w:type="character" w:customStyle="1" w:styleId="IssueNumber">
    <w:name w:val="Issue Number"/>
    <w:basedOn w:val="DefaultParagraphFont"/>
    <w:rsid w:val="00991DC1"/>
    <w:rPr>
      <w:rFonts w:cs="Times New Roman"/>
      <w:shd w:val="clear" w:color="auto" w:fill="CDD5FF"/>
    </w:rPr>
  </w:style>
  <w:style w:type="character" w:customStyle="1" w:styleId="Miscellaneous">
    <w:name w:val="Miscellaneous"/>
    <w:basedOn w:val="DefaultParagraphFont"/>
    <w:rsid w:val="00991DC1"/>
    <w:rPr>
      <w:rFonts w:cs="Times New Roman"/>
      <w:shd w:val="clear" w:color="auto" w:fill="F0F0F0"/>
    </w:rPr>
  </w:style>
  <w:style w:type="paragraph" w:customStyle="1" w:styleId="Quotation">
    <w:name w:val="Quotation"/>
    <w:basedOn w:val="Normal"/>
    <w:rsid w:val="00991DC1"/>
    <w:pPr>
      <w:spacing w:line="360" w:lineRule="auto"/>
      <w:ind w:left="1200" w:right="1200"/>
      <w:jc w:val="both"/>
    </w:pPr>
    <w:rPr>
      <w:rFonts w:ascii="Calibri" w:hAnsi="Calibri" w:cs="Calibri"/>
      <w:sz w:val="22"/>
      <w:szCs w:val="20"/>
      <w:lang w:val="en-IN" w:eastAsia="en-GB"/>
    </w:rPr>
  </w:style>
  <w:style w:type="character" w:customStyle="1" w:styleId="GivenName">
    <w:name w:val="Given Name"/>
    <w:basedOn w:val="DefaultParagraphFont"/>
    <w:rsid w:val="00991DC1"/>
    <w:rPr>
      <w:rFonts w:cs="Times New Roman"/>
      <w:shd w:val="clear" w:color="auto" w:fill="CFF9E6"/>
    </w:rPr>
  </w:style>
  <w:style w:type="paragraph" w:styleId="List">
    <w:name w:val="List"/>
    <w:basedOn w:val="Normal"/>
    <w:rsid w:val="00991DC1"/>
    <w:pPr>
      <w:spacing w:line="360" w:lineRule="auto"/>
      <w:ind w:left="400" w:hanging="400"/>
      <w:jc w:val="both"/>
    </w:pPr>
    <w:rPr>
      <w:rFonts w:ascii="Calibri" w:hAnsi="Calibri" w:cs="Calibri"/>
      <w:sz w:val="22"/>
      <w:szCs w:val="20"/>
      <w:lang w:val="en-IN" w:eastAsia="en-GB"/>
    </w:rPr>
  </w:style>
  <w:style w:type="paragraph" w:customStyle="1" w:styleId="TableHead">
    <w:name w:val="Table Head"/>
    <w:basedOn w:val="Normal"/>
    <w:rsid w:val="00991DC1"/>
    <w:pPr>
      <w:shd w:val="clear" w:color="auto" w:fill="FFEDFA"/>
      <w:spacing w:line="259" w:lineRule="auto"/>
    </w:pPr>
    <w:rPr>
      <w:rFonts w:ascii="Calibri" w:hAnsi="Calibri" w:cs="Calibri"/>
      <w:sz w:val="20"/>
      <w:szCs w:val="20"/>
      <w:shd w:val="clear" w:color="auto" w:fill="FFEDFA"/>
      <w:lang w:val="en-IN" w:eastAsia="en-GB"/>
    </w:rPr>
  </w:style>
  <w:style w:type="paragraph" w:customStyle="1" w:styleId="Keywords">
    <w:name w:val="Keywords"/>
    <w:basedOn w:val="Normal"/>
    <w:rsid w:val="00991DC1"/>
    <w:pPr>
      <w:spacing w:line="396" w:lineRule="auto"/>
      <w:ind w:left="1000"/>
    </w:pPr>
    <w:rPr>
      <w:rFonts w:ascii="Calibri" w:hAnsi="Calibri" w:cs="Calibri"/>
      <w:sz w:val="20"/>
      <w:szCs w:val="20"/>
      <w:lang w:val="en-IN" w:eastAsia="en-GB"/>
    </w:rPr>
  </w:style>
  <w:style w:type="character" w:customStyle="1" w:styleId="Publisher">
    <w:name w:val="Publisher"/>
    <w:basedOn w:val="DefaultParagraphFont"/>
    <w:rsid w:val="00991DC1"/>
    <w:rPr>
      <w:rFonts w:cs="Times New Roman"/>
      <w:shd w:val="clear" w:color="auto" w:fill="F2DDFF"/>
    </w:rPr>
  </w:style>
  <w:style w:type="character" w:customStyle="1" w:styleId="City">
    <w:name w:val="City"/>
    <w:basedOn w:val="DefaultParagraphFont"/>
    <w:rsid w:val="00991DC1"/>
    <w:rPr>
      <w:rFonts w:cs="Times New Roman"/>
      <w:shd w:val="clear" w:color="auto" w:fill="D7D7D7"/>
    </w:rPr>
  </w:style>
  <w:style w:type="paragraph" w:customStyle="1" w:styleId="Annotation">
    <w:name w:val="Annotation"/>
    <w:basedOn w:val="Normal"/>
    <w:rsid w:val="00991DC1"/>
    <w:pPr>
      <w:spacing w:line="360" w:lineRule="auto"/>
      <w:ind w:left="400"/>
    </w:pPr>
    <w:rPr>
      <w:rFonts w:ascii="Calibri" w:hAnsi="Calibri" w:cs="Calibri"/>
      <w:sz w:val="22"/>
      <w:szCs w:val="20"/>
      <w:lang w:val="en-IN" w:eastAsia="en-GB"/>
    </w:rPr>
  </w:style>
  <w:style w:type="character" w:customStyle="1" w:styleId="Cross-reference">
    <w:name w:val="Cross-reference"/>
    <w:basedOn w:val="DefaultParagraphFont"/>
    <w:rsid w:val="00991DC1"/>
    <w:rPr>
      <w:rFonts w:cs="Times New Roman"/>
      <w:shd w:val="clear" w:color="auto" w:fill="FFE3C9"/>
    </w:rPr>
  </w:style>
  <w:style w:type="paragraph" w:styleId="List2">
    <w:name w:val="List 2"/>
    <w:basedOn w:val="Normal"/>
    <w:rsid w:val="00991DC1"/>
    <w:pPr>
      <w:spacing w:line="360" w:lineRule="auto"/>
      <w:ind w:left="800" w:hanging="400"/>
      <w:jc w:val="both"/>
    </w:pPr>
    <w:rPr>
      <w:rFonts w:ascii="Calibri" w:hAnsi="Calibri" w:cs="Calibri"/>
      <w:sz w:val="22"/>
      <w:szCs w:val="20"/>
      <w:lang w:val="en-IN" w:eastAsia="en-GB"/>
    </w:rPr>
  </w:style>
  <w:style w:type="paragraph" w:customStyle="1" w:styleId="Correspondence">
    <w:name w:val="Correspondence"/>
    <w:basedOn w:val="Normal"/>
    <w:rsid w:val="00991DC1"/>
    <w:pPr>
      <w:shd w:val="clear" w:color="auto" w:fill="F3F7F9"/>
      <w:spacing w:before="240" w:after="120" w:line="396" w:lineRule="auto"/>
      <w:ind w:left="400" w:hanging="400"/>
    </w:pPr>
    <w:rPr>
      <w:rFonts w:ascii="Calibri" w:hAnsi="Calibri" w:cs="Calibri"/>
      <w:sz w:val="20"/>
      <w:szCs w:val="20"/>
      <w:shd w:val="clear" w:color="auto" w:fill="F3F7F9"/>
      <w:lang w:val="en-IN" w:eastAsia="en-GB"/>
    </w:rPr>
  </w:style>
  <w:style w:type="paragraph" w:customStyle="1" w:styleId="Statement">
    <w:name w:val="Statement"/>
    <w:basedOn w:val="Normal"/>
    <w:rsid w:val="00991DC1"/>
    <w:pPr>
      <w:spacing w:line="259" w:lineRule="auto"/>
      <w:ind w:left="900"/>
    </w:pPr>
    <w:rPr>
      <w:rFonts w:ascii="Calibri" w:hAnsi="Calibri" w:cs="Calibri"/>
      <w:sz w:val="22"/>
      <w:szCs w:val="20"/>
      <w:lang w:val="en-IN" w:eastAsia="en-GB"/>
    </w:rPr>
  </w:style>
  <w:style w:type="character" w:customStyle="1" w:styleId="GlossaryTerm">
    <w:name w:val="Glossary Term"/>
    <w:basedOn w:val="DefaultParagraphFont"/>
    <w:rsid w:val="00991DC1"/>
    <w:rPr>
      <w:rFonts w:cs="Times New Roman"/>
      <w:shd w:val="clear" w:color="auto" w:fill="FFCFD7"/>
    </w:rPr>
  </w:style>
  <w:style w:type="paragraph" w:styleId="NormalIndent">
    <w:name w:val="Normal Indent"/>
    <w:basedOn w:val="Normal"/>
    <w:qFormat/>
    <w:rsid w:val="00991DC1"/>
    <w:pPr>
      <w:spacing w:line="360" w:lineRule="auto"/>
      <w:ind w:firstLine="480"/>
      <w:jc w:val="both"/>
    </w:pPr>
    <w:rPr>
      <w:rFonts w:ascii="Calibri" w:hAnsi="Calibri" w:cs="Calibri"/>
      <w:sz w:val="22"/>
      <w:szCs w:val="20"/>
      <w:lang w:val="en-IN" w:eastAsia="en-GB"/>
    </w:rPr>
  </w:style>
  <w:style w:type="character" w:styleId="LineNumber">
    <w:name w:val="line number"/>
    <w:basedOn w:val="DefaultParagraphFont"/>
    <w:rsid w:val="00991DC1"/>
    <w:rPr>
      <w:rFonts w:cs="Times New Roman"/>
    </w:rPr>
  </w:style>
  <w:style w:type="character" w:customStyle="1" w:styleId="ms-1">
    <w:name w:val="ms-1"/>
    <w:basedOn w:val="DefaultParagraphFont"/>
    <w:rsid w:val="00991DC1"/>
  </w:style>
  <w:style w:type="character" w:customStyle="1" w:styleId="max-w-15ch">
    <w:name w:val="max-w-[15ch]"/>
    <w:basedOn w:val="DefaultParagraphFont"/>
    <w:rsid w:val="00991DC1"/>
  </w:style>
  <w:style w:type="paragraph" w:customStyle="1" w:styleId="EndNoteBibliography">
    <w:name w:val="EndNote Bibliography"/>
    <w:basedOn w:val="Normal"/>
    <w:link w:val="EndNoteBibliographyChar"/>
    <w:rsid w:val="00991DC1"/>
    <w:pPr>
      <w:widowControl w:val="0"/>
      <w:jc w:val="both"/>
    </w:pPr>
    <w:rPr>
      <w:rFonts w:ascii="Calibri" w:eastAsiaTheme="minorEastAsia" w:hAnsi="Calibri" w:cs="Calibri"/>
      <w:sz w:val="20"/>
      <w:szCs w:val="20"/>
      <w:lang w:eastAsia="ko-KR"/>
    </w:rPr>
  </w:style>
  <w:style w:type="character" w:customStyle="1" w:styleId="EndNoteBibliographyChar">
    <w:name w:val="EndNote Bibliography Char"/>
    <w:basedOn w:val="DefaultParagraphFont"/>
    <w:link w:val="EndNoteBibliography"/>
    <w:rsid w:val="00991DC1"/>
    <w:rPr>
      <w:rFonts w:ascii="Calibri" w:eastAsiaTheme="minorEastAsia" w:hAnsi="Calibri" w:cs="Calibri"/>
      <w:kern w:val="0"/>
      <w:sz w:val="20"/>
      <w:szCs w:val="20"/>
      <w:lang w:eastAsia="ko-KR"/>
      <w14:ligatures w14:val="none"/>
    </w:rPr>
  </w:style>
  <w:style w:type="paragraph" w:customStyle="1" w:styleId="Default">
    <w:name w:val="Default"/>
    <w:rsid w:val="00991DC1"/>
    <w:pPr>
      <w:autoSpaceDE w:val="0"/>
      <w:autoSpaceDN w:val="0"/>
      <w:adjustRightInd w:val="0"/>
      <w:spacing w:after="0" w:line="240" w:lineRule="auto"/>
    </w:pPr>
    <w:rPr>
      <w:rFonts w:ascii="Calibri" w:hAnsi="Calibri" w:cs="Calibri"/>
      <w:color w:val="000000"/>
      <w:kern w:val="0"/>
    </w:rPr>
  </w:style>
  <w:style w:type="paragraph" w:styleId="BodyText">
    <w:name w:val="Body Text"/>
    <w:basedOn w:val="Normal"/>
    <w:link w:val="BodyTextChar"/>
    <w:uiPriority w:val="1"/>
    <w:qFormat/>
    <w:rsid w:val="00991DC1"/>
    <w:pPr>
      <w:widowControl w:val="0"/>
      <w:autoSpaceDE w:val="0"/>
      <w:autoSpaceDN w:val="0"/>
    </w:pPr>
  </w:style>
  <w:style w:type="character" w:customStyle="1" w:styleId="BodyTextChar">
    <w:name w:val="Body Text Char"/>
    <w:basedOn w:val="DefaultParagraphFont"/>
    <w:link w:val="BodyText"/>
    <w:uiPriority w:val="1"/>
    <w:rsid w:val="00991DC1"/>
    <w:rPr>
      <w:rFonts w:ascii="Times New Roman" w:eastAsia="Times New Roman" w:hAnsi="Times New Roman" w:cs="Times New Roman"/>
      <w:kern w:val="0"/>
      <w14:ligatures w14:val="none"/>
    </w:rPr>
  </w:style>
  <w:style w:type="paragraph" w:customStyle="1" w:styleId="reference0">
    <w:name w:val="reference"/>
    <w:basedOn w:val="Normal"/>
    <w:rsid w:val="00991DC1"/>
    <w:pPr>
      <w:spacing w:before="100" w:beforeAutospacing="1" w:after="100" w:afterAutospacing="1"/>
      <w:ind w:left="570" w:hanging="570"/>
    </w:pPr>
    <w:rPr>
      <w:lang w:val="en-GB" w:eastAsia="en-GB" w:bidi="he-IL"/>
    </w:rPr>
  </w:style>
  <w:style w:type="character" w:customStyle="1" w:styleId="merops-change">
    <w:name w:val="merops-change"/>
    <w:basedOn w:val="DefaultParagraphFont"/>
    <w:rsid w:val="00991DC1"/>
  </w:style>
  <w:style w:type="character" w:customStyle="1" w:styleId="miscellaneous0">
    <w:name w:val="miscellaneous"/>
    <w:basedOn w:val="DefaultParagraphFont"/>
    <w:rsid w:val="00991DC1"/>
  </w:style>
  <w:style w:type="character" w:customStyle="1" w:styleId="source0">
    <w:name w:val="source"/>
    <w:basedOn w:val="DefaultParagraphFont"/>
    <w:rsid w:val="00991DC1"/>
  </w:style>
  <w:style w:type="character" w:customStyle="1" w:styleId="merops-change-d">
    <w:name w:val="merops-change-d"/>
    <w:basedOn w:val="DefaultParagraphFont"/>
    <w:rsid w:val="00991DC1"/>
  </w:style>
  <w:style w:type="character" w:customStyle="1" w:styleId="strong-01">
    <w:name w:val="strong-01"/>
    <w:basedOn w:val="DefaultParagraphFont"/>
    <w:rsid w:val="00991DC1"/>
  </w:style>
  <w:style w:type="character" w:customStyle="1" w:styleId="z-TopofFormChar">
    <w:name w:val="z-Top of Form Char"/>
    <w:basedOn w:val="DefaultParagraphFont"/>
    <w:link w:val="z-TopofForm"/>
    <w:uiPriority w:val="99"/>
    <w:semiHidden/>
    <w:rsid w:val="00991DC1"/>
    <w:rPr>
      <w:rFonts w:ascii="Arial" w:eastAsia="Times New Roman" w:hAnsi="Arial" w:cs="Arial"/>
      <w:vanish/>
      <w:kern w:val="0"/>
      <w:sz w:val="16"/>
      <w:szCs w:val="16"/>
      <w:lang w:eastAsia="ja-JP" w:bidi="he-IL"/>
      <w14:ligatures w14:val="none"/>
    </w:rPr>
  </w:style>
  <w:style w:type="paragraph" w:styleId="z-TopofForm">
    <w:name w:val="HTML Top of Form"/>
    <w:basedOn w:val="Normal"/>
    <w:next w:val="Normal"/>
    <w:link w:val="z-TopofFormChar"/>
    <w:hidden/>
    <w:uiPriority w:val="99"/>
    <w:semiHidden/>
    <w:unhideWhenUsed/>
    <w:rsid w:val="00991DC1"/>
    <w:pPr>
      <w:pBdr>
        <w:bottom w:val="single" w:sz="6" w:space="1" w:color="auto"/>
      </w:pBdr>
      <w:jc w:val="center"/>
    </w:pPr>
    <w:rPr>
      <w:rFonts w:ascii="Arial" w:hAnsi="Arial" w:cs="Arial"/>
      <w:vanish/>
      <w:sz w:val="16"/>
      <w:szCs w:val="16"/>
      <w:lang w:eastAsia="ja-JP" w:bidi="he-IL"/>
    </w:rPr>
  </w:style>
  <w:style w:type="character" w:customStyle="1" w:styleId="z-BottomofFormChar">
    <w:name w:val="z-Bottom of Form Char"/>
    <w:basedOn w:val="DefaultParagraphFont"/>
    <w:link w:val="z-BottomofForm"/>
    <w:uiPriority w:val="99"/>
    <w:semiHidden/>
    <w:rsid w:val="00991DC1"/>
    <w:rPr>
      <w:rFonts w:ascii="Arial" w:eastAsia="Times New Roman" w:hAnsi="Arial" w:cs="Arial"/>
      <w:vanish/>
      <w:kern w:val="0"/>
      <w:sz w:val="16"/>
      <w:szCs w:val="16"/>
      <w:lang w:eastAsia="ja-JP" w:bidi="he-IL"/>
      <w14:ligatures w14:val="none"/>
    </w:rPr>
  </w:style>
  <w:style w:type="paragraph" w:styleId="z-BottomofForm">
    <w:name w:val="HTML Bottom of Form"/>
    <w:basedOn w:val="Normal"/>
    <w:next w:val="Normal"/>
    <w:link w:val="z-BottomofFormChar"/>
    <w:hidden/>
    <w:uiPriority w:val="99"/>
    <w:semiHidden/>
    <w:unhideWhenUsed/>
    <w:rsid w:val="00991DC1"/>
    <w:pPr>
      <w:pBdr>
        <w:top w:val="single" w:sz="6" w:space="1" w:color="auto"/>
      </w:pBdr>
      <w:jc w:val="center"/>
    </w:pPr>
    <w:rPr>
      <w:rFonts w:ascii="Arial" w:hAnsi="Arial" w:cs="Arial"/>
      <w:vanish/>
      <w:sz w:val="16"/>
      <w:szCs w:val="16"/>
      <w:lang w:eastAsia="ja-JP" w:bidi="he-IL"/>
    </w:rPr>
  </w:style>
  <w:style w:type="character" w:styleId="PlaceholderText">
    <w:name w:val="Placeholder Text"/>
    <w:basedOn w:val="DefaultParagraphFont"/>
    <w:rsid w:val="00991DC1"/>
    <w:rPr>
      <w:color w:val="666666"/>
    </w:rPr>
  </w:style>
  <w:style w:type="character" w:styleId="PageNumber">
    <w:name w:val="page number"/>
    <w:basedOn w:val="DefaultParagraphFont"/>
    <w:rsid w:val="00991DC1"/>
  </w:style>
  <w:style w:type="character" w:customStyle="1" w:styleId="outlook-search-highlight">
    <w:name w:val="outlook-search-highlight"/>
    <w:basedOn w:val="DefaultParagraphFont"/>
    <w:rsid w:val="00991DC1"/>
  </w:style>
  <w:style w:type="character" w:customStyle="1" w:styleId="cf01">
    <w:name w:val="cf01"/>
    <w:basedOn w:val="DefaultParagraphFont"/>
    <w:rsid w:val="00991DC1"/>
    <w:rPr>
      <w:rFonts w:ascii="Segoe UI" w:eastAsia="Segoe UI" w:hAnsi="Segoe UI" w:cs="Segoe UI"/>
      <w:color w:val="111111"/>
      <w:sz w:val="18"/>
    </w:rPr>
  </w:style>
  <w:style w:type="paragraph" w:customStyle="1" w:styleId="Authors">
    <w:name w:val="Authors"/>
    <w:basedOn w:val="Normal"/>
    <w:rsid w:val="00991DC1"/>
    <w:pPr>
      <w:spacing w:before="360" w:after="120" w:line="283" w:lineRule="auto"/>
    </w:pPr>
    <w:rPr>
      <w:rFonts w:ascii="Calibri" w:eastAsia="Calibri" w:hAnsi="Calibri" w:cs="Calibri"/>
      <w:sz w:val="28"/>
      <w:szCs w:val="20"/>
      <w:lang w:val="en-IN" w:eastAsia="en-IN"/>
    </w:rPr>
  </w:style>
  <w:style w:type="paragraph" w:customStyle="1" w:styleId="Standaard1">
    <w:name w:val="Standaard1"/>
    <w:rsid w:val="00991DC1"/>
    <w:pPr>
      <w:spacing w:line="276" w:lineRule="auto"/>
    </w:pPr>
    <w:rPr>
      <w:rFonts w:ascii="Times New Roman" w:eastAsia="Times New Roman" w:hAnsi="Times New Roman" w:cs="Times New Roman"/>
      <w:kern w:val="0"/>
      <w:sz w:val="20"/>
      <w:szCs w:val="20"/>
      <w:lang w:val="en-IN" w:eastAsia="en-IN"/>
      <w14:ligatures w14:val="none"/>
    </w:rPr>
  </w:style>
  <w:style w:type="character" w:customStyle="1" w:styleId="vkekvd">
    <w:name w:val="vkekvd"/>
    <w:basedOn w:val="DefaultParagraphFont"/>
    <w:rsid w:val="009A3F8D"/>
  </w:style>
  <w:style w:type="character" w:customStyle="1" w:styleId="t286pc">
    <w:name w:val="t286pc"/>
    <w:basedOn w:val="DefaultParagraphFont"/>
    <w:rsid w:val="009A3F8D"/>
  </w:style>
  <w:style w:type="character" w:styleId="HTMLCode">
    <w:name w:val="HTML Code"/>
    <w:basedOn w:val="DefaultParagraphFont"/>
    <w:uiPriority w:val="99"/>
    <w:semiHidden/>
    <w:unhideWhenUsed/>
    <w:rsid w:val="009A3F8D"/>
    <w:rPr>
      <w:rFonts w:ascii="Courier New" w:eastAsia="Times New Roman" w:hAnsi="Courier New" w:cs="Courier New"/>
      <w:sz w:val="20"/>
      <w:szCs w:val="20"/>
    </w:rPr>
  </w:style>
  <w:style w:type="table" w:styleId="PlainTable1">
    <w:name w:val="Plain Table 1"/>
    <w:basedOn w:val="TableNormal"/>
    <w:uiPriority w:val="41"/>
    <w:rsid w:val="00B179B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z-TopofFormChar1">
    <w:name w:val="z-Top of Form Char1"/>
    <w:basedOn w:val="DefaultParagraphFont"/>
    <w:uiPriority w:val="99"/>
    <w:semiHidden/>
    <w:rsid w:val="0027538E"/>
    <w:rPr>
      <w:rFonts w:ascii="Arial" w:hAnsi="Arial" w:cs="Arial"/>
      <w:vanish/>
      <w:sz w:val="16"/>
      <w:szCs w:val="16"/>
    </w:rPr>
  </w:style>
  <w:style w:type="character" w:customStyle="1" w:styleId="z-BottomofFormChar1">
    <w:name w:val="z-Bottom of Form Char1"/>
    <w:basedOn w:val="DefaultParagraphFont"/>
    <w:uiPriority w:val="99"/>
    <w:semiHidden/>
    <w:rsid w:val="0027538E"/>
    <w:rPr>
      <w:rFonts w:ascii="Arial" w:hAnsi="Arial" w:cs="Arial"/>
      <w:vanish/>
      <w:sz w:val="16"/>
      <w:szCs w:val="16"/>
    </w:rPr>
  </w:style>
  <w:style w:type="paragraph" w:customStyle="1" w:styleId="msonormal0">
    <w:name w:val="msonormal"/>
    <w:basedOn w:val="Normal"/>
    <w:rsid w:val="0027538E"/>
    <w:pPr>
      <w:spacing w:before="100" w:beforeAutospacing="1" w:after="100" w:afterAutospacing="1"/>
    </w:pPr>
  </w:style>
  <w:style w:type="paragraph" w:customStyle="1" w:styleId="xl65">
    <w:name w:val="xl65"/>
    <w:basedOn w:val="Normal"/>
    <w:rsid w:val="0027538E"/>
    <w:pPr>
      <w:spacing w:before="100" w:beforeAutospacing="1" w:after="100" w:afterAutospacing="1"/>
      <w:textAlignment w:val="center"/>
    </w:pPr>
  </w:style>
  <w:style w:type="paragraph" w:customStyle="1" w:styleId="xl66">
    <w:name w:val="xl66"/>
    <w:basedOn w:val="Normal"/>
    <w:rsid w:val="0027538E"/>
    <w:pPr>
      <w:spacing w:before="100" w:beforeAutospacing="1" w:after="100" w:afterAutospacing="1"/>
      <w:textAlignment w:val="center"/>
    </w:pPr>
    <w:rPr>
      <w:color w:val="0563C1"/>
      <w:u w:val="single"/>
    </w:rPr>
  </w:style>
  <w:style w:type="paragraph" w:customStyle="1" w:styleId="xl67">
    <w:name w:val="xl67"/>
    <w:basedOn w:val="Normal"/>
    <w:rsid w:val="0027538E"/>
    <w:pPr>
      <w:shd w:val="clear" w:color="000000" w:fill="FFFF00"/>
      <w:spacing w:before="100" w:beforeAutospacing="1" w:after="100" w:afterAutospacing="1"/>
      <w:jc w:val="center"/>
      <w:textAlignment w:val="center"/>
    </w:pPr>
    <w:rPr>
      <w:b/>
      <w:bCs/>
    </w:rPr>
  </w:style>
  <w:style w:type="paragraph" w:customStyle="1" w:styleId="xl68">
    <w:name w:val="xl68"/>
    <w:basedOn w:val="Normal"/>
    <w:rsid w:val="0027538E"/>
    <w:pPr>
      <w:spacing w:before="100" w:beforeAutospacing="1" w:after="100" w:afterAutospacing="1"/>
      <w:textAlignment w:val="center"/>
    </w:pPr>
  </w:style>
  <w:style w:type="paragraph" w:customStyle="1" w:styleId="xl69">
    <w:name w:val="xl69"/>
    <w:basedOn w:val="Normal"/>
    <w:rsid w:val="0027538E"/>
    <w:pPr>
      <w:spacing w:before="100" w:beforeAutospacing="1" w:after="100" w:afterAutospacing="1"/>
    </w:pPr>
  </w:style>
  <w:style w:type="paragraph" w:customStyle="1" w:styleId="xl70">
    <w:name w:val="xl70"/>
    <w:basedOn w:val="Normal"/>
    <w:rsid w:val="0027538E"/>
    <w:pPr>
      <w:spacing w:before="100" w:beforeAutospacing="1" w:after="100" w:afterAutospacing="1"/>
      <w:textAlignment w:val="center"/>
    </w:pPr>
  </w:style>
  <w:style w:type="character" w:styleId="UnresolvedMention">
    <w:name w:val="Unresolved Mention"/>
    <w:basedOn w:val="DefaultParagraphFont"/>
    <w:uiPriority w:val="99"/>
    <w:semiHidden/>
    <w:unhideWhenUsed/>
    <w:rsid w:val="0027538E"/>
    <w:rPr>
      <w:color w:val="605E5C"/>
      <w:shd w:val="clear" w:color="auto" w:fill="E1DFDD"/>
    </w:rPr>
  </w:style>
  <w:style w:type="table" w:styleId="GridTable5Dark-Accent1">
    <w:name w:val="Grid Table 5 Dark Accent 1"/>
    <w:basedOn w:val="TableNormal"/>
    <w:uiPriority w:val="50"/>
    <w:rsid w:val="002753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customStyle="1" w:styleId="anchor-text">
    <w:name w:val="anchor-text"/>
    <w:basedOn w:val="DefaultParagraphFont"/>
    <w:rsid w:val="0027538E"/>
  </w:style>
  <w:style w:type="paragraph" w:customStyle="1" w:styleId="df3vjf">
    <w:name w:val="df3vjf"/>
    <w:basedOn w:val="Normal"/>
    <w:rsid w:val="0027538E"/>
    <w:pPr>
      <w:spacing w:before="100" w:beforeAutospacing="1" w:after="100" w:afterAutospacing="1"/>
    </w:pPr>
  </w:style>
  <w:style w:type="paragraph" w:customStyle="1" w:styleId="p2">
    <w:name w:val="p2"/>
    <w:basedOn w:val="Normal"/>
    <w:rsid w:val="0027538E"/>
    <w:rPr>
      <w:rFonts w:ascii="Helvetica" w:hAnsi="Helvetica"/>
      <w:color w:val="000000"/>
      <w:sz w:val="12"/>
      <w:szCs w:val="12"/>
    </w:rPr>
  </w:style>
  <w:style w:type="character" w:customStyle="1" w:styleId="s2">
    <w:name w:val="s2"/>
    <w:basedOn w:val="DefaultParagraphFont"/>
    <w:rsid w:val="0027538E"/>
    <w:rPr>
      <w:rFonts w:ascii="Helvetica" w:hAnsi="Helvetica" w:hint="default"/>
      <w:sz w:val="11"/>
      <w:szCs w:val="11"/>
    </w:rPr>
  </w:style>
  <w:style w:type="character" w:customStyle="1" w:styleId="s3">
    <w:name w:val="s3"/>
    <w:basedOn w:val="DefaultParagraphFont"/>
    <w:rsid w:val="0027538E"/>
    <w:rPr>
      <w:rFonts w:ascii="Helvetica" w:hAnsi="Helvetica" w:hint="default"/>
      <w:sz w:val="12"/>
      <w:szCs w:val="12"/>
    </w:rPr>
  </w:style>
  <w:style w:type="character" w:customStyle="1" w:styleId="s4">
    <w:name w:val="s4"/>
    <w:basedOn w:val="DefaultParagraphFont"/>
    <w:rsid w:val="0027538E"/>
    <w:rPr>
      <w:rFonts w:ascii="Helvetica" w:hAnsi="Helvetica" w:hint="default"/>
      <w:sz w:val="12"/>
      <w:szCs w:val="12"/>
    </w:rPr>
  </w:style>
  <w:style w:type="character" w:customStyle="1" w:styleId="s5">
    <w:name w:val="s5"/>
    <w:basedOn w:val="DefaultParagraphFont"/>
    <w:rsid w:val="0027538E"/>
    <w:rPr>
      <w:rFonts w:ascii="Helvetica" w:hAnsi="Helvetica" w:hint="default"/>
      <w:sz w:val="13"/>
      <w:szCs w:val="13"/>
    </w:rPr>
  </w:style>
  <w:style w:type="character" w:customStyle="1" w:styleId="s6">
    <w:name w:val="s6"/>
    <w:basedOn w:val="DefaultParagraphFont"/>
    <w:rsid w:val="0027538E"/>
    <w:rPr>
      <w:rFonts w:ascii="Helvetica" w:hAnsi="Helvetica" w:hint="default"/>
      <w:sz w:val="12"/>
      <w:szCs w:val="12"/>
    </w:rPr>
  </w:style>
  <w:style w:type="character" w:customStyle="1" w:styleId="s7">
    <w:name w:val="s7"/>
    <w:basedOn w:val="DefaultParagraphFont"/>
    <w:rsid w:val="0027538E"/>
    <w:rPr>
      <w:rFonts w:ascii="Helvetica" w:hAnsi="Helvetica" w:hint="default"/>
      <w:sz w:val="12"/>
      <w:szCs w:val="12"/>
    </w:rPr>
  </w:style>
  <w:style w:type="character" w:customStyle="1" w:styleId="s8">
    <w:name w:val="s8"/>
    <w:basedOn w:val="DefaultParagraphFont"/>
    <w:rsid w:val="0027538E"/>
    <w:rPr>
      <w:rFonts w:ascii="Helvetica" w:hAnsi="Helvetica" w:hint="default"/>
      <w:sz w:val="11"/>
      <w:szCs w:val="11"/>
    </w:rPr>
  </w:style>
  <w:style w:type="character" w:customStyle="1" w:styleId="s9">
    <w:name w:val="s9"/>
    <w:basedOn w:val="DefaultParagraphFont"/>
    <w:rsid w:val="0027538E"/>
    <w:rPr>
      <w:rFonts w:ascii="Helvetica" w:hAnsi="Helvetica" w:hint="default"/>
      <w:sz w:val="11"/>
      <w:szCs w:val="11"/>
    </w:rPr>
  </w:style>
  <w:style w:type="character" w:customStyle="1" w:styleId="s10">
    <w:name w:val="s10"/>
    <w:basedOn w:val="DefaultParagraphFont"/>
    <w:rsid w:val="0027538E"/>
    <w:rPr>
      <w:rFonts w:ascii="Helvetica" w:hAnsi="Helvetica" w:hint="default"/>
      <w:sz w:val="11"/>
      <w:szCs w:val="11"/>
    </w:rPr>
  </w:style>
  <w:style w:type="character" w:customStyle="1" w:styleId="s11">
    <w:name w:val="s11"/>
    <w:basedOn w:val="DefaultParagraphFont"/>
    <w:rsid w:val="0027538E"/>
    <w:rPr>
      <w:rFonts w:ascii="Helvetica" w:hAnsi="Helvetica" w:hint="default"/>
      <w:sz w:val="12"/>
      <w:szCs w:val="12"/>
    </w:rPr>
  </w:style>
  <w:style w:type="character" w:customStyle="1" w:styleId="s12">
    <w:name w:val="s12"/>
    <w:basedOn w:val="DefaultParagraphFont"/>
    <w:rsid w:val="0027538E"/>
    <w:rPr>
      <w:rFonts w:ascii="Helvetica" w:hAnsi="Helvetica" w:hint="default"/>
      <w:sz w:val="10"/>
      <w:szCs w:val="10"/>
    </w:rPr>
  </w:style>
  <w:style w:type="character" w:customStyle="1" w:styleId="s13">
    <w:name w:val="s13"/>
    <w:basedOn w:val="DefaultParagraphFont"/>
    <w:rsid w:val="0027538E"/>
    <w:rPr>
      <w:rFonts w:ascii="Helvetica" w:hAnsi="Helvetica" w:hint="default"/>
      <w:sz w:val="12"/>
      <w:szCs w:val="12"/>
    </w:rPr>
  </w:style>
  <w:style w:type="paragraph" w:customStyle="1" w:styleId="p3">
    <w:name w:val="p3"/>
    <w:basedOn w:val="Normal"/>
    <w:rsid w:val="0027538E"/>
    <w:rPr>
      <w:rFonts w:ascii="Helvetica" w:hAnsi="Helvetica"/>
      <w:color w:val="000000"/>
      <w:sz w:val="13"/>
      <w:szCs w:val="13"/>
    </w:rPr>
  </w:style>
  <w:style w:type="paragraph" w:customStyle="1" w:styleId="p4">
    <w:name w:val="p4"/>
    <w:basedOn w:val="Normal"/>
    <w:rsid w:val="0027538E"/>
    <w:rPr>
      <w:rFonts w:ascii="Helvetica" w:hAnsi="Helvetica"/>
      <w:color w:val="000000"/>
      <w:sz w:val="13"/>
      <w:szCs w:val="13"/>
    </w:rPr>
  </w:style>
  <w:style w:type="paragraph" w:customStyle="1" w:styleId="p5">
    <w:name w:val="p5"/>
    <w:basedOn w:val="Normal"/>
    <w:rsid w:val="0027538E"/>
    <w:rPr>
      <w:rFonts w:ascii="Helvetica" w:hAnsi="Helvetica"/>
      <w:color w:val="000000"/>
      <w:sz w:val="12"/>
      <w:szCs w:val="12"/>
    </w:rPr>
  </w:style>
  <w:style w:type="paragraph" w:customStyle="1" w:styleId="dx-doi">
    <w:name w:val="dx-doi"/>
    <w:basedOn w:val="Normal"/>
    <w:rsid w:val="0027538E"/>
    <w:pPr>
      <w:spacing w:before="100" w:beforeAutospacing="1" w:after="100" w:afterAutospacing="1"/>
    </w:pPr>
  </w:style>
  <w:style w:type="character" w:customStyle="1" w:styleId="sr-only">
    <w:name w:val="sr-only"/>
    <w:basedOn w:val="DefaultParagraphFont"/>
    <w:rsid w:val="0027538E"/>
  </w:style>
  <w:style w:type="character" w:customStyle="1" w:styleId="ref-lnk">
    <w:name w:val="ref-lnk"/>
    <w:basedOn w:val="DefaultParagraphFont"/>
    <w:rsid w:val="0027538E"/>
  </w:style>
  <w:style w:type="character" w:customStyle="1" w:styleId="off-screen">
    <w:name w:val="off-screen"/>
    <w:basedOn w:val="DefaultParagraphFont"/>
    <w:rsid w:val="0027538E"/>
  </w:style>
  <w:style w:type="paragraph" w:customStyle="1" w:styleId="c-bibliographic-informationcitation">
    <w:name w:val="c-bibliographic-information__citation"/>
    <w:basedOn w:val="Normal"/>
    <w:rsid w:val="0027538E"/>
    <w:pPr>
      <w:spacing w:before="100" w:beforeAutospacing="1" w:after="100" w:afterAutospacing="1"/>
    </w:pPr>
  </w:style>
  <w:style w:type="table" w:styleId="GridTable4-Accent1">
    <w:name w:val="Grid Table 4 Accent 1"/>
    <w:basedOn w:val="TableNormal"/>
    <w:uiPriority w:val="49"/>
    <w:rsid w:val="004D095B"/>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table" w:customStyle="1" w:styleId="PlainTable11">
    <w:name w:val="Plain Table 11"/>
    <w:basedOn w:val="TableNormal"/>
    <w:uiPriority w:val="41"/>
    <w:rsid w:val="00CF59AF"/>
    <w:pPr>
      <w:spacing w:after="0" w:line="240" w:lineRule="auto"/>
    </w:pPr>
    <w:rPr>
      <w:rFonts w:ascii="Aptos" w:eastAsia="Aptos" w:hAnsi="Aptos" w:cs="SimSu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itation-84">
    <w:name w:val="citation-84"/>
    <w:basedOn w:val="DefaultParagraphFont"/>
    <w:rsid w:val="00CF59AF"/>
  </w:style>
  <w:style w:type="character" w:customStyle="1" w:styleId="citation-83">
    <w:name w:val="citation-83"/>
    <w:basedOn w:val="DefaultParagraphFont"/>
    <w:rsid w:val="00CF59AF"/>
  </w:style>
  <w:style w:type="character" w:customStyle="1" w:styleId="citation-196">
    <w:name w:val="citation-196"/>
    <w:basedOn w:val="DefaultParagraphFont"/>
    <w:rsid w:val="00CF59AF"/>
  </w:style>
  <w:style w:type="character" w:customStyle="1" w:styleId="citation-252">
    <w:name w:val="citation-252"/>
    <w:basedOn w:val="DefaultParagraphFont"/>
    <w:rsid w:val="00CF59AF"/>
  </w:style>
  <w:style w:type="character" w:customStyle="1" w:styleId="citation-251">
    <w:name w:val="citation-251"/>
    <w:basedOn w:val="DefaultParagraphFont"/>
    <w:rsid w:val="00CF59AF"/>
  </w:style>
  <w:style w:type="character" w:customStyle="1" w:styleId="citation-371">
    <w:name w:val="citation-371"/>
    <w:basedOn w:val="DefaultParagraphFont"/>
    <w:rsid w:val="00CF59AF"/>
  </w:style>
  <w:style w:type="character" w:customStyle="1" w:styleId="citation-370">
    <w:name w:val="citation-370"/>
    <w:basedOn w:val="DefaultParagraphFont"/>
    <w:rsid w:val="00CF59AF"/>
  </w:style>
  <w:style w:type="character" w:customStyle="1" w:styleId="citation-369">
    <w:name w:val="citation-369"/>
    <w:basedOn w:val="DefaultParagraphFont"/>
    <w:rsid w:val="00CF59AF"/>
  </w:style>
  <w:style w:type="character" w:customStyle="1" w:styleId="citation-421">
    <w:name w:val="citation-421"/>
    <w:basedOn w:val="DefaultParagraphFont"/>
    <w:rsid w:val="00CF59AF"/>
  </w:style>
  <w:style w:type="character" w:customStyle="1" w:styleId="citation-420">
    <w:name w:val="citation-420"/>
    <w:basedOn w:val="DefaultParagraphFont"/>
    <w:rsid w:val="00CF59AF"/>
  </w:style>
  <w:style w:type="character" w:customStyle="1" w:styleId="citation-417">
    <w:name w:val="citation-417"/>
    <w:basedOn w:val="DefaultParagraphFont"/>
    <w:rsid w:val="00CF59AF"/>
  </w:style>
  <w:style w:type="character" w:customStyle="1" w:styleId="citation-416">
    <w:name w:val="citation-416"/>
    <w:basedOn w:val="DefaultParagraphFont"/>
    <w:rsid w:val="00CF59AF"/>
  </w:style>
  <w:style w:type="character" w:customStyle="1" w:styleId="citation-461">
    <w:name w:val="citation-461"/>
    <w:basedOn w:val="DefaultParagraphFont"/>
    <w:rsid w:val="00CF59AF"/>
  </w:style>
  <w:style w:type="table" w:styleId="TableGridLight">
    <w:name w:val="Grid Table Light"/>
    <w:basedOn w:val="TableNormal"/>
    <w:uiPriority w:val="40"/>
    <w:rsid w:val="000F2A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cc16d0">
    <w:name w:val="___ccc16d0"/>
    <w:basedOn w:val="Normal"/>
    <w:rsid w:val="0080643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86/s12916-023-03076-2" TargetMode="External"/><Relationship Id="rId21" Type="http://schemas.openxmlformats.org/officeDocument/2006/relationships/hyperlink" Target="https://doi.org/10.1093/bib/bbv011" TargetMode="External"/><Relationship Id="rId42" Type="http://schemas.openxmlformats.org/officeDocument/2006/relationships/hyperlink" Target="https://doi.org/10.5334/ijic.5508" TargetMode="External"/><Relationship Id="rId63" Type="http://schemas.openxmlformats.org/officeDocument/2006/relationships/hyperlink" Target="https://doi.org/10.1080/10407413.2021.1885978" TargetMode="External"/><Relationship Id="rId84" Type="http://schemas.openxmlformats.org/officeDocument/2006/relationships/hyperlink" Target="https://doi.org/10.1016/j.pec.2012.01.009" TargetMode="External"/><Relationship Id="rId138" Type="http://schemas.openxmlformats.org/officeDocument/2006/relationships/hyperlink" Target="https://doi.org/10.2196/63155" TargetMode="External"/><Relationship Id="rId159" Type="http://schemas.openxmlformats.org/officeDocument/2006/relationships/hyperlink" Target="https://doi.org/10.1016/j.jpsychores.2009.03.010" TargetMode="External"/><Relationship Id="rId107" Type="http://schemas.openxmlformats.org/officeDocument/2006/relationships/hyperlink" Target="https://doi.org/10.1093/heapro/daaa125" TargetMode="External"/><Relationship Id="rId11" Type="http://schemas.openxmlformats.org/officeDocument/2006/relationships/hyperlink" Target="https://doi.org/10.1177/20552076241255928" TargetMode="External"/><Relationship Id="rId32" Type="http://schemas.openxmlformats.org/officeDocument/2006/relationships/hyperlink" Target="https://doi.org/10.1177/10497323241235882" TargetMode="External"/><Relationship Id="rId53" Type="http://schemas.openxmlformats.org/officeDocument/2006/relationships/hyperlink" Target="https://doi.org/10.1093/oso/9780198779636.003.0006" TargetMode="External"/><Relationship Id="rId74" Type="http://schemas.openxmlformats.org/officeDocument/2006/relationships/hyperlink" Target="https://doi.org/10.1037/amp0000167" TargetMode="External"/><Relationship Id="rId128" Type="http://schemas.openxmlformats.org/officeDocument/2006/relationships/hyperlink" Target="https://doi.org/10.1097/PR9.0000000000000759" TargetMode="External"/><Relationship Id="rId149" Type="http://schemas.openxmlformats.org/officeDocument/2006/relationships/hyperlink" Target="https://doi.org/10.1057/s41599-020-00598-5" TargetMode="External"/><Relationship Id="rId5" Type="http://schemas.openxmlformats.org/officeDocument/2006/relationships/webSettings" Target="webSettings.xml"/><Relationship Id="rId95" Type="http://schemas.openxmlformats.org/officeDocument/2006/relationships/hyperlink" Target="https://doi.org/10.1016/j.ijmedinf.2012.10.001" TargetMode="External"/><Relationship Id="rId160" Type="http://schemas.openxmlformats.org/officeDocument/2006/relationships/fontTable" Target="fontTable.xml"/><Relationship Id="rId22" Type="http://schemas.openxmlformats.org/officeDocument/2006/relationships/hyperlink" Target="https://doi.org/10.1097/00012272-200407000-00002" TargetMode="External"/><Relationship Id="rId43" Type="http://schemas.openxmlformats.org/officeDocument/2006/relationships/hyperlink" Target="https://doi.org/10.1007/s40271-021-00514-2" TargetMode="External"/><Relationship Id="rId64" Type="http://schemas.openxmlformats.org/officeDocument/2006/relationships/hyperlink" Target="https://doi.org/10.1177/01622439231216789" TargetMode="External"/><Relationship Id="rId118" Type="http://schemas.openxmlformats.org/officeDocument/2006/relationships/hyperlink" Target="https://doi.org/10.4236/pst.2015.34005" TargetMode="External"/><Relationship Id="rId139" Type="http://schemas.openxmlformats.org/officeDocument/2006/relationships/hyperlink" Target="https://doi.org/10.1186/s13643-017-0454-2" TargetMode="External"/><Relationship Id="rId85" Type="http://schemas.openxmlformats.org/officeDocument/2006/relationships/hyperlink" Target="https://doi.org/10.2105/AJPH.2009.170506" TargetMode="External"/><Relationship Id="rId150" Type="http://schemas.openxmlformats.org/officeDocument/2006/relationships/hyperlink" Target="https://doi.org/10.3402/qhw.v10.26279" TargetMode="External"/><Relationship Id="rId12" Type="http://schemas.openxmlformats.org/officeDocument/2006/relationships/hyperlink" Target="https://doi.org/10.1016/j.trsl.2016.11.002" TargetMode="External"/><Relationship Id="rId17" Type="http://schemas.openxmlformats.org/officeDocument/2006/relationships/hyperlink" Target="https://doi.org/10.1371/journal.pmed.1003699" TargetMode="External"/><Relationship Id="rId33" Type="http://schemas.openxmlformats.org/officeDocument/2006/relationships/hyperlink" Target="https://doi.org/10.1080/0142159X.2023.2174419" TargetMode="External"/><Relationship Id="rId38" Type="http://schemas.openxmlformats.org/officeDocument/2006/relationships/hyperlink" Target="https://doi.org/10.1093/jamia/ocab091" TargetMode="External"/><Relationship Id="rId59" Type="http://schemas.openxmlformats.org/officeDocument/2006/relationships/hyperlink" Target="https://doi.org/10.1007/s11097-019-09624-7" TargetMode="External"/><Relationship Id="rId103" Type="http://schemas.openxmlformats.org/officeDocument/2006/relationships/hyperlink" Target="https://doi.org/10.5334/ijic.5508" TargetMode="External"/><Relationship Id="rId108" Type="http://schemas.openxmlformats.org/officeDocument/2006/relationships/hyperlink" Target="https://doi.org/10.25038/am.v0i28.582" TargetMode="External"/><Relationship Id="rId124" Type="http://schemas.openxmlformats.org/officeDocument/2006/relationships/hyperlink" Target="https://doi.org/10.1080/10407413.2021.1885978" TargetMode="External"/><Relationship Id="rId129" Type="http://schemas.openxmlformats.org/officeDocument/2006/relationships/hyperlink" Target="https://doi.org/10.1111/nyas.13153" TargetMode="External"/><Relationship Id="rId54" Type="http://schemas.openxmlformats.org/officeDocument/2006/relationships/hyperlink" Target="https://doi.org/10.3390/ijerph191710902" TargetMode="External"/><Relationship Id="rId70" Type="http://schemas.openxmlformats.org/officeDocument/2006/relationships/hyperlink" Target="https://doi.org/10.1177/00221678211002439" TargetMode="External"/><Relationship Id="rId75" Type="http://schemas.openxmlformats.org/officeDocument/2006/relationships/hyperlink" Target="https://doi.org/10.1098/rsfs.2016.0148" TargetMode="External"/><Relationship Id="rId91" Type="http://schemas.openxmlformats.org/officeDocument/2006/relationships/hyperlink" Target="https://doi.org/10.13133/2532-5876/13878" TargetMode="External"/><Relationship Id="rId96" Type="http://schemas.openxmlformats.org/officeDocument/2006/relationships/hyperlink" Target="https://doi.org/10.1007/s10459-022-10179-7" TargetMode="External"/><Relationship Id="rId140" Type="http://schemas.openxmlformats.org/officeDocument/2006/relationships/hyperlink" Target="https://doi.org/10.1016/j.envsci.2022.05.019" TargetMode="External"/><Relationship Id="rId145" Type="http://schemas.openxmlformats.org/officeDocument/2006/relationships/hyperlink" Target="https://doi.org/10.1080/02604027.2014.934631"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sciencedirect.com/topics/nursing-and-health-professions/analgesia" TargetMode="External"/><Relationship Id="rId23" Type="http://schemas.openxmlformats.org/officeDocument/2006/relationships/hyperlink" Target="https://doi.org/10.1016/j.pec.2012.01.009" TargetMode="External"/><Relationship Id="rId28" Type="http://schemas.openxmlformats.org/officeDocument/2006/relationships/hyperlink" Target="https://doi.org/10.1016/j.cpr.2011.04.006" TargetMode="External"/><Relationship Id="rId49" Type="http://schemas.openxmlformats.org/officeDocument/2006/relationships/hyperlink" Target="https://doi.org/10.3389/fpsyg.2016.01090" TargetMode="External"/><Relationship Id="rId114" Type="http://schemas.openxmlformats.org/officeDocument/2006/relationships/hyperlink" Target="https://doi.org/10.1093/oso/9780198779636.003.0006" TargetMode="External"/><Relationship Id="rId119" Type="http://schemas.openxmlformats.org/officeDocument/2006/relationships/hyperlink" Target="https://doi.org/10.3389/fdmed.2020.599214" TargetMode="External"/><Relationship Id="rId44" Type="http://schemas.openxmlformats.org/officeDocument/2006/relationships/hyperlink" Target="https://doi.org/10.3389/fpain.2022.901271" TargetMode="External"/><Relationship Id="rId60" Type="http://schemas.openxmlformats.org/officeDocument/2006/relationships/hyperlink" Target="https://doi.org/10.2217/cer.13.45" TargetMode="External"/><Relationship Id="rId65" Type="http://schemas.openxmlformats.org/officeDocument/2006/relationships/hyperlink" Target="https://doi.org/10.3233/JID-220011" TargetMode="External"/><Relationship Id="rId81" Type="http://schemas.openxmlformats.org/officeDocument/2006/relationships/hyperlink" Target="https://doi.org/10.1007/s12160-016-9844-2" TargetMode="External"/><Relationship Id="rId86" Type="http://schemas.openxmlformats.org/officeDocument/2006/relationships/hyperlink" Target="https://doi.org/10.2196/43053" TargetMode="External"/><Relationship Id="rId130" Type="http://schemas.openxmlformats.org/officeDocument/2006/relationships/hyperlink" Target="https://doi.org/10.3389/fpsyg.2022.785134" TargetMode="External"/><Relationship Id="rId135" Type="http://schemas.openxmlformats.org/officeDocument/2006/relationships/hyperlink" Target="https://doi.org/10.1111/1475-6773.12117" TargetMode="External"/><Relationship Id="rId151" Type="http://schemas.openxmlformats.org/officeDocument/2006/relationships/hyperlink" Target="https://doi.org/10.1186/s12913-020-06049-w" TargetMode="External"/><Relationship Id="rId156" Type="http://schemas.openxmlformats.org/officeDocument/2006/relationships/hyperlink" Target="https://doi.org/10.2196/jmir.3494" TargetMode="External"/><Relationship Id="rId13" Type="http://schemas.openxmlformats.org/officeDocument/2006/relationships/hyperlink" Target="https://doi.org/10.1037/amp0000167" TargetMode="External"/><Relationship Id="rId18" Type="http://schemas.openxmlformats.org/officeDocument/2006/relationships/hyperlink" Target="https://doi.org/10.1093/oso/9780198779636.003.0015" TargetMode="External"/><Relationship Id="rId39" Type="http://schemas.openxmlformats.org/officeDocument/2006/relationships/hyperlink" Target="https://doi.org/10.1111/hex.13745" TargetMode="External"/><Relationship Id="rId109" Type="http://schemas.openxmlformats.org/officeDocument/2006/relationships/hyperlink" Target="https://doi.org/10.1177/0959354321989431" TargetMode="External"/><Relationship Id="rId34" Type="http://schemas.openxmlformats.org/officeDocument/2006/relationships/hyperlink" Target="https://doi.org/10.1016/j.ijmedinf.2012.10.001" TargetMode="External"/><Relationship Id="rId50" Type="http://schemas.openxmlformats.org/officeDocument/2006/relationships/hyperlink" Target="https://doi.org/10.1353/cpr.2010.0012" TargetMode="External"/><Relationship Id="rId55" Type="http://schemas.openxmlformats.org/officeDocument/2006/relationships/hyperlink" Target="https://doi.org/10.7759/cureus.60692" TargetMode="External"/><Relationship Id="rId76" Type="http://schemas.openxmlformats.org/officeDocument/2006/relationships/hyperlink" Target="https://doi.org/10.1177/1471301221997281" TargetMode="External"/><Relationship Id="rId97" Type="http://schemas.openxmlformats.org/officeDocument/2006/relationships/hyperlink" Target="https://doi.org/10.1111/jep.12370" TargetMode="External"/><Relationship Id="rId104" Type="http://schemas.openxmlformats.org/officeDocument/2006/relationships/hyperlink" Target="https://doi.org/10.1007/s40271-021-00514-2" TargetMode="External"/><Relationship Id="rId120" Type="http://schemas.openxmlformats.org/officeDocument/2006/relationships/hyperlink" Target="https://doi.org/10.1007/s11097-019-09624-7" TargetMode="External"/><Relationship Id="rId125" Type="http://schemas.openxmlformats.org/officeDocument/2006/relationships/hyperlink" Target="https://doi.org/10.1177/01622439231216789" TargetMode="External"/><Relationship Id="rId141" Type="http://schemas.openxmlformats.org/officeDocument/2006/relationships/hyperlink" Target="https://doi.org/10.1016/j.glmedi.2023.100046" TargetMode="External"/><Relationship Id="rId146" Type="http://schemas.openxmlformats.org/officeDocument/2006/relationships/hyperlink" Target="https://doi.org/10.1002/gch2.201800054" TargetMode="External"/><Relationship Id="rId7" Type="http://schemas.openxmlformats.org/officeDocument/2006/relationships/hyperlink" Target="https://www.sciencedirect.com/topics/nursing-and-health-professions/functional-status" TargetMode="External"/><Relationship Id="rId71" Type="http://schemas.openxmlformats.org/officeDocument/2006/relationships/hyperlink" Target="https://doi.org/10.1007/s10539-016-9533-3" TargetMode="External"/><Relationship Id="rId92" Type="http://schemas.openxmlformats.org/officeDocument/2006/relationships/hyperlink" Target="https://doi.org/10.3389/fpsyt.2017.00269" TargetMode="External"/><Relationship Id="rId2" Type="http://schemas.openxmlformats.org/officeDocument/2006/relationships/numbering" Target="numbering.xml"/><Relationship Id="rId29" Type="http://schemas.openxmlformats.org/officeDocument/2006/relationships/hyperlink" Target="https://doi.org/10.1016/j.ijnsa.2024.100192" TargetMode="External"/><Relationship Id="rId24" Type="http://schemas.openxmlformats.org/officeDocument/2006/relationships/hyperlink" Target="https://doi.org/10.2105/AJPH.2009.170506" TargetMode="External"/><Relationship Id="rId40" Type="http://schemas.openxmlformats.org/officeDocument/2006/relationships/hyperlink" Target="https://doi.org/10.1016/j.prevetmed.2013.09.010" TargetMode="External"/><Relationship Id="rId45" Type="http://schemas.openxmlformats.org/officeDocument/2006/relationships/hyperlink" Target="https://doi.org/10.3390/healthcare13010010" TargetMode="External"/><Relationship Id="rId66" Type="http://schemas.openxmlformats.org/officeDocument/2006/relationships/hyperlink" Target="https://doi.org/10.51847/lrPe9pz2wg" TargetMode="External"/><Relationship Id="rId87" Type="http://schemas.openxmlformats.org/officeDocument/2006/relationships/hyperlink" Target="https://doi.org/10.3389/fpain.2024.1299027" TargetMode="External"/><Relationship Id="rId110" Type="http://schemas.openxmlformats.org/officeDocument/2006/relationships/hyperlink" Target="https://doi.org/10.3389/fpsyg.2016.01090" TargetMode="External"/><Relationship Id="rId115" Type="http://schemas.openxmlformats.org/officeDocument/2006/relationships/hyperlink" Target="https://doi.org/10.3390/ijerph191710902" TargetMode="External"/><Relationship Id="rId131" Type="http://schemas.openxmlformats.org/officeDocument/2006/relationships/hyperlink" Target="https://doi.org/10.1177/10497323251316841" TargetMode="External"/><Relationship Id="rId136" Type="http://schemas.openxmlformats.org/officeDocument/2006/relationships/hyperlink" Target="https://doi.org/10.1057/s41599-025-05634-w" TargetMode="External"/><Relationship Id="rId157" Type="http://schemas.openxmlformats.org/officeDocument/2006/relationships/hyperlink" Target="file:///Users/samsafavi/Downloads/ABFAV_5_22_08042026-0101356/10.1146/annurev-publhealth-012420-105104" TargetMode="External"/><Relationship Id="rId61" Type="http://schemas.openxmlformats.org/officeDocument/2006/relationships/hyperlink" Target="https://doi.org/10.3389/fpsyg.2025.1356057" TargetMode="External"/><Relationship Id="rId82" Type="http://schemas.openxmlformats.org/officeDocument/2006/relationships/hyperlink" Target="https://doi.org/10.1093/bib/bbv011" TargetMode="External"/><Relationship Id="rId152" Type="http://schemas.openxmlformats.org/officeDocument/2006/relationships/hyperlink" Target="https://doi.org/10.1080/1750984X.2021.1966822" TargetMode="External"/><Relationship Id="rId19" Type="http://schemas.openxmlformats.org/officeDocument/2006/relationships/hyperlink" Target="https://doi.org/10.1111/opn.12487" TargetMode="External"/><Relationship Id="rId14" Type="http://schemas.openxmlformats.org/officeDocument/2006/relationships/hyperlink" Target="https://doi.org/10.1098/rsfs.2016.0148" TargetMode="External"/><Relationship Id="rId30" Type="http://schemas.openxmlformats.org/officeDocument/2006/relationships/hyperlink" Target="https://doi.org/10.13133/2532-5876/13878" TargetMode="External"/><Relationship Id="rId35" Type="http://schemas.openxmlformats.org/officeDocument/2006/relationships/hyperlink" Target="https://doi.org/10.1007/s10459-022-10179-7" TargetMode="External"/><Relationship Id="rId56" Type="http://schemas.openxmlformats.org/officeDocument/2006/relationships/hyperlink" Target="https://doi.org/10.1186/s12916-023-03076-2" TargetMode="External"/><Relationship Id="rId77" Type="http://schemas.openxmlformats.org/officeDocument/2006/relationships/hyperlink" Target="https://doi.org/10.1111/hex.12346" TargetMode="External"/><Relationship Id="rId100" Type="http://schemas.openxmlformats.org/officeDocument/2006/relationships/hyperlink" Target="https://doi.org/10.1111/hex.13745" TargetMode="External"/><Relationship Id="rId105" Type="http://schemas.openxmlformats.org/officeDocument/2006/relationships/hyperlink" Target="https://doi.org/10.3389/fpain.2022.901271" TargetMode="External"/><Relationship Id="rId126" Type="http://schemas.openxmlformats.org/officeDocument/2006/relationships/hyperlink" Target="https://doi.org/10.3233/JID-220011" TargetMode="External"/><Relationship Id="rId147" Type="http://schemas.openxmlformats.org/officeDocument/2006/relationships/hyperlink" Target="https://doi.org/10.1136/bmj.n71" TargetMode="External"/><Relationship Id="rId8" Type="http://schemas.openxmlformats.org/officeDocument/2006/relationships/hyperlink" Target="https://doi.org/10.1097/ACM.0000000000000639" TargetMode="External"/><Relationship Id="rId51" Type="http://schemas.openxmlformats.org/officeDocument/2006/relationships/hyperlink" Target="https://doi.org/10.1007/s11916-023-01125-2" TargetMode="External"/><Relationship Id="rId72" Type="http://schemas.openxmlformats.org/officeDocument/2006/relationships/hyperlink" Target="https://doi.org/10.1177/20552076241255928" TargetMode="External"/><Relationship Id="rId93" Type="http://schemas.openxmlformats.org/officeDocument/2006/relationships/hyperlink" Target="https://doi.org/10.1177/10497323241235882" TargetMode="External"/><Relationship Id="rId98" Type="http://schemas.openxmlformats.org/officeDocument/2006/relationships/hyperlink" Target="https://doi.org/10.1186/s12888-021-03428-3" TargetMode="External"/><Relationship Id="rId121" Type="http://schemas.openxmlformats.org/officeDocument/2006/relationships/hyperlink" Target="https://doi.org/10.2217/cer.13.45" TargetMode="External"/><Relationship Id="rId142" Type="http://schemas.openxmlformats.org/officeDocument/2006/relationships/hyperlink" Target="https://doi.org/10.3389/fpsyt.2017.00269" TargetMode="External"/><Relationship Id="rId3" Type="http://schemas.openxmlformats.org/officeDocument/2006/relationships/styles" Target="styles.xml"/><Relationship Id="rId25" Type="http://schemas.openxmlformats.org/officeDocument/2006/relationships/hyperlink" Target="https://doi.org/10.2196/43053" TargetMode="External"/><Relationship Id="rId46" Type="http://schemas.openxmlformats.org/officeDocument/2006/relationships/hyperlink" Target="https://doi.org/10.1093/heapro/daaa125" TargetMode="External"/><Relationship Id="rId67" Type="http://schemas.openxmlformats.org/officeDocument/2006/relationships/hyperlink" Target="https://doi.org/10.1097/PR9.0000000000000759" TargetMode="External"/><Relationship Id="rId116" Type="http://schemas.openxmlformats.org/officeDocument/2006/relationships/hyperlink" Target="https://doi.org/10.7759/cureus.60692" TargetMode="External"/><Relationship Id="rId137" Type="http://schemas.openxmlformats.org/officeDocument/2006/relationships/hyperlink" Target="https://doi.org/10.1186/s12874-019-0670-7" TargetMode="External"/><Relationship Id="rId158" Type="http://schemas.openxmlformats.org/officeDocument/2006/relationships/hyperlink" Target="file:///Users/samsafavi/Downloads/ABFAV_5_22_08042026-0101356/10.1111/j.1752-9824.2010.01066.x" TargetMode="External"/><Relationship Id="rId20" Type="http://schemas.openxmlformats.org/officeDocument/2006/relationships/hyperlink" Target="https://doi.org/10.1007/s12160-016-9844-2" TargetMode="External"/><Relationship Id="rId41" Type="http://schemas.openxmlformats.org/officeDocument/2006/relationships/hyperlink" Target="https://doi.org/10.3389/fpubh.2023.1075363" TargetMode="External"/><Relationship Id="rId62" Type="http://schemas.openxmlformats.org/officeDocument/2006/relationships/hyperlink" Target="https://doi.org/10.5334/ijic.7560" TargetMode="External"/><Relationship Id="rId83" Type="http://schemas.openxmlformats.org/officeDocument/2006/relationships/hyperlink" Target="https://doi.org/10.1097/00012272-200407000-00002" TargetMode="External"/><Relationship Id="rId88" Type="http://schemas.openxmlformats.org/officeDocument/2006/relationships/hyperlink" Target="https://doi.org/10.1007/s13127-022-00584-6" TargetMode="External"/><Relationship Id="rId111" Type="http://schemas.openxmlformats.org/officeDocument/2006/relationships/hyperlink" Target="https://doi.org/10.1353/cpr.2010.0012" TargetMode="External"/><Relationship Id="rId132" Type="http://schemas.openxmlformats.org/officeDocument/2006/relationships/hyperlink" Target="https://doi.org/10.1186/s12916-018-1057-z" TargetMode="External"/><Relationship Id="rId153" Type="http://schemas.openxmlformats.org/officeDocument/2006/relationships/hyperlink" Target="https://doi.org/10.1186/1471-2288-8-45" TargetMode="External"/><Relationship Id="rId15" Type="http://schemas.openxmlformats.org/officeDocument/2006/relationships/hyperlink" Target="https://doi.org/10.1177/1471301221997281" TargetMode="External"/><Relationship Id="rId36" Type="http://schemas.openxmlformats.org/officeDocument/2006/relationships/hyperlink" Target="https://doi.org/10.1111/jep.12370" TargetMode="External"/><Relationship Id="rId57" Type="http://schemas.openxmlformats.org/officeDocument/2006/relationships/hyperlink" Target="https://doi.org/10.4236/pst.2015.34005" TargetMode="External"/><Relationship Id="rId106" Type="http://schemas.openxmlformats.org/officeDocument/2006/relationships/hyperlink" Target="https://doi.org/10.3390/healthcare13010010" TargetMode="External"/><Relationship Id="rId127" Type="http://schemas.openxmlformats.org/officeDocument/2006/relationships/hyperlink" Target="https://doi.org/10.51847/lrPe9pz2wg" TargetMode="External"/><Relationship Id="rId10" Type="http://schemas.openxmlformats.org/officeDocument/2006/relationships/hyperlink" Target="https://doi.org/10.1007/s10539-016-9533-3" TargetMode="External"/><Relationship Id="rId31" Type="http://schemas.openxmlformats.org/officeDocument/2006/relationships/hyperlink" Target="https://doi.org/10.3389/fpsyt.2017.00269" TargetMode="External"/><Relationship Id="rId52" Type="http://schemas.openxmlformats.org/officeDocument/2006/relationships/hyperlink" Target="https://doi.org/10.1016/j.jpsychores.2009.03.010" TargetMode="External"/><Relationship Id="rId73" Type="http://schemas.openxmlformats.org/officeDocument/2006/relationships/hyperlink" Target="https://doi.org/10.1016/j.trsl.2016.11.002" TargetMode="External"/><Relationship Id="rId78" Type="http://schemas.openxmlformats.org/officeDocument/2006/relationships/hyperlink" Target="https://doi.org/10.1371/journal.pmed.1003699" TargetMode="External"/><Relationship Id="rId94" Type="http://schemas.openxmlformats.org/officeDocument/2006/relationships/hyperlink" Target="https://doi.org/10.1080/0142159X.2023.2174419" TargetMode="External"/><Relationship Id="rId99" Type="http://schemas.openxmlformats.org/officeDocument/2006/relationships/hyperlink" Target="https://doi.org/10.1093/jamia/ocab091" TargetMode="External"/><Relationship Id="rId101" Type="http://schemas.openxmlformats.org/officeDocument/2006/relationships/hyperlink" Target="https://doi.org/10.1016/j.prevetmed.2013.09.010" TargetMode="External"/><Relationship Id="rId122" Type="http://schemas.openxmlformats.org/officeDocument/2006/relationships/hyperlink" Target="https://doi.org/10.3389/fpsyg.2025.1356057" TargetMode="External"/><Relationship Id="rId143" Type="http://schemas.openxmlformats.org/officeDocument/2006/relationships/hyperlink" Target="https://doi.org/10.1007/s11625-011-0149-x" TargetMode="External"/><Relationship Id="rId148" Type="http://schemas.openxmlformats.org/officeDocument/2006/relationships/hyperlink" Target="https://doi.org/10.1002/pan3.10496" TargetMode="External"/><Relationship Id="rId4" Type="http://schemas.openxmlformats.org/officeDocument/2006/relationships/settings" Target="settings.xml"/><Relationship Id="rId9" Type="http://schemas.openxmlformats.org/officeDocument/2006/relationships/hyperlink" Target="https://doi.org/10.1177/00221678211002439" TargetMode="External"/><Relationship Id="rId26" Type="http://schemas.openxmlformats.org/officeDocument/2006/relationships/hyperlink" Target="https://doi.org/10.3389/fpain.2024.1299027" TargetMode="External"/><Relationship Id="rId47" Type="http://schemas.openxmlformats.org/officeDocument/2006/relationships/hyperlink" Target="https://doi.org/10.25038/am.v0i28.582" TargetMode="External"/><Relationship Id="rId68" Type="http://schemas.openxmlformats.org/officeDocument/2006/relationships/hyperlink" Target="https://doi.org/10.1111/nyas.13153" TargetMode="External"/><Relationship Id="rId89" Type="http://schemas.openxmlformats.org/officeDocument/2006/relationships/hyperlink" Target="https://doi.org/10.1016/j.cpr.2011.04.006" TargetMode="External"/><Relationship Id="rId112" Type="http://schemas.openxmlformats.org/officeDocument/2006/relationships/hyperlink" Target="https://doi.org/10.1007/s11916-023-01125-2" TargetMode="External"/><Relationship Id="rId133" Type="http://schemas.openxmlformats.org/officeDocument/2006/relationships/hyperlink" Target="https://doi.org/10.3310/hta15430" TargetMode="External"/><Relationship Id="rId154" Type="http://schemas.openxmlformats.org/officeDocument/2006/relationships/hyperlink" Target="https://doi.org/10.1186/1471-2288-12-181" TargetMode="External"/><Relationship Id="rId16" Type="http://schemas.openxmlformats.org/officeDocument/2006/relationships/hyperlink" Target="https://doi.org/10.1111/hex.12346" TargetMode="External"/><Relationship Id="rId37" Type="http://schemas.openxmlformats.org/officeDocument/2006/relationships/hyperlink" Target="https://doi.org/10.1186/s12888-021-03428-3" TargetMode="External"/><Relationship Id="rId58" Type="http://schemas.openxmlformats.org/officeDocument/2006/relationships/hyperlink" Target="https://doi.org/10.3389/fdmed.2020.599214" TargetMode="External"/><Relationship Id="rId79" Type="http://schemas.openxmlformats.org/officeDocument/2006/relationships/hyperlink" Target="https://doi.org/10.1093/oso/9780198779636.003.0015" TargetMode="External"/><Relationship Id="rId102" Type="http://schemas.openxmlformats.org/officeDocument/2006/relationships/hyperlink" Target="https://doi.org/10.3389/fpubh.2023.1075363" TargetMode="External"/><Relationship Id="rId123" Type="http://schemas.openxmlformats.org/officeDocument/2006/relationships/hyperlink" Target="https://doi.org/10.5334/ijic.7560" TargetMode="External"/><Relationship Id="rId144" Type="http://schemas.openxmlformats.org/officeDocument/2006/relationships/hyperlink" Target="https://doi.org/10.1080/17439760.2023.2179933" TargetMode="External"/><Relationship Id="rId90" Type="http://schemas.openxmlformats.org/officeDocument/2006/relationships/hyperlink" Target="https://doi.org/10.1016/j.ijnsa.2024.100192" TargetMode="External"/><Relationship Id="rId27" Type="http://schemas.openxmlformats.org/officeDocument/2006/relationships/hyperlink" Target="https://doi.org/10.1007/s13127-022-00584-6" TargetMode="External"/><Relationship Id="rId48" Type="http://schemas.openxmlformats.org/officeDocument/2006/relationships/hyperlink" Target="https://doi.org/10.1177/0959354321989431" TargetMode="External"/><Relationship Id="rId69" Type="http://schemas.openxmlformats.org/officeDocument/2006/relationships/hyperlink" Target="Allen-Scott%20LK,%20Buntain%20B,%20Hatfield%20JM%20et%20al%20(2015)%20Academic%20institutions%20and%20one%20health:%20building%20capacity%20for%20transdisciplinary%20research%20approaches%20to%20address%20complex%20health%20issues%20at%20the%20animal-human-ecosystem%20interface.%20Acad%20Med%2090:866&#8211;871.%20https://doi.org/10.1097/ACM.0000000000000639" TargetMode="External"/><Relationship Id="rId113" Type="http://schemas.openxmlformats.org/officeDocument/2006/relationships/hyperlink" Target="https://doi.org/10.1016/j.jpsychores.2009.03.010" TargetMode="External"/><Relationship Id="rId134" Type="http://schemas.openxmlformats.org/officeDocument/2006/relationships/hyperlink" Target="https://doi.org/10.3389/fpsyg.2022.1055249" TargetMode="External"/><Relationship Id="rId80" Type="http://schemas.openxmlformats.org/officeDocument/2006/relationships/hyperlink" Target="https://doi.org/10.1111/opn.12487" TargetMode="External"/><Relationship Id="rId155" Type="http://schemas.openxmlformats.org/officeDocument/2006/relationships/hyperlink" Target="https://doi.org/10.1515/sjpain-2021-00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935F9-AAF5-2442-BD21-672151A80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232</Pages>
  <Words>108192</Words>
  <Characters>616698</Characters>
  <Application>Microsoft Office Word</Application>
  <DocSecurity>0</DocSecurity>
  <Lines>5139</Lines>
  <Paragraphs>1446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Brenden Doyle</dc:creator>
  <cp:keywords/>
  <dc:description/>
  <cp:lastModifiedBy>Author</cp:lastModifiedBy>
  <cp:revision>25</cp:revision>
  <cp:lastPrinted>2026-06-26T14:12:00Z</cp:lastPrinted>
  <dcterms:created xsi:type="dcterms:W3CDTF">2026-05-21T02:06:00Z</dcterms:created>
  <dcterms:modified xsi:type="dcterms:W3CDTF">2026-07-03T14:25:00Z</dcterms:modified>
</cp:coreProperties>
</file>